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中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医药科技期刊评价指标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体系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及释义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门 槛 指 标</w:t>
      </w:r>
    </w:p>
    <w:tbl>
      <w:tblPr>
        <w:tblStyle w:val="2"/>
        <w:tblW w:w="12271" w:type="dxa"/>
        <w:jc w:val="center"/>
        <w:tblInd w:w="-362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9"/>
        <w:gridCol w:w="84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</w:rPr>
              <w:t>指标</w:t>
            </w:r>
          </w:p>
        </w:tc>
        <w:tc>
          <w:tcPr>
            <w:tcW w:w="8452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</w:rPr>
              <w:t>指标释义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1.政治质量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等</w:t>
            </w:r>
          </w:p>
        </w:tc>
        <w:tc>
          <w:tcPr>
            <w:tcW w:w="8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出现本条下所列各种问题一票否决期刊评优资格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1.1政策法规</w:t>
            </w:r>
          </w:p>
        </w:tc>
        <w:tc>
          <w:tcPr>
            <w:tcW w:w="84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出现违反出版条例规定的出版行为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违反重大选题备案制度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失密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台、港、澳称谓错误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地图使用及标注错误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重大涉政文字错误及其他政治性错误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刊登违法广告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违反宣传纪律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1.2办刊方针</w:t>
            </w:r>
          </w:p>
        </w:tc>
        <w:tc>
          <w:tcPr>
            <w:tcW w:w="84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出现违背办刊宗旨、超范围报道问题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1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1.3道德规范</w:t>
            </w:r>
          </w:p>
        </w:tc>
        <w:tc>
          <w:tcPr>
            <w:tcW w:w="84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出现违背科研伦理、违背学术诚信、违背职业道德的问题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基础条件指标和等级指标</w:t>
      </w:r>
    </w:p>
    <w:tbl>
      <w:tblPr>
        <w:tblStyle w:val="2"/>
        <w:tblW w:w="14404" w:type="dxa"/>
        <w:jc w:val="center"/>
        <w:tblInd w:w="-162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994"/>
        <w:gridCol w:w="3135"/>
        <w:gridCol w:w="795"/>
        <w:gridCol w:w="52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2207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  <w:t>一级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</w:rPr>
              <w:t>指标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  <w:t>二级指标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  <w:t>三级指标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  <w:t>权重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8"/>
                <w:szCs w:val="28"/>
                <w:lang w:eastAsia="zh-CN"/>
              </w:rPr>
              <w:t>指标释义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40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eastAsia="zh-CN"/>
              </w:rPr>
              <w:t>基础条件指标（权重</w:t>
            </w: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0.35</w:t>
            </w: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基础建设条件与环境资源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0.10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2.1人力资源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0.02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2.1.1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编辑部人员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构成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包括人员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姓名、年龄、学历、职称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2.1.2编辑部人员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0.01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2.1.3期刊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负责人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是否具有主编岗位培训合格证书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0.01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2.2出版管理规范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0.04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2.2.1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各编辑部上传管理制度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0.02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包括投稿须知、审稿制度、学术伦理、科研诚信规则、版权制度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2.2.2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出版流程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0.02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2.3收稿数量与刊发论文数量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0.04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包括2015—2017年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收稿数量和刊发数量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，计算刊发率（刊发率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=刊发数量/收稿数量×100%）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3.编辑与出版能力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0.25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2019年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此指标暂不纳入评价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3.1编校质量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0.14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每年须参与中华中医药学会组织的审读，由学会出具审读结果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3.2出版形式规范性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0.11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每年须参与中华中医药学会组织的审读，由学会出具审读结果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40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eastAsia="zh-CN"/>
              </w:rPr>
              <w:t>等级指标（权重</w:t>
            </w: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val="en-US" w:eastAsia="zh-CN"/>
              </w:rPr>
              <w:t>0.65</w:t>
            </w: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学术影响力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0.35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4.1总被引频次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由CNKI提供期刊指定年份的统计数据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4.2影响因子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由CNKI提供期刊指定年份的统计数据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4.3他引率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由CNKI提供期刊指定年份的统计数据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4.4数据库收录情况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由CSCD提供相关数据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4.5基金论文比例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由CNKI提供期刊指定年份的统计数据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关注用户需求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0.10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5.1用户满意度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0.10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由科学共同体投票产生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出版传播能力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0.20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6.1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发行及下载情况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0.14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6.1.1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纸刊发行量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0.06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提供印刷单和国际图书贸易总公司订单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6.1.2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网络下载量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0.08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知网、万方提供海内下载量和海外下载量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6.2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信息化水平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0.06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6.2.1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是否使用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在线投审稿系统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处理稿件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0.04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7F7F7F" w:sz="4" w:space="0"/>
            <w:insideV w:val="single" w:color="7F7F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6.2.2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微信公众号建设情况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0.02</w:t>
            </w:r>
          </w:p>
        </w:tc>
        <w:tc>
          <w:tcPr>
            <w:tcW w:w="52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2018年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微信公众号用户数量、篇均阅读量、WCI（微信传播力指数）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210" w:firstLineChars="100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highlight w:val="none"/>
          <w:lang w:eastAsia="zh-CN"/>
        </w:rPr>
        <w:t>备注：数据统计来源为</w:t>
      </w:r>
      <w:r>
        <w:rPr>
          <w:rFonts w:hint="default" w:ascii="Times New Roman" w:hAnsi="Times New Roman" w:eastAsia="宋体" w:cs="Times New Roman"/>
          <w:color w:val="000000"/>
          <w:highlight w:val="none"/>
          <w:lang w:val="en-US" w:eastAsia="zh-CN"/>
        </w:rPr>
        <w:t>2015—2017年发表论文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4677"/>
    <w:rsid w:val="11DC3392"/>
    <w:rsid w:val="3DC54677"/>
    <w:rsid w:val="7AB92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2019-04-12T06:58:00Z</dcterms:created>
  <dc:creator>郭璟</dc:creator>
  <cp:lastModifiedBy>郭璟</cp:lastModifiedBy>
  <dcterms:modified xsi:type="dcterms:W3CDTF">2019-04-12T07:32:00Z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