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</w:p>
    <w:p>
      <w:pPr>
        <w:pStyle w:val="4"/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pStyle w:val="4"/>
        <w:spacing w:line="58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Style w:val="5"/>
          <w:rFonts w:hint="eastAsia" w:ascii="方正小标宋简体" w:eastAsia="方正小标宋简体"/>
          <w:sz w:val="36"/>
          <w:szCs w:val="32"/>
        </w:rPr>
        <w:t>乘车路线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会议酒店毗邻杭州市区交通枢纽（汽车东站、火车东站、沪杭甬高速彭埠入口），位置优越，出行便利。距离杭州东站约800米（出站后打车5分钟即到），距萧山国际机场25分钟车程。</w:t>
      </w:r>
    </w:p>
    <w:p>
      <w:pPr>
        <w:rPr>
          <w:rFonts w:hint="eastAsia" w:ascii="仿宋" w:hAnsi="仿宋" w:eastAsia="仿宋" w:cs="仿宋"/>
        </w:rPr>
      </w:pPr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01511"/>
    <w:rsid w:val="3BE01511"/>
    <w:rsid w:val="3C8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2019-08-27T07:03:00Z</dcterms:created>
  <dc:creator>徐静</dc:creator>
  <cp:lastModifiedBy>徐静</cp:lastModifiedBy>
  <dcterms:modified xsi:type="dcterms:W3CDTF">2019-08-27T07:14:16Z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