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</w:p>
    <w:p>
      <w:pPr>
        <w:autoSpaceDN w:val="0"/>
        <w:spacing w:line="440" w:lineRule="exact"/>
        <w:jc w:val="center"/>
        <w:rPr>
          <w:rFonts w:hint="eastAsia" w:ascii="宋体" w:hAnsi="宋体" w:cs="华文仿宋"/>
          <w:sz w:val="32"/>
          <w:szCs w:val="32"/>
        </w:rPr>
      </w:pPr>
      <w:r>
        <w:rPr>
          <w:rFonts w:hint="eastAsia" w:ascii="宋体" w:hAnsi="宋体" w:cs="华文仿宋"/>
          <w:sz w:val="32"/>
          <w:szCs w:val="32"/>
        </w:rPr>
        <w:t>优秀壁报奖评选规则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参</w:t>
      </w:r>
      <w:r>
        <w:rPr>
          <w:rFonts w:hint="eastAsia" w:ascii="仿宋" w:hAnsi="仿宋" w:eastAsia="仿宋"/>
          <w:sz w:val="28"/>
          <w:szCs w:val="28"/>
        </w:rPr>
        <w:t>评</w:t>
      </w:r>
      <w:r>
        <w:rPr>
          <w:rFonts w:ascii="仿宋" w:hAnsi="仿宋" w:eastAsia="仿宋"/>
          <w:sz w:val="28"/>
          <w:szCs w:val="28"/>
        </w:rPr>
        <w:t>博士生根据投稿论文设计壁报，壁报格式不限，大小为</w:t>
      </w:r>
      <w:r>
        <w:rPr>
          <w:rFonts w:hint="eastAsia" w:ascii="仿宋" w:hAnsi="仿宋" w:eastAsia="仿宋"/>
          <w:color w:val="auto"/>
          <w:sz w:val="28"/>
          <w:szCs w:val="28"/>
        </w:rPr>
        <w:t>120（高）cm</w:t>
      </w:r>
      <w:r>
        <w:rPr>
          <w:rFonts w:ascii="仿宋" w:hAnsi="仿宋" w:eastAsia="仿宋"/>
          <w:color w:val="auto"/>
          <w:sz w:val="28"/>
          <w:szCs w:val="28"/>
        </w:rPr>
        <w:t>×</w:t>
      </w:r>
      <w:r>
        <w:rPr>
          <w:rFonts w:hint="eastAsia" w:ascii="仿宋" w:hAnsi="仿宋" w:eastAsia="仿宋"/>
          <w:color w:val="auto"/>
          <w:sz w:val="28"/>
          <w:szCs w:val="28"/>
        </w:rPr>
        <w:t>90</w:t>
      </w:r>
      <w:r>
        <w:rPr>
          <w:rFonts w:ascii="仿宋" w:hAnsi="仿宋" w:eastAsia="仿宋"/>
          <w:color w:val="auto"/>
          <w:sz w:val="28"/>
          <w:szCs w:val="28"/>
        </w:rPr>
        <w:t>cm</w:t>
      </w:r>
      <w:r>
        <w:rPr>
          <w:rFonts w:hint="eastAsia" w:ascii="仿宋" w:hAnsi="仿宋" w:eastAsia="仿宋"/>
          <w:color w:val="auto"/>
          <w:sz w:val="28"/>
          <w:szCs w:val="28"/>
        </w:rPr>
        <w:t>（宽），请于</w:t>
      </w:r>
      <w:r>
        <w:rPr>
          <w:rFonts w:hint="default" w:ascii="仿宋" w:hAnsi="仿宋" w:eastAsia="仿宋"/>
          <w:color w:val="auto"/>
          <w:sz w:val="28"/>
          <w:szCs w:val="28"/>
        </w:rPr>
        <w:t>4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default" w:ascii="仿宋" w:hAnsi="仿宋" w:eastAsia="仿宋"/>
          <w:color w:val="auto"/>
          <w:sz w:val="28"/>
          <w:szCs w:val="28"/>
        </w:rPr>
        <w:t>1</w:t>
      </w:r>
      <w:r>
        <w:rPr>
          <w:rFonts w:hint="eastAsia" w:ascii="仿宋" w:hAnsi="仿宋" w:eastAsia="仿宋"/>
          <w:color w:val="auto"/>
          <w:sz w:val="28"/>
          <w:szCs w:val="28"/>
        </w:rPr>
        <w:t>日之前将壁报电子版（jpg格式，4M以内）发送至邮箱1218tcm</w:t>
      </w:r>
      <w:r>
        <w:rPr>
          <w:rFonts w:ascii="仿宋" w:hAnsi="仿宋" w:eastAsia="仿宋"/>
          <w:color w:val="auto"/>
          <w:sz w:val="28"/>
          <w:szCs w:val="28"/>
        </w:rPr>
        <w:t>@vip.163.com</w:t>
      </w:r>
      <w:r>
        <w:rPr>
          <w:rFonts w:hint="eastAsia" w:ascii="仿宋" w:hAnsi="仿宋" w:eastAsia="仿宋"/>
          <w:color w:val="auto"/>
          <w:sz w:val="28"/>
          <w:szCs w:val="28"/>
        </w:rPr>
        <w:t>，主题注明“姓名+优博壁报”；承办方负责统一制作壁报。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一、奖励方案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评选分为3组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中医</w:t>
      </w:r>
      <w:r>
        <w:rPr>
          <w:rFonts w:ascii="仿宋" w:hAnsi="仿宋" w:eastAsia="仿宋"/>
          <w:sz w:val="28"/>
          <w:szCs w:val="28"/>
        </w:rPr>
        <w:t>组、中药组</w:t>
      </w:r>
      <w:r>
        <w:rPr>
          <w:rFonts w:hint="eastAsia" w:ascii="仿宋" w:hAnsi="仿宋" w:eastAsia="仿宋"/>
          <w:sz w:val="28"/>
          <w:szCs w:val="28"/>
        </w:rPr>
        <w:t>、基础组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最终根据投票总数</w:t>
      </w:r>
      <w:r>
        <w:rPr>
          <w:rFonts w:hint="default" w:ascii="仿宋" w:hAnsi="仿宋" w:eastAsia="仿宋"/>
          <w:sz w:val="28"/>
          <w:szCs w:val="28"/>
        </w:rPr>
        <w:t>，前5名评为学术影响力奖，每名奖励人民币2 000元；6～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default"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hint="default" w:ascii="仿宋" w:hAnsi="仿宋" w:eastAsia="仿宋"/>
          <w:sz w:val="28"/>
          <w:szCs w:val="28"/>
        </w:rPr>
        <w:t>评为</w:t>
      </w:r>
      <w:r>
        <w:rPr>
          <w:rFonts w:hint="eastAsia" w:ascii="仿宋" w:hAnsi="仿宋" w:eastAsia="仿宋"/>
          <w:sz w:val="28"/>
          <w:szCs w:val="28"/>
        </w:rPr>
        <w:t>优秀壁报奖，每名奖励人民币800元</w:t>
      </w:r>
      <w:r>
        <w:rPr>
          <w:rFonts w:hint="default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二、评选方式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sz w:val="28"/>
          <w:szCs w:val="28"/>
        </w:rPr>
        <w:t>优秀壁报奖</w:t>
      </w:r>
      <w:r>
        <w:rPr>
          <w:rFonts w:hint="eastAsia" w:ascii="仿宋" w:hAnsi="仿宋" w:eastAsia="仿宋"/>
          <w:sz w:val="28"/>
          <w:szCs w:val="28"/>
        </w:rPr>
        <w:t>评选活动</w:t>
      </w:r>
      <w:r>
        <w:rPr>
          <w:rFonts w:ascii="仿宋" w:hAnsi="仿宋" w:eastAsia="仿宋"/>
          <w:sz w:val="28"/>
          <w:szCs w:val="28"/>
        </w:rPr>
        <w:t>采用微信平台投票方式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（二）投票共分为两轮（注：每人每轮限投1次，可多选）：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第一轮：</w:t>
      </w:r>
      <w:r>
        <w:rPr>
          <w:rFonts w:hint="default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default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-</w:t>
      </w:r>
      <w:r>
        <w:rPr>
          <w:rFonts w:hint="default"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日12：00；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第二轮：4月</w:t>
      </w:r>
      <w:r>
        <w:rPr>
          <w:rFonts w:hint="default"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日，根据现场展览壁报进行投票。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（三）最终获奖结果由两轮累计投票数确定，于4月</w:t>
      </w:r>
      <w:r>
        <w:rPr>
          <w:rFonts w:hint="default"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</w:rPr>
        <w:t>日博士生论坛后公布并通知领奖。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C0E81"/>
    <w:rsid w:val="447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2019-03-06T02:08:00Z</dcterms:created>
  <dc:creator>独孤情お聆絮飞恋</dc:creator>
  <cp:lastModifiedBy>独孤情お聆絮飞恋</cp:lastModifiedBy>
  <dcterms:modified xsi:type="dcterms:W3CDTF">2019-03-06T02:08:47Z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