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中华中医药学会中成药分会2018年学术年会回执</w:t>
      </w:r>
    </w:p>
    <w:tbl>
      <w:tblPr>
        <w:tblStyle w:val="4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292"/>
        <w:gridCol w:w="1167"/>
        <w:gridCol w:w="854"/>
        <w:gridCol w:w="940"/>
        <w:gridCol w:w="940"/>
        <w:gridCol w:w="940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  <w:t>性别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  <w:t>年龄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  <w:t>民族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9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24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eastAsia="zh-CN"/>
              </w:rPr>
              <w:t>职称</w:t>
            </w:r>
          </w:p>
        </w:tc>
        <w:tc>
          <w:tcPr>
            <w:tcW w:w="28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9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707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9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707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9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707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住宿要求</w:t>
            </w:r>
          </w:p>
        </w:tc>
        <w:tc>
          <w:tcPr>
            <w:tcW w:w="707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right="0" w:firstLine="1400" w:firstLineChars="500"/>
              <w:jc w:val="both"/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单间 □        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标准间合住 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B2C0F"/>
    <w:rsid w:val="431B2C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2018-06-26T05:58:00Z</dcterms:created>
  <dc:creator>admin</dc:creator>
  <cp:lastModifiedBy>admin</cp:lastModifiedBy>
  <dcterms:modified xsi:type="dcterms:W3CDTF">2018-06-26T05:58:53Z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