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附件</w:t>
      </w:r>
      <w:r>
        <w:rPr>
          <w:rFonts w:ascii="仿宋" w:hAnsi="仿宋" w:eastAsia="仿宋" w:cs="仿宋"/>
          <w:snapToGrid w:val="0"/>
          <w:sz w:val="32"/>
          <w:szCs w:val="32"/>
        </w:rPr>
        <w:t>1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.</w:t>
      </w:r>
    </w:p>
    <w:p>
      <w:pPr>
        <w:spacing w:line="300" w:lineRule="atLeast"/>
        <w:jc w:val="center"/>
        <w:rPr>
          <w:rFonts w:ascii="仿宋_GB2312" w:hAnsi="STSong-Light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STSong-Light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中华中医药学会感染病分会第十六次学术交流会参会回执</w:t>
      </w:r>
      <w:bookmarkEnd w:id="0"/>
    </w:p>
    <w:tbl>
      <w:tblPr>
        <w:tblStyle w:val="3"/>
        <w:tblW w:w="9266" w:type="dxa"/>
        <w:jc w:val="center"/>
        <w:tblInd w:w="0" w:type="dxa"/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0" w:type="dxa"/>
          <w:bottom w:w="0" w:type="dxa"/>
          <w:right w:w="50" w:type="dxa"/>
        </w:tblCellMar>
      </w:tblPr>
      <w:tblGrid>
        <w:gridCol w:w="1466"/>
        <w:gridCol w:w="1417"/>
        <w:gridCol w:w="885"/>
        <w:gridCol w:w="1808"/>
        <w:gridCol w:w="1276"/>
        <w:gridCol w:w="2414"/>
      </w:tblGrid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hAnsi="STSong-Light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仿宋_GB2312"/>
                <w:sz w:val="28"/>
                <w:szCs w:val="28"/>
              </w:rPr>
              <w:t>住宿需求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不住宿（ ）   单住（  ）   合住（  ）</w:t>
            </w:r>
          </w:p>
        </w:tc>
      </w:tr>
    </w:tbl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备注：可邮寄或发电子邮件。</w:t>
      </w:r>
    </w:p>
    <w:p>
      <w:pPr>
        <w:spacing w:line="300" w:lineRule="auto"/>
        <w:ind w:firstLine="640" w:firstLineChars="200"/>
        <w:rPr>
          <w:rFonts w:ascii="仿宋" w:hAnsi="仿宋" w:eastAsia="仿宋" w:cs="仿宋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52677"/>
    <w:rsid w:val="782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2018-06-04T06:06:50Z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