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中华中医药学会第十二次中药化学学术年会回执</w:t>
      </w:r>
    </w:p>
    <w:bookmarkEnd w:id="0"/>
    <w:tbl>
      <w:tblPr>
        <w:tblStyle w:val="3"/>
        <w:tblW w:w="8812" w:type="dxa"/>
        <w:jc w:val="center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995"/>
        <w:gridCol w:w="798"/>
        <w:gridCol w:w="747"/>
        <w:gridCol w:w="932"/>
        <w:gridCol w:w="615"/>
        <w:gridCol w:w="161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安排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标间合住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论文题目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学术报告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，时间约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分钟； 不需要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抵达车次/航班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药材基地学习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不参加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请于8月10日前将回执发送到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邮箱：</w:t>
      </w:r>
      <w:r>
        <w:rPr>
          <w:rFonts w:hint="eastAsia" w:ascii="仿宋" w:hAnsi="仿宋" w:eastAsia="仿宋" w:cs="仿宋"/>
          <w:sz w:val="28"/>
          <w:szCs w:val="28"/>
        </w:rPr>
        <w:t>zhongyaohuaxue_fh@126.com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2D72"/>
    <w:rsid w:val="1A982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2017-07-20T04:39:00Z</dcterms:created>
  <dc:creator>zhxsh</dc:creator>
  <cp:lastModifiedBy>zhxsh</cp:lastModifiedBy>
  <dcterms:modified xsi:type="dcterms:W3CDTF">2017-07-20T04:40:05Z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