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napToGrid w:val="0"/>
        <w:spacing w:afterLines="50" w:line="4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中华中医药学会肺系病分会换届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改选</w:t>
      </w:r>
      <w:r>
        <w:rPr>
          <w:rFonts w:hint="eastAsia" w:ascii="仿宋" w:hAnsi="仿宋" w:eastAsia="仿宋" w:cs="仿宋"/>
          <w:sz w:val="32"/>
          <w:szCs w:val="32"/>
        </w:rPr>
        <w:t>暨第二十次全国肺系病</w:t>
      </w:r>
    </w:p>
    <w:p>
      <w:pPr>
        <w:snapToGrid w:val="0"/>
        <w:spacing w:afterLines="50" w:line="4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学术交流会会议回执</w:t>
      </w:r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72"/>
        <w:gridCol w:w="1524"/>
        <w:gridCol w:w="1680"/>
        <w:gridCol w:w="134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职务/职称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7"/>
              </w:tabs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37"/>
              </w:tabs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是否需要安排单间住宿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07"/>
              </w:tabs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          □否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  <w:u w:val="single"/>
        </w:rPr>
      </w:pPr>
      <w:bookmarkStart w:id="0" w:name="_GoBack"/>
      <w:bookmarkEnd w:id="0"/>
    </w:p>
    <w:p/>
    <w:sectPr>
      <w:pgSz w:w="11906" w:h="16838"/>
      <w:pgMar w:top="1587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17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2016-09-27T03:19:58Z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