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9640" w:type="dxa"/>
        <w:tblInd w:w="-652" w:type="dxa"/>
        <w:tblLayout w:type="fixed"/>
        <w:tblCellMar>
          <w:top w:w="0" w:type="dxa"/>
          <w:left w:w="0" w:type="dxa"/>
          <w:bottom w:w="0" w:type="dxa"/>
          <w:right w:w="0" w:type="dxa"/>
        </w:tblCellMar>
      </w:tblPr>
      <w:tblGrid>
        <w:gridCol w:w="454"/>
        <w:gridCol w:w="283"/>
        <w:gridCol w:w="2042"/>
        <w:gridCol w:w="453"/>
        <w:gridCol w:w="1134"/>
        <w:gridCol w:w="5124"/>
        <w:gridCol w:w="150"/>
      </w:tblGrid>
      <w:tr w14:paraId="6B20E0E2">
        <w:tblPrEx>
          <w:tblCellMar>
            <w:top w:w="0" w:type="dxa"/>
            <w:left w:w="0" w:type="dxa"/>
            <w:bottom w:w="0" w:type="dxa"/>
            <w:right w:w="0" w:type="dxa"/>
          </w:tblCellMar>
        </w:tblPrEx>
        <w:trPr>
          <w:gridAfter w:val="4"/>
          <w:wAfter w:w="6861" w:type="dxa"/>
          <w:trHeight w:val="312" w:hRule="exact"/>
        </w:trPr>
        <w:tc>
          <w:tcPr>
            <w:tcW w:w="454" w:type="dxa"/>
            <w:vAlign w:val="center"/>
          </w:tcPr>
          <w:p w14:paraId="71F26BC3">
            <w:pPr>
              <w:rPr>
                <w:rFonts w:eastAsia="黑体" w:cs="Times New Roman"/>
                <w:b/>
                <w:szCs w:val="20"/>
              </w:rPr>
            </w:pPr>
            <w:r>
              <w:rPr>
                <w:rFonts w:eastAsia="黑体" w:cs="Times New Roman"/>
                <w:b/>
                <w:szCs w:val="20"/>
              </w:rPr>
              <w:t>ICS</w:t>
            </w:r>
          </w:p>
        </w:tc>
        <w:tc>
          <w:tcPr>
            <w:tcW w:w="2325" w:type="dxa"/>
            <w:gridSpan w:val="2"/>
            <w:vAlign w:val="center"/>
          </w:tcPr>
          <w:p w14:paraId="7C1D048F">
            <w:pPr>
              <w:jc w:val="left"/>
              <w:textAlignment w:val="center"/>
              <w:rPr>
                <w:rFonts w:hint="eastAsia" w:ascii="黑体" w:hAnsi="黑体" w:eastAsia="黑体" w:cs="Times New Roman"/>
                <w:kern w:val="0"/>
                <w:szCs w:val="20"/>
              </w:rPr>
            </w:pPr>
            <w:r>
              <w:rPr>
                <w:rFonts w:hint="eastAsia" w:ascii="黑体" w:hAnsi="黑体" w:eastAsia="黑体" w:cs="Times New Roman"/>
                <w:color w:val="8496B0"/>
                <w:spacing w:val="10"/>
                <w:szCs w:val="20"/>
              </w:rPr>
              <w:drawing>
                <wp:anchor distT="0" distB="0" distL="0" distR="0" simplePos="0" relativeHeight="251659264" behindDoc="0" locked="0" layoutInCell="1" allowOverlap="1">
                  <wp:simplePos x="0" y="0"/>
                  <wp:positionH relativeFrom="column">
                    <wp:posOffset>4218305</wp:posOffset>
                  </wp:positionH>
                  <wp:positionV relativeFrom="paragraph">
                    <wp:posOffset>22860</wp:posOffset>
                  </wp:positionV>
                  <wp:extent cx="1242695" cy="1223645"/>
                  <wp:effectExtent l="0" t="0" r="6985" b="10795"/>
                  <wp:wrapNone/>
                  <wp:docPr id="1026" name="图片 49"/>
                  <wp:cNvGraphicFramePr/>
                  <a:graphic xmlns:a="http://schemas.openxmlformats.org/drawingml/2006/main">
                    <a:graphicData uri="http://schemas.openxmlformats.org/drawingml/2006/picture">
                      <pic:pic xmlns:pic="http://schemas.openxmlformats.org/drawingml/2006/picture">
                        <pic:nvPicPr>
                          <pic:cNvPr id="1026" name="图片 49"/>
                          <pic:cNvPicPr/>
                        </pic:nvPicPr>
                        <pic:blipFill>
                          <a:blip r:embed="rId14" cstate="print"/>
                          <a:srcRect/>
                          <a:stretch>
                            <a:fillRect/>
                          </a:stretch>
                        </pic:blipFill>
                        <pic:spPr>
                          <a:xfrm>
                            <a:off x="0" y="0"/>
                            <a:ext cx="1242695" cy="1223645"/>
                          </a:xfrm>
                          <a:prstGeom prst="rect">
                            <a:avLst/>
                          </a:prstGeom>
                          <a:ln>
                            <a:noFill/>
                          </a:ln>
                        </pic:spPr>
                      </pic:pic>
                    </a:graphicData>
                  </a:graphic>
                </wp:anchor>
              </w:drawing>
            </w:r>
            <w:r>
              <w:rPr>
                <w:rFonts w:hint="eastAsia" w:ascii="黑体" w:hAnsi="黑体" w:eastAsia="黑体" w:cs="Times New Roman"/>
                <w:color w:val="8496B0"/>
                <w:spacing w:val="10"/>
                <w:szCs w:val="20"/>
              </w:rPr>
              <w:t>**.***.**</w:t>
            </w:r>
          </w:p>
          <w:p w14:paraId="0044D15F">
            <w:pPr>
              <w:rPr>
                <w:rFonts w:hint="eastAsia" w:ascii="黑体" w:hAnsi="黑体" w:eastAsia="黑体" w:cs="Times New Roman"/>
                <w:szCs w:val="20"/>
              </w:rPr>
            </w:pPr>
          </w:p>
        </w:tc>
      </w:tr>
      <w:tr w14:paraId="48A66641">
        <w:tblPrEx>
          <w:tblCellMar>
            <w:top w:w="0" w:type="dxa"/>
            <w:left w:w="0" w:type="dxa"/>
            <w:bottom w:w="0" w:type="dxa"/>
            <w:right w:w="0" w:type="dxa"/>
          </w:tblCellMar>
        </w:tblPrEx>
        <w:trPr>
          <w:gridAfter w:val="4"/>
          <w:wAfter w:w="6861" w:type="dxa"/>
          <w:trHeight w:val="312" w:hRule="exact"/>
        </w:trPr>
        <w:tc>
          <w:tcPr>
            <w:tcW w:w="737" w:type="dxa"/>
            <w:gridSpan w:val="2"/>
            <w:vAlign w:val="center"/>
          </w:tcPr>
          <w:p w14:paraId="676020DB">
            <w:pPr>
              <w:ind w:right="-170"/>
              <w:rPr>
                <w:rFonts w:hint="eastAsia" w:ascii="黑体" w:hAnsi="黑体" w:eastAsia="黑体" w:cs="Times New Roman"/>
                <w:szCs w:val="20"/>
              </w:rPr>
            </w:pPr>
            <w:r>
              <w:rPr>
                <w:rFonts w:eastAsia="黑体" w:cs="Times New Roman"/>
                <w:b/>
                <w:szCs w:val="20"/>
              </w:rPr>
              <w:t>C</w:t>
            </w:r>
            <w:r>
              <w:rPr>
                <w:rFonts w:hint="eastAsia" w:ascii="黑体" w:hAnsi="黑体" w:eastAsia="黑体" w:cs="Times New Roman"/>
                <w:color w:val="8496B0"/>
                <w:spacing w:val="10"/>
                <w:szCs w:val="20"/>
              </w:rPr>
              <w:t>**</w:t>
            </w:r>
          </w:p>
        </w:tc>
        <w:tc>
          <w:tcPr>
            <w:tcW w:w="2042" w:type="dxa"/>
            <w:vAlign w:val="center"/>
          </w:tcPr>
          <w:p w14:paraId="6DD96937">
            <w:pPr>
              <w:rPr>
                <w:rFonts w:eastAsia="黑体" w:cs="Times New Roman"/>
                <w:szCs w:val="20"/>
              </w:rPr>
            </w:pPr>
          </w:p>
        </w:tc>
      </w:tr>
      <w:tr w14:paraId="39DFBBD5">
        <w:tblPrEx>
          <w:tblCellMar>
            <w:top w:w="0" w:type="dxa"/>
            <w:left w:w="0" w:type="dxa"/>
            <w:bottom w:w="0" w:type="dxa"/>
            <w:right w:w="0" w:type="dxa"/>
          </w:tblCellMar>
        </w:tblPrEx>
        <w:trPr>
          <w:gridAfter w:val="4"/>
          <w:wAfter w:w="6861" w:type="dxa"/>
          <w:trHeight w:val="312" w:hRule="exact"/>
        </w:trPr>
        <w:tc>
          <w:tcPr>
            <w:tcW w:w="737" w:type="dxa"/>
            <w:gridSpan w:val="2"/>
            <w:vAlign w:val="center"/>
          </w:tcPr>
          <w:p w14:paraId="32ADAE72">
            <w:pPr>
              <w:ind w:right="-170"/>
              <w:rPr>
                <w:rFonts w:eastAsia="黑体" w:cs="Times New Roman"/>
                <w:szCs w:val="20"/>
              </w:rPr>
            </w:pPr>
          </w:p>
        </w:tc>
        <w:tc>
          <w:tcPr>
            <w:tcW w:w="2042" w:type="dxa"/>
            <w:vAlign w:val="center"/>
          </w:tcPr>
          <w:p w14:paraId="4C0A154B">
            <w:pPr>
              <w:ind w:left="57"/>
              <w:rPr>
                <w:rFonts w:ascii="Arial Narrow" w:hAnsi="Arial Narrow" w:eastAsia="黑体" w:cs="Times New Roman"/>
                <w:szCs w:val="20"/>
              </w:rPr>
            </w:pPr>
          </w:p>
        </w:tc>
      </w:tr>
      <w:tr w14:paraId="2666AE2C">
        <w:tblPrEx>
          <w:tblCellMar>
            <w:top w:w="0" w:type="dxa"/>
            <w:left w:w="0" w:type="dxa"/>
            <w:bottom w:w="0" w:type="dxa"/>
            <w:right w:w="0" w:type="dxa"/>
          </w:tblCellMar>
        </w:tblPrEx>
        <w:trPr>
          <w:gridAfter w:val="4"/>
          <w:wAfter w:w="6861" w:type="dxa"/>
          <w:trHeight w:val="312" w:hRule="exact"/>
        </w:trPr>
        <w:tc>
          <w:tcPr>
            <w:tcW w:w="737" w:type="dxa"/>
            <w:gridSpan w:val="2"/>
            <w:vAlign w:val="center"/>
          </w:tcPr>
          <w:p w14:paraId="5735AF32">
            <w:pPr>
              <w:ind w:right="-170"/>
              <w:rPr>
                <w:rFonts w:eastAsia="黑体" w:cs="Times New Roman"/>
                <w:i/>
                <w:szCs w:val="20"/>
              </w:rPr>
            </w:pPr>
          </w:p>
        </w:tc>
        <w:tc>
          <w:tcPr>
            <w:tcW w:w="2042" w:type="dxa"/>
            <w:vAlign w:val="center"/>
          </w:tcPr>
          <w:p w14:paraId="418F02AE">
            <w:pPr>
              <w:ind w:left="57"/>
              <w:rPr>
                <w:rFonts w:ascii="Arial Narrow" w:hAnsi="Arial Narrow" w:eastAsia="黑体" w:cs="Times New Roman"/>
                <w:i/>
                <w:szCs w:val="20"/>
              </w:rPr>
            </w:pPr>
          </w:p>
        </w:tc>
      </w:tr>
      <w:tr w14:paraId="15969AB2">
        <w:tblPrEx>
          <w:tblCellMar>
            <w:top w:w="0" w:type="dxa"/>
            <w:left w:w="0" w:type="dxa"/>
            <w:bottom w:w="0" w:type="dxa"/>
            <w:right w:w="0" w:type="dxa"/>
          </w:tblCellMar>
        </w:tblPrEx>
        <w:trPr>
          <w:trHeight w:val="368" w:hRule="exact"/>
        </w:trPr>
        <w:tc>
          <w:tcPr>
            <w:tcW w:w="9640" w:type="dxa"/>
            <w:gridSpan w:val="7"/>
          </w:tcPr>
          <w:p w14:paraId="4C34831C">
            <w:pPr>
              <w:spacing w:before="120" w:after="120"/>
              <w:rPr>
                <w:rFonts w:cs="Times New Roman"/>
                <w:szCs w:val="20"/>
              </w:rPr>
            </w:pPr>
          </w:p>
        </w:tc>
      </w:tr>
      <w:tr w14:paraId="5D28D75D">
        <w:tblPrEx>
          <w:tblCellMar>
            <w:top w:w="0" w:type="dxa"/>
            <w:left w:w="0" w:type="dxa"/>
            <w:bottom w:w="0" w:type="dxa"/>
            <w:right w:w="0" w:type="dxa"/>
          </w:tblCellMar>
        </w:tblPrEx>
        <w:trPr>
          <w:trHeight w:val="120" w:hRule="exact"/>
        </w:trPr>
        <w:tc>
          <w:tcPr>
            <w:tcW w:w="9640" w:type="dxa"/>
            <w:gridSpan w:val="7"/>
          </w:tcPr>
          <w:p w14:paraId="4DB96A1E">
            <w:pPr>
              <w:spacing w:before="120" w:after="120"/>
              <w:rPr>
                <w:rFonts w:cs="Times New Roman"/>
                <w:szCs w:val="20"/>
              </w:rPr>
            </w:pPr>
          </w:p>
        </w:tc>
      </w:tr>
      <w:tr w14:paraId="26083731">
        <w:tblPrEx>
          <w:tblCellMar>
            <w:top w:w="0" w:type="dxa"/>
            <w:left w:w="0" w:type="dxa"/>
            <w:bottom w:w="0" w:type="dxa"/>
            <w:right w:w="0" w:type="dxa"/>
          </w:tblCellMar>
        </w:tblPrEx>
        <w:trPr>
          <w:trHeight w:val="518" w:hRule="exact"/>
        </w:trPr>
        <w:tc>
          <w:tcPr>
            <w:tcW w:w="9640" w:type="dxa"/>
            <w:gridSpan w:val="7"/>
          </w:tcPr>
          <w:p w14:paraId="02DAFC28">
            <w:pPr>
              <w:spacing w:before="120" w:after="120"/>
              <w:rPr>
                <w:rFonts w:cs="Times New Roman"/>
                <w:szCs w:val="20"/>
              </w:rPr>
            </w:pPr>
          </w:p>
        </w:tc>
      </w:tr>
      <w:tr w14:paraId="0FBFF77D">
        <w:tblPrEx>
          <w:tblCellMar>
            <w:top w:w="0" w:type="dxa"/>
            <w:left w:w="0" w:type="dxa"/>
            <w:bottom w:w="0" w:type="dxa"/>
            <w:right w:w="0" w:type="dxa"/>
          </w:tblCellMar>
        </w:tblPrEx>
        <w:trPr>
          <w:trHeight w:val="722" w:hRule="exact"/>
        </w:trPr>
        <w:tc>
          <w:tcPr>
            <w:tcW w:w="9640" w:type="dxa"/>
            <w:gridSpan w:val="7"/>
            <w:vAlign w:val="center"/>
          </w:tcPr>
          <w:p w14:paraId="243A102C">
            <w:pPr>
              <w:spacing w:after="240" w:line="560" w:lineRule="exact"/>
              <w:ind w:right="28"/>
              <w:jc w:val="center"/>
              <w:rPr>
                <w:rFonts w:eastAsia="黑体" w:cs="Times New Roman"/>
                <w:w w:val="140"/>
                <w:sz w:val="52"/>
                <w:szCs w:val="20"/>
              </w:rPr>
            </w:pPr>
            <w:r>
              <w:rPr>
                <w:rFonts w:hint="eastAsia" w:eastAsia="黑体" w:cs="Times New Roman"/>
                <w:w w:val="140"/>
                <w:sz w:val="52"/>
                <w:szCs w:val="20"/>
              </w:rPr>
              <w:t>团体标准</w:t>
            </w:r>
          </w:p>
          <w:p w14:paraId="628B2965">
            <w:pPr>
              <w:spacing w:line="520" w:lineRule="exact"/>
              <w:rPr>
                <w:rFonts w:cs="Times New Roman"/>
                <w:w w:val="140"/>
                <w:sz w:val="52"/>
                <w:szCs w:val="20"/>
              </w:rPr>
            </w:pPr>
          </w:p>
        </w:tc>
      </w:tr>
      <w:tr w14:paraId="0B1A4128">
        <w:tblPrEx>
          <w:tblCellMar>
            <w:top w:w="0" w:type="dxa"/>
            <w:left w:w="0" w:type="dxa"/>
            <w:bottom w:w="0" w:type="dxa"/>
            <w:right w:w="0" w:type="dxa"/>
          </w:tblCellMar>
        </w:tblPrEx>
        <w:trPr>
          <w:trHeight w:val="1108" w:hRule="exact"/>
        </w:trPr>
        <w:tc>
          <w:tcPr>
            <w:tcW w:w="9640" w:type="dxa"/>
            <w:gridSpan w:val="7"/>
          </w:tcPr>
          <w:p w14:paraId="52862A2F">
            <w:pPr>
              <w:widowControl/>
              <w:spacing w:before="357" w:line="280" w:lineRule="exact"/>
              <w:jc w:val="right"/>
              <w:rPr>
                <w:rFonts w:hint="eastAsia" w:ascii="黑体" w:hAnsi="黑体" w:eastAsia="黑体" w:cs="Times New Roman"/>
                <w:kern w:val="0"/>
                <w:sz w:val="28"/>
                <w:szCs w:val="28"/>
              </w:rPr>
            </w:pPr>
            <w:r>
              <w:rPr>
                <w:rFonts w:ascii="黑体" w:hAnsi="黑体" w:eastAsia="黑体" w:cs="Times New Roman"/>
                <w:kern w:val="0"/>
                <w:sz w:val="28"/>
                <w:szCs w:val="28"/>
              </w:rPr>
              <w:t xml:space="preserve">T/CACM </w:t>
            </w:r>
            <w:r>
              <w:rPr>
                <w:rFonts w:hint="eastAsia" w:ascii="黑体" w:hAnsi="黑体" w:eastAsia="黑体" w:cs="Times New Roman"/>
                <w:kern w:val="0"/>
                <w:sz w:val="28"/>
                <w:szCs w:val="28"/>
              </w:rPr>
              <w:t>****</w:t>
            </w:r>
            <w:r>
              <w:rPr>
                <w:rFonts w:ascii="黑体" w:hAnsi="黑体" w:eastAsia="黑体" w:cs="Times New Roman"/>
                <w:kern w:val="0"/>
                <w:sz w:val="28"/>
                <w:szCs w:val="28"/>
              </w:rPr>
              <w:t>—202*</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tblGrid>
            <w:tr w14:paraId="168EA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14:paraId="000D3AA0">
                  <w:pPr>
                    <w:widowControl/>
                    <w:wordWrap w:val="0"/>
                    <w:spacing w:before="57" w:line="280" w:lineRule="exact"/>
                    <w:jc w:val="right"/>
                    <w:rPr>
                      <w:rFonts w:ascii="宋体" w:cs="Times New Roman"/>
                      <w:kern w:val="0"/>
                      <w:szCs w:val="21"/>
                    </w:rPr>
                  </w:pPr>
                  <w:r>
                    <w:rPr>
                      <w:rFonts w:ascii="宋体" w:cs="Times New Roman"/>
                      <w:kern w:val="0"/>
                      <w:szCs w:val="21"/>
                    </w:rPr>
                    <mc:AlternateContent>
                      <mc:Choice Requires="wps">
                        <w:drawing>
                          <wp:anchor distT="0" distB="0" distL="0" distR="0" simplePos="0" relativeHeight="251660288" behindDoc="1" locked="0" layoutInCell="1" allowOverlap="1">
                            <wp:simplePos x="0" y="0"/>
                            <wp:positionH relativeFrom="column">
                              <wp:posOffset>4734560</wp:posOffset>
                            </wp:positionH>
                            <wp:positionV relativeFrom="paragraph">
                              <wp:posOffset>34290</wp:posOffset>
                            </wp:positionV>
                            <wp:extent cx="1143000" cy="228600"/>
                            <wp:effectExtent l="0" t="0" r="0" b="0"/>
                            <wp:wrapNone/>
                            <wp:docPr id="1027" name="矩形 1"/>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ps:wsp>
                              </a:graphicData>
                            </a:graphic>
                          </wp:anchor>
                        </w:drawing>
                      </mc:Choice>
                      <mc:Fallback>
                        <w:pict>
                          <v:rect id="矩形 1" o:spid="_x0000_s1026" o:spt="1" style="position:absolute;left:0pt;margin-left:372.8pt;margin-top:2.7pt;height:18pt;width:90pt;z-index:-251656192;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HmDyy9YAAAAIAQAA&#10;DwAAAAAAAAABACAAAAAiAAAAZHJzL2Rvd25yZXYueG1sUEsBAhQAFAAAAAgAh07iQMONTU6pAQAA&#10;VgMAAA4AAAAAAAAAAQAgAAAAJQEAAGRycy9lMm9Eb2MueG1sUEsFBgAAAAAGAAYAWQEAAEAFAAAA&#10;AA==&#10;">
                            <v:fill on="t" focussize="0,0"/>
                            <v:stroke on="f"/>
                            <v:imagedata o:title=""/>
                            <o:lock v:ext="edit" aspectratio="f"/>
                          </v:rect>
                        </w:pict>
                      </mc:Fallback>
                    </mc:AlternateContent>
                  </w:r>
                  <w:r>
                    <w:rPr>
                      <w:rFonts w:hint="eastAsia" w:ascii="宋体" w:cs="Times New Roman"/>
                      <w:kern w:val="0"/>
                      <w:szCs w:val="21"/>
                    </w:rPr>
                    <w:t xml:space="preserve">代替 </w:t>
                  </w:r>
                  <w:r>
                    <w:rPr>
                      <w:rFonts w:ascii="宋体" w:cs="Times New Roman"/>
                      <w:kern w:val="0"/>
                      <w:szCs w:val="21"/>
                    </w:rPr>
                    <w:t>T/CACM ****—</w:t>
                  </w:r>
                  <w:r>
                    <w:rPr>
                      <w:rFonts w:hint="eastAsia" w:ascii="宋体" w:cs="Times New Roman"/>
                      <w:kern w:val="0"/>
                      <w:szCs w:val="21"/>
                    </w:rPr>
                    <w:t>***</w:t>
                  </w:r>
                  <w:r>
                    <w:rPr>
                      <w:rFonts w:ascii="宋体" w:cs="Times New Roman"/>
                      <w:kern w:val="0"/>
                      <w:szCs w:val="21"/>
                    </w:rPr>
                    <w:t>*</w:t>
                  </w:r>
                </w:p>
              </w:tc>
            </w:tr>
          </w:tbl>
          <w:p w14:paraId="7ACFA5D8">
            <w:pPr>
              <w:jc w:val="center"/>
              <w:rPr>
                <w:rFonts w:eastAsia="黑体" w:cs="Times New Roman"/>
                <w:b/>
                <w:sz w:val="52"/>
                <w:szCs w:val="20"/>
              </w:rPr>
            </w:pPr>
          </w:p>
        </w:tc>
      </w:tr>
      <w:tr w14:paraId="0A565D04">
        <w:tblPrEx>
          <w:tblCellMar>
            <w:top w:w="0" w:type="dxa"/>
            <w:left w:w="0" w:type="dxa"/>
            <w:bottom w:w="0" w:type="dxa"/>
            <w:right w:w="0" w:type="dxa"/>
          </w:tblCellMar>
        </w:tblPrEx>
        <w:trPr>
          <w:cantSplit/>
          <w:trHeight w:val="60" w:hRule="exact"/>
        </w:trPr>
        <w:tc>
          <w:tcPr>
            <w:tcW w:w="3232" w:type="dxa"/>
            <w:gridSpan w:val="4"/>
            <w:vAlign w:val="center"/>
          </w:tcPr>
          <w:p w14:paraId="09425C59">
            <w:pPr>
              <w:rPr>
                <w:rFonts w:cs="Times New Roman"/>
                <w:szCs w:val="20"/>
              </w:rPr>
            </w:pPr>
          </w:p>
        </w:tc>
        <w:tc>
          <w:tcPr>
            <w:tcW w:w="1134" w:type="dxa"/>
            <w:vAlign w:val="center"/>
          </w:tcPr>
          <w:p w14:paraId="51DD7A61">
            <w:pPr>
              <w:jc w:val="right"/>
              <w:rPr>
                <w:rFonts w:cs="Times New Roman"/>
                <w:szCs w:val="20"/>
              </w:rPr>
            </w:pPr>
          </w:p>
        </w:tc>
        <w:tc>
          <w:tcPr>
            <w:tcW w:w="5124" w:type="dxa"/>
            <w:vAlign w:val="center"/>
          </w:tcPr>
          <w:p w14:paraId="38ACAFFC">
            <w:pPr>
              <w:wordWrap w:val="0"/>
              <w:jc w:val="right"/>
              <w:rPr>
                <w:rFonts w:cs="Times New Roman"/>
                <w:szCs w:val="20"/>
              </w:rPr>
            </w:pPr>
          </w:p>
        </w:tc>
        <w:tc>
          <w:tcPr>
            <w:tcW w:w="150" w:type="dxa"/>
            <w:vAlign w:val="center"/>
          </w:tcPr>
          <w:p w14:paraId="53E81ABB">
            <w:pPr>
              <w:rPr>
                <w:rFonts w:cs="Times New Roman"/>
                <w:szCs w:val="20"/>
              </w:rPr>
            </w:pPr>
          </w:p>
        </w:tc>
      </w:tr>
      <w:tr w14:paraId="19D24547">
        <w:tblPrEx>
          <w:tblCellMar>
            <w:top w:w="0" w:type="dxa"/>
            <w:left w:w="0" w:type="dxa"/>
            <w:bottom w:w="0" w:type="dxa"/>
            <w:right w:w="0" w:type="dxa"/>
          </w:tblCellMar>
        </w:tblPrEx>
        <w:trPr>
          <w:cantSplit/>
          <w:trHeight w:val="80" w:hRule="exact"/>
        </w:trPr>
        <w:tc>
          <w:tcPr>
            <w:tcW w:w="3232" w:type="dxa"/>
            <w:gridSpan w:val="4"/>
            <w:vAlign w:val="center"/>
          </w:tcPr>
          <w:p w14:paraId="2E3B1734">
            <w:pPr>
              <w:rPr>
                <w:rFonts w:cs="Times New Roman"/>
                <w:szCs w:val="20"/>
              </w:rPr>
            </w:pPr>
          </w:p>
        </w:tc>
        <w:tc>
          <w:tcPr>
            <w:tcW w:w="1134" w:type="dxa"/>
            <w:vAlign w:val="center"/>
          </w:tcPr>
          <w:p w14:paraId="2BF5FAF0">
            <w:pPr>
              <w:jc w:val="right"/>
              <w:rPr>
                <w:rFonts w:cs="Times New Roman"/>
                <w:szCs w:val="20"/>
              </w:rPr>
            </w:pPr>
          </w:p>
        </w:tc>
        <w:tc>
          <w:tcPr>
            <w:tcW w:w="5124" w:type="dxa"/>
            <w:vAlign w:val="center"/>
          </w:tcPr>
          <w:p w14:paraId="16A882E3">
            <w:pPr>
              <w:wordWrap w:val="0"/>
              <w:jc w:val="right"/>
              <w:rPr>
                <w:rFonts w:cs="Times New Roman"/>
                <w:szCs w:val="20"/>
              </w:rPr>
            </w:pPr>
          </w:p>
        </w:tc>
        <w:tc>
          <w:tcPr>
            <w:tcW w:w="150" w:type="dxa"/>
            <w:vAlign w:val="center"/>
          </w:tcPr>
          <w:p w14:paraId="59B1ECB2">
            <w:pPr>
              <w:rPr>
                <w:rFonts w:cs="Times New Roman"/>
                <w:szCs w:val="20"/>
              </w:rPr>
            </w:pPr>
          </w:p>
        </w:tc>
      </w:tr>
      <w:tr w14:paraId="6A704F1C">
        <w:tblPrEx>
          <w:tblCellMar>
            <w:top w:w="0" w:type="dxa"/>
            <w:left w:w="0" w:type="dxa"/>
            <w:bottom w:w="0" w:type="dxa"/>
            <w:right w:w="0" w:type="dxa"/>
          </w:tblCellMar>
        </w:tblPrEx>
        <w:trPr>
          <w:trHeight w:val="340" w:hRule="exact"/>
        </w:trPr>
        <w:tc>
          <w:tcPr>
            <w:tcW w:w="9640" w:type="dxa"/>
            <w:gridSpan w:val="7"/>
            <w:tcBorders>
              <w:bottom w:val="single" w:color="auto" w:sz="8" w:space="0"/>
            </w:tcBorders>
          </w:tcPr>
          <w:p w14:paraId="32B87BC0">
            <w:pPr>
              <w:rPr>
                <w:rFonts w:eastAsia="黑体" w:cs="Times New Roman"/>
                <w:b/>
                <w:sz w:val="52"/>
                <w:szCs w:val="20"/>
              </w:rPr>
            </w:pPr>
          </w:p>
        </w:tc>
      </w:tr>
      <w:tr w14:paraId="6B9DA1AA">
        <w:tblPrEx>
          <w:tblCellMar>
            <w:top w:w="0" w:type="dxa"/>
            <w:left w:w="0" w:type="dxa"/>
            <w:bottom w:w="0" w:type="dxa"/>
            <w:right w:w="0" w:type="dxa"/>
          </w:tblCellMar>
        </w:tblPrEx>
        <w:trPr>
          <w:trHeight w:val="1938" w:hRule="exact"/>
        </w:trPr>
        <w:tc>
          <w:tcPr>
            <w:tcW w:w="9640" w:type="dxa"/>
            <w:gridSpan w:val="7"/>
            <w:tcBorders>
              <w:top w:val="single" w:color="auto" w:sz="8" w:space="0"/>
            </w:tcBorders>
            <w:vAlign w:val="center"/>
          </w:tcPr>
          <w:p w14:paraId="7197E79F">
            <w:pPr>
              <w:jc w:val="center"/>
              <w:rPr>
                <w:rFonts w:eastAsia="黑体" w:cs="Times New Roman"/>
                <w:sz w:val="52"/>
                <w:szCs w:val="20"/>
              </w:rPr>
            </w:pPr>
            <w:bookmarkStart w:id="0" w:name="_Hlk92788563"/>
          </w:p>
        </w:tc>
      </w:tr>
      <w:bookmarkEnd w:id="0"/>
      <w:tr w14:paraId="48A14375">
        <w:tblPrEx>
          <w:tblCellMar>
            <w:top w:w="0" w:type="dxa"/>
            <w:left w:w="0" w:type="dxa"/>
            <w:bottom w:w="0" w:type="dxa"/>
            <w:right w:w="0" w:type="dxa"/>
          </w:tblCellMar>
        </w:tblPrEx>
        <w:trPr>
          <w:trHeight w:val="834" w:hRule="exact"/>
        </w:trPr>
        <w:tc>
          <w:tcPr>
            <w:tcW w:w="9640" w:type="dxa"/>
            <w:gridSpan w:val="7"/>
            <w:vAlign w:val="center"/>
          </w:tcPr>
          <w:p w14:paraId="194FEDF9">
            <w:pPr>
              <w:spacing w:before="120" w:beforeLines="50" w:after="120" w:afterLines="50" w:line="360" w:lineRule="auto"/>
              <w:jc w:val="center"/>
              <w:rPr>
                <w:rFonts w:hint="eastAsia" w:ascii="黑体" w:hAnsi="黑体" w:eastAsia="黑体" w:cs="Times New Roman"/>
                <w:color w:val="000000"/>
                <w:sz w:val="48"/>
                <w:szCs w:val="48"/>
              </w:rPr>
            </w:pPr>
            <w:r>
              <w:rPr>
                <w:rFonts w:hint="eastAsia" w:ascii="黑体" w:hAnsi="黑体" w:eastAsia="黑体" w:cs="Times New Roman"/>
                <w:color w:val="000000"/>
                <w:sz w:val="48"/>
                <w:szCs w:val="48"/>
              </w:rPr>
              <w:t>冠心病中西医结合康复指南</w:t>
            </w:r>
          </w:p>
          <w:p w14:paraId="2A691CA2">
            <w:pPr>
              <w:ind w:left="-105" w:leftChars="-50"/>
              <w:jc w:val="center"/>
              <w:rPr>
                <w:rFonts w:hint="eastAsia" w:ascii="黑体" w:hAnsi="黑体" w:eastAsia="黑体" w:cs="Times New Roman"/>
                <w:sz w:val="52"/>
                <w:szCs w:val="52"/>
              </w:rPr>
            </w:pPr>
          </w:p>
          <w:p w14:paraId="1D7C4F04">
            <w:pPr>
              <w:spacing w:line="680" w:lineRule="exact"/>
              <w:jc w:val="center"/>
              <w:textAlignment w:val="center"/>
              <w:rPr>
                <w:rFonts w:ascii="黑体" w:eastAsia="黑体" w:cs="Times New Roman"/>
                <w:kern w:val="0"/>
                <w:sz w:val="52"/>
                <w:szCs w:val="20"/>
              </w:rPr>
            </w:pPr>
          </w:p>
          <w:p w14:paraId="44F00FF7">
            <w:pPr>
              <w:spacing w:line="640" w:lineRule="exact"/>
              <w:jc w:val="center"/>
              <w:rPr>
                <w:rFonts w:ascii="黑体" w:eastAsia="黑体" w:cs="Times New Roman"/>
                <w:spacing w:val="-6"/>
                <w:sz w:val="52"/>
                <w:szCs w:val="52"/>
              </w:rPr>
            </w:pPr>
          </w:p>
        </w:tc>
      </w:tr>
      <w:tr w14:paraId="56C45A0F">
        <w:tblPrEx>
          <w:tblCellMar>
            <w:top w:w="0" w:type="dxa"/>
            <w:left w:w="0" w:type="dxa"/>
            <w:bottom w:w="0" w:type="dxa"/>
            <w:right w:w="0" w:type="dxa"/>
          </w:tblCellMar>
        </w:tblPrEx>
        <w:trPr>
          <w:trHeight w:val="1319" w:hRule="exact"/>
        </w:trPr>
        <w:tc>
          <w:tcPr>
            <w:tcW w:w="9640" w:type="dxa"/>
            <w:gridSpan w:val="7"/>
            <w:vAlign w:val="center"/>
          </w:tcPr>
          <w:p w14:paraId="6DA5B957">
            <w:pPr>
              <w:spacing w:line="360" w:lineRule="auto"/>
              <w:jc w:val="center"/>
              <w:rPr>
                <w:rFonts w:hint="eastAsia" w:ascii="宋体" w:hAnsi="宋体" w:cs="Times New Roman"/>
                <w:color w:val="000000"/>
                <w:sz w:val="22"/>
                <w:szCs w:val="28"/>
              </w:rPr>
            </w:pPr>
            <w:r>
              <w:rPr>
                <w:rFonts w:hint="eastAsia" w:eastAsia="黑体" w:cs="Times New Roman"/>
                <w:color w:val="000000"/>
                <w:sz w:val="28"/>
                <w:szCs w:val="28"/>
              </w:rPr>
              <w:t>Guideline for Integrated Traditional Chinese and Western Medicine Rehabilitation of Coronary Heart Disease</w:t>
            </w:r>
          </w:p>
          <w:p w14:paraId="09C436A5">
            <w:pPr>
              <w:spacing w:line="360" w:lineRule="auto"/>
              <w:jc w:val="center"/>
              <w:rPr>
                <w:rFonts w:hint="eastAsia" w:ascii="宋体" w:hAnsi="宋体" w:cs="Times New Roman"/>
                <w:color w:val="000000"/>
                <w:sz w:val="22"/>
                <w:szCs w:val="28"/>
              </w:rPr>
            </w:pPr>
            <w:r>
              <w:rPr>
                <w:rFonts w:hint="eastAsia" w:ascii="宋体" w:hAnsi="宋体" w:cs="Times New Roman"/>
                <w:color w:val="000000"/>
                <w:sz w:val="22"/>
                <w:szCs w:val="28"/>
              </w:rPr>
              <w:t>（文件类型：</w:t>
            </w:r>
            <w:r>
              <w:rPr>
                <w:rFonts w:hint="eastAsia" w:ascii="宋体" w:hAnsi="宋体" w:cs="Times New Roman"/>
                <w:color w:val="000000"/>
                <w:sz w:val="22"/>
                <w:szCs w:val="28"/>
                <w:lang w:eastAsia="zh-CN"/>
              </w:rPr>
              <w:t>公示稿</w:t>
            </w:r>
            <w:r>
              <w:rPr>
                <w:rFonts w:hint="eastAsia" w:ascii="宋体" w:hAnsi="宋体" w:cs="Times New Roman"/>
                <w:color w:val="000000"/>
                <w:sz w:val="22"/>
                <w:szCs w:val="28"/>
              </w:rPr>
              <w:t>）</w:t>
            </w:r>
          </w:p>
          <w:p w14:paraId="47710B1E">
            <w:pPr>
              <w:spacing w:line="0" w:lineRule="atLeast"/>
              <w:jc w:val="center"/>
              <w:rPr>
                <w:rFonts w:hint="eastAsia" w:ascii="宋体" w:hAnsi="宋体" w:cs="Times New Roman"/>
                <w:color w:val="000000"/>
                <w:sz w:val="28"/>
                <w:szCs w:val="28"/>
              </w:rPr>
            </w:pPr>
          </w:p>
        </w:tc>
      </w:tr>
      <w:tr w14:paraId="6C4DCBE0">
        <w:tblPrEx>
          <w:tblCellMar>
            <w:top w:w="0" w:type="dxa"/>
            <w:left w:w="0" w:type="dxa"/>
            <w:bottom w:w="0" w:type="dxa"/>
            <w:right w:w="0" w:type="dxa"/>
          </w:tblCellMar>
        </w:tblPrEx>
        <w:trPr>
          <w:trHeight w:val="454" w:hRule="exact"/>
        </w:trPr>
        <w:tc>
          <w:tcPr>
            <w:tcW w:w="9640" w:type="dxa"/>
            <w:gridSpan w:val="7"/>
            <w:vAlign w:val="center"/>
          </w:tcPr>
          <w:p w14:paraId="45BFDB53">
            <w:pPr>
              <w:spacing w:line="360" w:lineRule="exact"/>
              <w:jc w:val="center"/>
              <w:rPr>
                <w:rFonts w:ascii="Calibri" w:hAnsi="Calibri" w:cs="Times New Roman"/>
                <w:b/>
                <w:sz w:val="28"/>
                <w:szCs w:val="28"/>
              </w:rPr>
            </w:pPr>
            <w:r>
              <w:rPr>
                <w:rFonts w:hint="eastAsia" w:ascii="宋体" w:hAnsi="宋体" w:cs="Times New Roman"/>
                <w:color w:val="000000"/>
                <w:sz w:val="22"/>
                <w:szCs w:val="28"/>
              </w:rPr>
              <w:t>（完成时间：2</w:t>
            </w:r>
            <w:r>
              <w:rPr>
                <w:rFonts w:ascii="宋体" w:hAnsi="宋体" w:cs="Times New Roman"/>
                <w:color w:val="000000"/>
                <w:sz w:val="22"/>
                <w:szCs w:val="28"/>
              </w:rPr>
              <w:t>0</w:t>
            </w:r>
            <w:r>
              <w:rPr>
                <w:rFonts w:hint="eastAsia" w:ascii="宋体" w:hAnsi="宋体" w:cs="Times New Roman"/>
                <w:color w:val="000000"/>
                <w:sz w:val="22"/>
                <w:szCs w:val="28"/>
              </w:rPr>
              <w:t>26年8月）</w:t>
            </w:r>
          </w:p>
        </w:tc>
      </w:tr>
    </w:tbl>
    <w:p w14:paraId="7F935093">
      <w:pPr>
        <w:rPr>
          <w:rFonts w:cs="Times New Roman"/>
          <w:szCs w:val="20"/>
        </w:rPr>
      </w:pPr>
    </w:p>
    <w:p w14:paraId="51870F83">
      <w:pPr>
        <w:rPr>
          <w:rFonts w:cs="Times New Roman"/>
          <w:szCs w:val="20"/>
        </w:rPr>
      </w:pPr>
    </w:p>
    <w:p w14:paraId="456AF506">
      <w:pPr>
        <w:rPr>
          <w:rFonts w:cs="Times New Roman"/>
          <w:szCs w:val="20"/>
        </w:rPr>
      </w:pPr>
    </w:p>
    <w:p w14:paraId="3346B841">
      <w:pPr>
        <w:rPr>
          <w:rFonts w:hint="eastAsia" w:ascii="仿宋" w:hAnsi="仿宋" w:eastAsia="仿宋"/>
          <w:sz w:val="30"/>
          <w:szCs w:val="30"/>
        </w:rPr>
      </w:pPr>
    </w:p>
    <w:p w14:paraId="3B175D9F">
      <w:pPr>
        <w:rPr>
          <w:rFonts w:hint="eastAsia" w:ascii="仿宋" w:hAnsi="仿宋" w:eastAsia="仿宋"/>
          <w:sz w:val="30"/>
          <w:szCs w:val="30"/>
        </w:rPr>
      </w:pPr>
      <w:r>
        <w:rPr>
          <w:rFonts w:cs="Times New Roman"/>
          <w:sz w:val="20"/>
          <w:szCs w:val="20"/>
        </w:rPr>
        <mc:AlternateContent>
          <mc:Choice Requires="wps">
            <w:drawing>
              <wp:anchor distT="0" distB="0" distL="0" distR="0" simplePos="0" relativeHeight="251661312" behindDoc="0" locked="0" layoutInCell="0" allowOverlap="1">
                <wp:simplePos x="0" y="0"/>
                <wp:positionH relativeFrom="column">
                  <wp:posOffset>-276225</wp:posOffset>
                </wp:positionH>
                <wp:positionV relativeFrom="page">
                  <wp:posOffset>7555230</wp:posOffset>
                </wp:positionV>
                <wp:extent cx="6120130" cy="2160270"/>
                <wp:effectExtent l="0" t="0" r="6350" b="3810"/>
                <wp:wrapNone/>
                <wp:docPr id="1028" name="文本框 23"/>
                <wp:cNvGraphicFramePr/>
                <a:graphic xmlns:a="http://schemas.openxmlformats.org/drawingml/2006/main">
                  <a:graphicData uri="http://schemas.microsoft.com/office/word/2010/wordprocessingShape">
                    <wps:wsp>
                      <wps:cNvSpPr/>
                      <wps:spPr>
                        <a:xfrm>
                          <a:off x="0" y="0"/>
                          <a:ext cx="6120130" cy="2160268"/>
                        </a:xfrm>
                        <a:prstGeom prst="rect">
                          <a:avLst/>
                        </a:prstGeom>
                        <a:solidFill>
                          <a:srgbClr val="FFFFFF"/>
                        </a:solidFill>
                        <a:ln>
                          <a:noFill/>
                        </a:ln>
                      </wps:spPr>
                      <wps:txbx>
                        <w:txbxContent>
                          <w:tbl>
                            <w:tblPr>
                              <w:tblStyle w:val="16"/>
                              <w:tblW w:w="0" w:type="auto"/>
                              <w:jc w:val="center"/>
                              <w:tblLayout w:type="fixed"/>
                              <w:tblCellMar>
                                <w:top w:w="0" w:type="dxa"/>
                                <w:left w:w="0" w:type="dxa"/>
                                <w:bottom w:w="0" w:type="dxa"/>
                                <w:right w:w="0" w:type="dxa"/>
                              </w:tblCellMar>
                            </w:tblPr>
                            <w:tblGrid>
                              <w:gridCol w:w="3232"/>
                              <w:gridCol w:w="3175"/>
                              <w:gridCol w:w="3232"/>
                            </w:tblGrid>
                            <w:tr w14:paraId="35C22134">
                              <w:tblPrEx>
                                <w:tblCellMar>
                                  <w:top w:w="0" w:type="dxa"/>
                                  <w:left w:w="0" w:type="dxa"/>
                                  <w:bottom w:w="0" w:type="dxa"/>
                                  <w:right w:w="0" w:type="dxa"/>
                                </w:tblCellMar>
                              </w:tblPrEx>
                              <w:trPr>
                                <w:trHeight w:val="312" w:hRule="exact"/>
                                <w:jc w:val="center"/>
                              </w:trPr>
                              <w:tc>
                                <w:tcPr>
                                  <w:tcW w:w="9639" w:type="dxa"/>
                                  <w:gridSpan w:val="3"/>
                                </w:tcPr>
                                <w:p w14:paraId="5D057764"/>
                              </w:tc>
                            </w:tr>
                            <w:tr w14:paraId="26D24B3D">
                              <w:tblPrEx>
                                <w:tblCellMar>
                                  <w:top w:w="0" w:type="dxa"/>
                                  <w:left w:w="0" w:type="dxa"/>
                                  <w:bottom w:w="0" w:type="dxa"/>
                                  <w:right w:w="0" w:type="dxa"/>
                                </w:tblCellMar>
                              </w:tblPrEx>
                              <w:trPr>
                                <w:trHeight w:val="567" w:hRule="exact"/>
                                <w:jc w:val="center"/>
                              </w:trPr>
                              <w:tc>
                                <w:tcPr>
                                  <w:tcW w:w="9639" w:type="dxa"/>
                                  <w:gridSpan w:val="3"/>
                                </w:tcPr>
                                <w:p w14:paraId="7380949D"/>
                              </w:tc>
                            </w:tr>
                            <w:tr w14:paraId="2FBB5672">
                              <w:tblPrEx>
                                <w:tblCellMar>
                                  <w:top w:w="0" w:type="dxa"/>
                                  <w:left w:w="0" w:type="dxa"/>
                                  <w:bottom w:w="0" w:type="dxa"/>
                                  <w:right w:w="0" w:type="dxa"/>
                                </w:tblCellMar>
                              </w:tblPrEx>
                              <w:trPr>
                                <w:trHeight w:val="567" w:hRule="exact"/>
                                <w:jc w:val="center"/>
                              </w:trPr>
                              <w:tc>
                                <w:tcPr>
                                  <w:tcW w:w="3232" w:type="dxa"/>
                                  <w:tcBorders>
                                    <w:bottom w:val="single" w:color="auto" w:sz="8" w:space="0"/>
                                  </w:tcBorders>
                                  <w:vAlign w:val="bottom"/>
                                </w:tcPr>
                                <w:p w14:paraId="6C9D34E8">
                                  <w:pPr>
                                    <w:rPr>
                                      <w:rFonts w:hint="eastAsia" w:ascii="黑体" w:hAnsi="黑体" w:eastAsia="黑体"/>
                                    </w:rPr>
                                  </w:pPr>
                                  <w:r>
                                    <w:rPr>
                                      <w:rFonts w:hint="eastAsia" w:ascii="黑体" w:hAnsi="黑体" w:eastAsia="黑体"/>
                                      <w:spacing w:val="10"/>
                                      <w:sz w:val="28"/>
                                      <w:szCs w:val="28"/>
                                    </w:rPr>
                                    <w:t>20**</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发布</w:t>
                                  </w:r>
                                </w:p>
                              </w:tc>
                              <w:tc>
                                <w:tcPr>
                                  <w:tcW w:w="3175" w:type="dxa"/>
                                  <w:tcBorders>
                                    <w:bottom w:val="single" w:color="auto" w:sz="8" w:space="0"/>
                                  </w:tcBorders>
                                  <w:vAlign w:val="bottom"/>
                                </w:tcPr>
                                <w:p w14:paraId="660388A3">
                                  <w:pPr>
                                    <w:jc w:val="center"/>
                                    <w:rPr>
                                      <w:rFonts w:ascii="黑体" w:eastAsia="黑体"/>
                                      <w:sz w:val="28"/>
                                    </w:rPr>
                                  </w:pPr>
                                </w:p>
                              </w:tc>
                              <w:tc>
                                <w:tcPr>
                                  <w:tcW w:w="3232" w:type="dxa"/>
                                  <w:tcBorders>
                                    <w:bottom w:val="single" w:color="auto" w:sz="8" w:space="0"/>
                                  </w:tcBorders>
                                  <w:vAlign w:val="bottom"/>
                                </w:tcPr>
                                <w:p w14:paraId="309DC5D5">
                                  <w:pPr>
                                    <w:jc w:val="right"/>
                                    <w:rPr>
                                      <w:rFonts w:hint="eastAsia" w:ascii="黑体" w:hAnsi="黑体" w:eastAsia="黑体"/>
                                    </w:rPr>
                                  </w:pPr>
                                  <w:r>
                                    <w:rPr>
                                      <w:rFonts w:hint="eastAsia" w:ascii="黑体" w:hAnsi="黑体" w:eastAsia="黑体"/>
                                      <w:spacing w:val="10"/>
                                      <w:sz w:val="28"/>
                                      <w:szCs w:val="28"/>
                                    </w:rPr>
                                    <w:t>20**</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实施</w:t>
                                  </w:r>
                                </w:p>
                              </w:tc>
                            </w:tr>
                            <w:tr w14:paraId="552DD483">
                              <w:tblPrEx>
                                <w:tblCellMar>
                                  <w:top w:w="0" w:type="dxa"/>
                                  <w:left w:w="0" w:type="dxa"/>
                                  <w:bottom w:w="0" w:type="dxa"/>
                                  <w:right w:w="0" w:type="dxa"/>
                                </w:tblCellMar>
                              </w:tblPrEx>
                              <w:trPr>
                                <w:trHeight w:val="567" w:hRule="exact"/>
                                <w:jc w:val="center"/>
                              </w:trPr>
                              <w:tc>
                                <w:tcPr>
                                  <w:tcW w:w="9639" w:type="dxa"/>
                                  <w:gridSpan w:val="3"/>
                                  <w:tcBorders>
                                    <w:top w:val="single" w:color="auto" w:sz="8" w:space="0"/>
                                  </w:tcBorders>
                                  <w:vAlign w:val="center"/>
                                </w:tcPr>
                                <w:p w14:paraId="40F013A1">
                                  <w:pPr>
                                    <w:jc w:val="center"/>
                                    <w:rPr>
                                      <w:rFonts w:eastAsia="黑体"/>
                                      <w:spacing w:val="30"/>
                                      <w:sz w:val="32"/>
                                    </w:rPr>
                                  </w:pPr>
                                </w:p>
                              </w:tc>
                            </w:tr>
                            <w:tr w14:paraId="2ED8C086">
                              <w:tblPrEx>
                                <w:tblCellMar>
                                  <w:top w:w="0" w:type="dxa"/>
                                  <w:left w:w="0" w:type="dxa"/>
                                  <w:bottom w:w="0" w:type="dxa"/>
                                  <w:right w:w="0" w:type="dxa"/>
                                </w:tblCellMar>
                              </w:tblPrEx>
                              <w:trPr>
                                <w:trHeight w:val="380" w:hRule="exact"/>
                                <w:jc w:val="center"/>
                              </w:trPr>
                              <w:tc>
                                <w:tcPr>
                                  <w:tcW w:w="9639" w:type="dxa"/>
                                  <w:gridSpan w:val="3"/>
                                </w:tcPr>
                                <w:p w14:paraId="5A3E9B4D">
                                  <w:pPr>
                                    <w:spacing w:line="360" w:lineRule="exact"/>
                                    <w:jc w:val="center"/>
                                    <w:rPr>
                                      <w:sz w:val="30"/>
                                      <w:szCs w:val="30"/>
                                    </w:rPr>
                                  </w:pPr>
                                  <w:r>
                                    <w:rPr>
                                      <w:rFonts w:hint="eastAsia" w:eastAsia="黑体"/>
                                      <w:spacing w:val="40"/>
                                      <w:sz w:val="32"/>
                                      <w:szCs w:val="32"/>
                                    </w:rPr>
                                    <w:t>中华中医药学会</w:t>
                                  </w:r>
                                  <w:r>
                                    <w:rPr>
                                      <w:rFonts w:hint="eastAsia" w:eastAsia="黑体"/>
                                      <w:spacing w:val="40"/>
                                      <w:sz w:val="28"/>
                                      <w:szCs w:val="28"/>
                                    </w:rPr>
                                    <w:t>发布</w:t>
                                  </w:r>
                                </w:p>
                              </w:tc>
                            </w:tr>
                          </w:tbl>
                          <w:p w14:paraId="4C5EAF91"/>
                        </w:txbxContent>
                      </wps:txbx>
                      <wps:bodyPr vert="horz" wrap="square" lIns="0" tIns="0" rIns="0" bIns="0" anchor="t" upright="1">
                        <a:noAutofit/>
                      </wps:bodyPr>
                    </wps:wsp>
                  </a:graphicData>
                </a:graphic>
              </wp:anchor>
            </w:drawing>
          </mc:Choice>
          <mc:Fallback>
            <w:pict>
              <v:rect id="文本框 23" o:spid="_x0000_s1026" o:spt="1" style="position:absolute;left:0pt;margin-left:-21.75pt;margin-top:594.9pt;height:170.1pt;width:481.9pt;mso-position-vertical-relative:page;z-index:251661312;mso-width-relative:page;mso-height-relative:page;" fillcolor="#FFFFFF" filled="t" stroked="f" coordsize="21600,21600" o:allowincell="f" o:gfxdata="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2B8HtgAAAANAQAADwAAAAAAAAABACAAAAAiAAAAZHJzL2Rvd25yZXYueG1sUEsBAhQAFAAA&#10;AAgAh07iQLGmlp/vAQAA1QMAAA4AAAAAAAAAAQAgAAAAJwEAAGRycy9lMm9Eb2MueG1sUEsFBgAA&#10;AAAGAAYAWQEAAIgFAAAAAA==&#10;">
                <v:fill on="t" focussize="0,0"/>
                <v:stroke on="f"/>
                <v:imagedata o:title=""/>
                <o:lock v:ext="edit" aspectratio="f"/>
                <v:textbox inset="0mm,0mm,0mm,0mm">
                  <w:txbxContent>
                    <w:tbl>
                      <w:tblPr>
                        <w:tblStyle w:val="16"/>
                        <w:tblW w:w="0" w:type="auto"/>
                        <w:jc w:val="center"/>
                        <w:tblLayout w:type="fixed"/>
                        <w:tblCellMar>
                          <w:top w:w="0" w:type="dxa"/>
                          <w:left w:w="0" w:type="dxa"/>
                          <w:bottom w:w="0" w:type="dxa"/>
                          <w:right w:w="0" w:type="dxa"/>
                        </w:tblCellMar>
                      </w:tblPr>
                      <w:tblGrid>
                        <w:gridCol w:w="3232"/>
                        <w:gridCol w:w="3175"/>
                        <w:gridCol w:w="3232"/>
                      </w:tblGrid>
                      <w:tr w14:paraId="35C22134">
                        <w:tblPrEx>
                          <w:tblCellMar>
                            <w:top w:w="0" w:type="dxa"/>
                            <w:left w:w="0" w:type="dxa"/>
                            <w:bottom w:w="0" w:type="dxa"/>
                            <w:right w:w="0" w:type="dxa"/>
                          </w:tblCellMar>
                        </w:tblPrEx>
                        <w:trPr>
                          <w:trHeight w:val="312" w:hRule="exact"/>
                          <w:jc w:val="center"/>
                        </w:trPr>
                        <w:tc>
                          <w:tcPr>
                            <w:tcW w:w="9639" w:type="dxa"/>
                            <w:gridSpan w:val="3"/>
                          </w:tcPr>
                          <w:p w14:paraId="5D057764"/>
                        </w:tc>
                      </w:tr>
                      <w:tr w14:paraId="26D24B3D">
                        <w:tblPrEx>
                          <w:tblCellMar>
                            <w:top w:w="0" w:type="dxa"/>
                            <w:left w:w="0" w:type="dxa"/>
                            <w:bottom w:w="0" w:type="dxa"/>
                            <w:right w:w="0" w:type="dxa"/>
                          </w:tblCellMar>
                        </w:tblPrEx>
                        <w:trPr>
                          <w:trHeight w:val="567" w:hRule="exact"/>
                          <w:jc w:val="center"/>
                        </w:trPr>
                        <w:tc>
                          <w:tcPr>
                            <w:tcW w:w="9639" w:type="dxa"/>
                            <w:gridSpan w:val="3"/>
                          </w:tcPr>
                          <w:p w14:paraId="7380949D"/>
                        </w:tc>
                      </w:tr>
                      <w:tr w14:paraId="2FBB5672">
                        <w:tblPrEx>
                          <w:tblCellMar>
                            <w:top w:w="0" w:type="dxa"/>
                            <w:left w:w="0" w:type="dxa"/>
                            <w:bottom w:w="0" w:type="dxa"/>
                            <w:right w:w="0" w:type="dxa"/>
                          </w:tblCellMar>
                        </w:tblPrEx>
                        <w:trPr>
                          <w:trHeight w:val="567" w:hRule="exact"/>
                          <w:jc w:val="center"/>
                        </w:trPr>
                        <w:tc>
                          <w:tcPr>
                            <w:tcW w:w="3232" w:type="dxa"/>
                            <w:tcBorders>
                              <w:bottom w:val="single" w:color="auto" w:sz="8" w:space="0"/>
                            </w:tcBorders>
                            <w:vAlign w:val="bottom"/>
                          </w:tcPr>
                          <w:p w14:paraId="6C9D34E8">
                            <w:pPr>
                              <w:rPr>
                                <w:rFonts w:hint="eastAsia" w:ascii="黑体" w:hAnsi="黑体" w:eastAsia="黑体"/>
                              </w:rPr>
                            </w:pPr>
                            <w:r>
                              <w:rPr>
                                <w:rFonts w:hint="eastAsia" w:ascii="黑体" w:hAnsi="黑体" w:eastAsia="黑体"/>
                                <w:spacing w:val="10"/>
                                <w:sz w:val="28"/>
                                <w:szCs w:val="28"/>
                              </w:rPr>
                              <w:t>20**</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发布</w:t>
                            </w:r>
                          </w:p>
                        </w:tc>
                        <w:tc>
                          <w:tcPr>
                            <w:tcW w:w="3175" w:type="dxa"/>
                            <w:tcBorders>
                              <w:bottom w:val="single" w:color="auto" w:sz="8" w:space="0"/>
                            </w:tcBorders>
                            <w:vAlign w:val="bottom"/>
                          </w:tcPr>
                          <w:p w14:paraId="660388A3">
                            <w:pPr>
                              <w:jc w:val="center"/>
                              <w:rPr>
                                <w:rFonts w:ascii="黑体" w:eastAsia="黑体"/>
                                <w:sz w:val="28"/>
                              </w:rPr>
                            </w:pPr>
                          </w:p>
                        </w:tc>
                        <w:tc>
                          <w:tcPr>
                            <w:tcW w:w="3232" w:type="dxa"/>
                            <w:tcBorders>
                              <w:bottom w:val="single" w:color="auto" w:sz="8" w:space="0"/>
                            </w:tcBorders>
                            <w:vAlign w:val="bottom"/>
                          </w:tcPr>
                          <w:p w14:paraId="309DC5D5">
                            <w:pPr>
                              <w:jc w:val="right"/>
                              <w:rPr>
                                <w:rFonts w:hint="eastAsia" w:ascii="黑体" w:hAnsi="黑体" w:eastAsia="黑体"/>
                              </w:rPr>
                            </w:pPr>
                            <w:r>
                              <w:rPr>
                                <w:rFonts w:hint="eastAsia" w:ascii="黑体" w:hAnsi="黑体" w:eastAsia="黑体"/>
                                <w:spacing w:val="10"/>
                                <w:sz w:val="28"/>
                                <w:szCs w:val="28"/>
                              </w:rPr>
                              <w:t>20**</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w:t>
                            </w:r>
                            <w:r>
                              <w:rPr>
                                <w:rFonts w:hint="eastAsia" w:ascii="黑体" w:hAnsi="黑体" w:eastAsia="黑体"/>
                                <w:spacing w:val="10"/>
                                <w:sz w:val="28"/>
                                <w:szCs w:val="28"/>
                              </w:rPr>
                              <w:t>**</w:t>
                            </w:r>
                            <w:r>
                              <w:rPr>
                                <w:rFonts w:hint="eastAsia" w:ascii="黑体" w:hAnsi="黑体" w:eastAsia="黑体"/>
                                <w:sz w:val="28"/>
                              </w:rPr>
                              <w:t>实施</w:t>
                            </w:r>
                          </w:p>
                        </w:tc>
                      </w:tr>
                      <w:tr w14:paraId="552DD483">
                        <w:tblPrEx>
                          <w:tblCellMar>
                            <w:top w:w="0" w:type="dxa"/>
                            <w:left w:w="0" w:type="dxa"/>
                            <w:bottom w:w="0" w:type="dxa"/>
                            <w:right w:w="0" w:type="dxa"/>
                          </w:tblCellMar>
                        </w:tblPrEx>
                        <w:trPr>
                          <w:trHeight w:val="567" w:hRule="exact"/>
                          <w:jc w:val="center"/>
                        </w:trPr>
                        <w:tc>
                          <w:tcPr>
                            <w:tcW w:w="9639" w:type="dxa"/>
                            <w:gridSpan w:val="3"/>
                            <w:tcBorders>
                              <w:top w:val="single" w:color="auto" w:sz="8" w:space="0"/>
                            </w:tcBorders>
                            <w:vAlign w:val="center"/>
                          </w:tcPr>
                          <w:p w14:paraId="40F013A1">
                            <w:pPr>
                              <w:jc w:val="center"/>
                              <w:rPr>
                                <w:rFonts w:eastAsia="黑体"/>
                                <w:spacing w:val="30"/>
                                <w:sz w:val="32"/>
                              </w:rPr>
                            </w:pPr>
                          </w:p>
                        </w:tc>
                      </w:tr>
                      <w:tr w14:paraId="2ED8C086">
                        <w:tblPrEx>
                          <w:tblCellMar>
                            <w:top w:w="0" w:type="dxa"/>
                            <w:left w:w="0" w:type="dxa"/>
                            <w:bottom w:w="0" w:type="dxa"/>
                            <w:right w:w="0" w:type="dxa"/>
                          </w:tblCellMar>
                        </w:tblPrEx>
                        <w:trPr>
                          <w:trHeight w:val="380" w:hRule="exact"/>
                          <w:jc w:val="center"/>
                        </w:trPr>
                        <w:tc>
                          <w:tcPr>
                            <w:tcW w:w="9639" w:type="dxa"/>
                            <w:gridSpan w:val="3"/>
                          </w:tcPr>
                          <w:p w14:paraId="5A3E9B4D">
                            <w:pPr>
                              <w:spacing w:line="360" w:lineRule="exact"/>
                              <w:jc w:val="center"/>
                              <w:rPr>
                                <w:sz w:val="30"/>
                                <w:szCs w:val="30"/>
                              </w:rPr>
                            </w:pPr>
                            <w:r>
                              <w:rPr>
                                <w:rFonts w:hint="eastAsia" w:eastAsia="黑体"/>
                                <w:spacing w:val="40"/>
                                <w:sz w:val="32"/>
                                <w:szCs w:val="32"/>
                              </w:rPr>
                              <w:t>中华中医药学会</w:t>
                            </w:r>
                            <w:r>
                              <w:rPr>
                                <w:rFonts w:hint="eastAsia" w:eastAsia="黑体"/>
                                <w:spacing w:val="40"/>
                                <w:sz w:val="28"/>
                                <w:szCs w:val="28"/>
                              </w:rPr>
                              <w:t>发布</w:t>
                            </w:r>
                          </w:p>
                        </w:tc>
                      </w:tr>
                    </w:tbl>
                    <w:p w14:paraId="4C5EAF91"/>
                  </w:txbxContent>
                </v:textbox>
              </v:rect>
            </w:pict>
          </mc:Fallback>
        </mc:AlternateContent>
      </w:r>
    </w:p>
    <w:p w14:paraId="0A6F6598">
      <w:pPr>
        <w:rPr>
          <w:rFonts w:hint="eastAsia" w:ascii="仿宋" w:hAnsi="仿宋" w:eastAsia="仿宋"/>
          <w:sz w:val="30"/>
          <w:szCs w:val="30"/>
        </w:rPr>
      </w:pPr>
    </w:p>
    <w:p w14:paraId="6E9940F9">
      <w:pPr>
        <w:rPr>
          <w:rFonts w:hint="eastAsia" w:ascii="仿宋" w:hAnsi="仿宋" w:eastAsia="仿宋"/>
          <w:sz w:val="30"/>
          <w:szCs w:val="30"/>
        </w:rPr>
      </w:pPr>
    </w:p>
    <w:p w14:paraId="085E789C">
      <w:pPr>
        <w:rPr>
          <w:rFonts w:hint="eastAsia" w:ascii="仿宋" w:hAnsi="仿宋" w:eastAsia="仿宋"/>
          <w:sz w:val="30"/>
          <w:szCs w:val="30"/>
        </w:rPr>
      </w:pPr>
    </w:p>
    <w:p w14:paraId="2B45BEBB">
      <w:pPr>
        <w:rPr>
          <w:rFonts w:hint="eastAsia" w:ascii="仿宋" w:hAnsi="仿宋" w:eastAsia="仿宋"/>
          <w:sz w:val="30"/>
          <w:szCs w:val="30"/>
        </w:rPr>
      </w:pPr>
    </w:p>
    <w:p w14:paraId="2DB2DF68">
      <w:pPr>
        <w:rPr>
          <w:rFonts w:hint="eastAsia" w:ascii="仿宋" w:hAnsi="仿宋" w:eastAsia="仿宋"/>
          <w:sz w:val="30"/>
          <w:szCs w:val="30"/>
        </w:rPr>
      </w:pPr>
    </w:p>
    <w:p w14:paraId="42315998">
      <w:pPr>
        <w:rPr>
          <w:rFonts w:hint="eastAsia" w:ascii="仿宋" w:hAnsi="仿宋" w:eastAsia="仿宋"/>
          <w:sz w:val="30"/>
          <w:szCs w:val="30"/>
        </w:rPr>
      </w:pPr>
    </w:p>
    <w:p w14:paraId="7A46FAA0">
      <w:pPr>
        <w:rPr>
          <w:rFonts w:hint="eastAsia" w:ascii="仿宋" w:hAnsi="仿宋" w:eastAsia="仿宋"/>
          <w:sz w:val="30"/>
          <w:szCs w:val="30"/>
        </w:rPr>
      </w:pPr>
    </w:p>
    <w:p w14:paraId="1009C73C">
      <w:pPr>
        <w:rPr>
          <w:rFonts w:hint="eastAsia" w:ascii="仿宋" w:hAnsi="仿宋" w:eastAsia="仿宋"/>
          <w:sz w:val="30"/>
          <w:szCs w:val="30"/>
        </w:rPr>
        <w:sectPr>
          <w:headerReference r:id="rId6" w:type="first"/>
          <w:footerReference r:id="rId8" w:type="first"/>
          <w:headerReference r:id="rId4" w:type="default"/>
          <w:headerReference r:id="rId5" w:type="even"/>
          <w:footerReference r:id="rId7" w:type="even"/>
          <w:pgSz w:w="11906" w:h="16838"/>
          <w:pgMar w:top="1440" w:right="1797" w:bottom="1440" w:left="1797" w:header="1418" w:footer="1134" w:gutter="0"/>
          <w:pgNumType w:fmt="upperRoman" w:start="1"/>
          <w:cols w:space="720" w:num="1"/>
          <w:docGrid w:linePitch="312" w:charSpace="0"/>
        </w:sectPr>
      </w:pPr>
    </w:p>
    <w:p w14:paraId="622D0D0E">
      <w:pPr>
        <w:rPr>
          <w:rFonts w:hint="eastAsia" w:ascii="仿宋" w:hAnsi="仿宋" w:eastAsia="仿宋"/>
          <w:sz w:val="30"/>
          <w:szCs w:val="30"/>
        </w:rPr>
      </w:pPr>
    </w:p>
    <w:p w14:paraId="755ABE21">
      <w:pPr>
        <w:pStyle w:val="57"/>
        <w:rPr>
          <w:rFonts w:hint="eastAsia" w:hAnsi="黑体"/>
        </w:rPr>
      </w:pPr>
      <w:bookmarkStart w:id="1" w:name="_Toc509933846"/>
      <w:bookmarkStart w:id="2" w:name="_Toc510534525"/>
      <w:r>
        <w:rPr>
          <w:rFonts w:hint="eastAsia" w:hAnsi="黑体"/>
        </w:rPr>
        <w:t>目</w:t>
      </w:r>
      <w:bookmarkStart w:id="3" w:name="BKML"/>
      <w:r>
        <w:rPr>
          <w:rFonts w:hAnsi="黑体"/>
        </w:rPr>
        <w:t> </w:t>
      </w:r>
      <w:r>
        <w:rPr>
          <w:rFonts w:hint="eastAsia" w:hAnsi="黑体"/>
        </w:rPr>
        <w:t>次</w:t>
      </w:r>
      <w:bookmarkEnd w:id="1"/>
      <w:bookmarkEnd w:id="2"/>
      <w:bookmarkEnd w:id="3"/>
    </w:p>
    <w:p w14:paraId="353CF558">
      <w:r>
        <w:rPr>
          <w:rFonts w:hint="eastAsia"/>
        </w:rPr>
        <w:t>前言………………………………………………………………………………………………Ⅲ</w:t>
      </w:r>
    </w:p>
    <w:p w14:paraId="7E9D0675">
      <w:p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引言…………………………………………………………………………………………………</w:t>
      </w:r>
      <w:r>
        <w:rPr>
          <w:rFonts w:ascii="宋体" w:hAnsi="宋体"/>
          <w:color w:val="000000" w:themeColor="text1"/>
          <w14:textFill>
            <w14:solidFill>
              <w14:schemeClr w14:val="tx1"/>
            </w14:solidFill>
          </w14:textFill>
        </w:rPr>
        <w:t>V</w:t>
      </w:r>
    </w:p>
    <w:p w14:paraId="690DC05F">
      <w:p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 范围………………………………………………………………………………………………</w:t>
      </w:r>
      <w:r>
        <w:rPr>
          <w:rFonts w:ascii="宋体" w:hAnsi="宋体"/>
          <w:color w:val="000000" w:themeColor="text1"/>
          <w14:textFill>
            <w14:solidFill>
              <w14:schemeClr w14:val="tx1"/>
            </w14:solidFill>
          </w14:textFill>
        </w:rPr>
        <w:t>1</w:t>
      </w:r>
    </w:p>
    <w:p w14:paraId="4F99DEBE">
      <w:p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 规范性引用文件…………………………………………………………………………………</w:t>
      </w:r>
      <w:r>
        <w:rPr>
          <w:rFonts w:ascii="宋体" w:hAnsi="宋体"/>
          <w:color w:val="000000" w:themeColor="text1"/>
          <w14:textFill>
            <w14:solidFill>
              <w14:schemeClr w14:val="tx1"/>
            </w14:solidFill>
          </w14:textFill>
        </w:rPr>
        <w:t>1</w:t>
      </w:r>
    </w:p>
    <w:p w14:paraId="5D02FDE2">
      <w:p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 术语和定义………………………………………………………………………………………</w:t>
      </w:r>
      <w:r>
        <w:rPr>
          <w:rFonts w:ascii="宋体" w:hAnsi="宋体"/>
          <w:color w:val="000000" w:themeColor="text1"/>
          <w14:textFill>
            <w14:solidFill>
              <w14:schemeClr w14:val="tx1"/>
            </w14:solidFill>
          </w14:textFill>
        </w:rPr>
        <w:t>1</w:t>
      </w:r>
    </w:p>
    <w:p w14:paraId="56D29F4B">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4 诊断………………………………………………………………………………………</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…2</w:t>
      </w:r>
    </w:p>
    <w:p w14:paraId="6935D211">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5 心脏康复评估………………………………………………</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…………3</w:t>
      </w:r>
    </w:p>
    <w:p w14:paraId="50C8BD80">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 xml:space="preserve">6 </w:t>
      </w:r>
      <w:r>
        <w:rPr>
          <w:rFonts w:hint="eastAsia" w:ascii="宋体" w:hAnsi="宋体"/>
          <w:color w:val="000000" w:themeColor="text1"/>
          <w14:textFill>
            <w14:solidFill>
              <w14:schemeClr w14:val="tx1"/>
            </w14:solidFill>
          </w14:textFill>
        </w:rPr>
        <w:t>中医药辅助干预</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4</w:t>
      </w:r>
    </w:p>
    <w:p w14:paraId="401AC3D9">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 xml:space="preserve">7 </w:t>
      </w:r>
      <w:r>
        <w:rPr>
          <w:rFonts w:hint="eastAsia" w:ascii="宋体" w:hAnsi="宋体"/>
          <w:color w:val="000000" w:themeColor="text1"/>
          <w14:textFill>
            <w14:solidFill>
              <w14:schemeClr w14:val="tx1"/>
            </w14:solidFill>
          </w14:textFill>
        </w:rPr>
        <w:t>中西医结合运动处方…</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8</w:t>
      </w:r>
    </w:p>
    <w:p w14:paraId="5DD82855">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8 中医外治技术…………………………………………………………………………</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…1</w:t>
      </w:r>
      <w:r>
        <w:rPr>
          <w:rFonts w:hint="eastAsia" w:ascii="宋体" w:hAnsi="宋体"/>
          <w:color w:val="000000" w:themeColor="text1"/>
          <w14:textFill>
            <w14:solidFill>
              <w14:schemeClr w14:val="tx1"/>
            </w14:solidFill>
          </w14:textFill>
        </w:rPr>
        <w:t>5</w:t>
      </w:r>
    </w:p>
    <w:p w14:paraId="4890302D">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 xml:space="preserve">9 </w:t>
      </w:r>
      <w:r>
        <w:rPr>
          <w:rFonts w:hint="eastAsia"/>
        </w:rPr>
        <w:t>中西医结合心理干预</w:t>
      </w:r>
      <w:r>
        <w:rPr>
          <w:rFonts w:ascii="宋体" w:hAnsi="宋体"/>
          <w:color w:val="000000" w:themeColor="text1"/>
          <w14:textFill>
            <w14:solidFill>
              <w14:schemeClr w14:val="tx1"/>
            </w14:solidFill>
          </w14:textFill>
        </w:rPr>
        <w:t>…………………………………………………………………………1</w:t>
      </w:r>
      <w:r>
        <w:rPr>
          <w:rFonts w:hint="eastAsia" w:ascii="宋体" w:hAnsi="宋体"/>
          <w:color w:val="000000" w:themeColor="text1"/>
          <w14:textFill>
            <w14:solidFill>
              <w14:schemeClr w14:val="tx1"/>
            </w14:solidFill>
          </w14:textFill>
        </w:rPr>
        <w:t>6</w:t>
      </w:r>
    </w:p>
    <w:p w14:paraId="5E950C62">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10 长期生活方式管理……………………………………………………………………………2</w:t>
      </w:r>
      <w:r>
        <w:rPr>
          <w:rFonts w:hint="eastAsia" w:ascii="宋体" w:hAnsi="宋体"/>
          <w:color w:val="000000" w:themeColor="text1"/>
          <w14:textFill>
            <w14:solidFill>
              <w14:schemeClr w14:val="tx1"/>
            </w14:solidFill>
          </w14:textFill>
        </w:rPr>
        <w:t>1</w:t>
      </w:r>
    </w:p>
    <w:p w14:paraId="1708E3DF">
      <w:p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w:t>
      </w:r>
      <w:r>
        <w:rPr>
          <w:rFonts w:ascii="宋体" w:hAnsi="宋体"/>
          <w:color w:val="000000" w:themeColor="text1"/>
          <w14:textFill>
            <w14:solidFill>
              <w14:schemeClr w14:val="tx1"/>
            </w14:solidFill>
          </w14:textFill>
        </w:rPr>
        <w:t>表</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2</w:t>
      </w:r>
      <w:r>
        <w:rPr>
          <w:rFonts w:hint="eastAsia" w:ascii="宋体" w:hAnsi="宋体"/>
          <w:color w:val="000000" w:themeColor="text1"/>
          <w14:textFill>
            <w14:solidFill>
              <w14:schemeClr w14:val="tx1"/>
            </w14:solidFill>
          </w14:textFill>
        </w:rPr>
        <w:t>4</w:t>
      </w:r>
    </w:p>
    <w:p w14:paraId="4B1A9470">
      <w:p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附录………………………………………</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……………………3</w:t>
      </w:r>
      <w:r>
        <w:rPr>
          <w:rFonts w:hint="eastAsia" w:ascii="宋体" w:hAnsi="宋体"/>
          <w:color w:val="000000" w:themeColor="text1"/>
          <w14:textFill>
            <w14:solidFill>
              <w14:schemeClr w14:val="tx1"/>
            </w14:solidFill>
          </w14:textFill>
        </w:rPr>
        <w:t>0</w:t>
      </w:r>
    </w:p>
    <w:p w14:paraId="5F7A6A8C">
      <w:p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参考文献…………………………………………………………………………………………</w:t>
      </w:r>
      <w:r>
        <w:rPr>
          <w:rFonts w:ascii="宋体" w:hAnsi="宋体"/>
          <w:color w:val="000000" w:themeColor="text1"/>
          <w14:textFill>
            <w14:solidFill>
              <w14:schemeClr w14:val="tx1"/>
            </w14:solidFill>
          </w14:textFill>
        </w:rPr>
        <w:t>3</w:t>
      </w:r>
      <w:r>
        <w:rPr>
          <w:rFonts w:hint="eastAsia" w:ascii="宋体" w:hAnsi="宋体"/>
          <w:color w:val="000000" w:themeColor="text1"/>
          <w14:textFill>
            <w14:solidFill>
              <w14:schemeClr w14:val="tx1"/>
            </w14:solidFill>
          </w14:textFill>
        </w:rPr>
        <w:t>4</w:t>
      </w:r>
    </w:p>
    <w:p w14:paraId="76566C33">
      <w:pPr>
        <w:spacing w:line="360" w:lineRule="exact"/>
        <w:rPr>
          <w:rFonts w:hint="eastAsia" w:ascii="宋体" w:hAnsi="宋体"/>
        </w:rPr>
      </w:pPr>
    </w:p>
    <w:p w14:paraId="6C81DD95">
      <w:pPr>
        <w:spacing w:line="360" w:lineRule="exact"/>
        <w:rPr>
          <w:rFonts w:hint="eastAsia" w:ascii="宋体" w:hAnsi="宋体"/>
        </w:rPr>
      </w:pPr>
    </w:p>
    <w:p w14:paraId="4D1E7D1D"/>
    <w:p w14:paraId="25B28F3D">
      <w:pPr>
        <w:rPr>
          <w:rFonts w:eastAsia="黑体" w:cs="Times New Roman"/>
          <w:i/>
          <w:color w:val="0070C0"/>
          <w:kern w:val="0"/>
          <w:sz w:val="20"/>
          <w:szCs w:val="21"/>
        </w:rPr>
      </w:pPr>
    </w:p>
    <w:p w14:paraId="4E2DD87F">
      <w:pPr>
        <w:ind w:firstLine="420" w:firstLineChars="200"/>
      </w:pPr>
      <w:r>
        <w:br w:type="page"/>
      </w:r>
    </w:p>
    <w:p w14:paraId="4FD768F6">
      <w:pPr>
        <w:pStyle w:val="2"/>
        <w:jc w:val="center"/>
        <w:sectPr>
          <w:headerReference r:id="rId9" w:type="default"/>
          <w:footerReference r:id="rId10" w:type="default"/>
          <w:endnotePr>
            <w:numFmt w:val="decimal"/>
          </w:endnotePr>
          <w:pgSz w:w="11906" w:h="16838"/>
          <w:pgMar w:top="1440" w:right="1800" w:bottom="1440" w:left="1800" w:header="851" w:footer="992" w:gutter="0"/>
          <w:pgNumType w:fmt="upperRoman" w:start="1"/>
          <w:cols w:space="425" w:num="1"/>
          <w:docGrid w:type="lines" w:linePitch="312" w:charSpace="0"/>
        </w:sectPr>
      </w:pPr>
    </w:p>
    <w:p w14:paraId="4162C930">
      <w:pPr>
        <w:pStyle w:val="2"/>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w:t>前  言</w:t>
      </w:r>
    </w:p>
    <w:p w14:paraId="069DCD8A">
      <w:pPr>
        <w:pStyle w:val="50"/>
        <w:keepNext w:val="0"/>
        <w:keepLines w:val="0"/>
        <w:pageBreakBefore w:val="0"/>
        <w:widowControl/>
        <w:kinsoku/>
        <w:wordWrap/>
        <w:overflowPunct/>
        <w:topLinePunct w:val="0"/>
        <w:autoSpaceDE w:val="0"/>
        <w:autoSpaceDN w:val="0"/>
        <w:bidi w:val="0"/>
        <w:adjustRightInd/>
        <w:snapToGrid/>
        <w:spacing w:line="280" w:lineRule="exact"/>
        <w:ind w:firstLine="420"/>
        <w:textAlignment w:val="auto"/>
        <w:rPr>
          <w:rFonts w:hint="eastAsia" w:ascii="宋体" w:hAnsi="宋体"/>
          <w:sz w:val="21"/>
          <w:szCs w:val="20"/>
        </w:rPr>
      </w:pPr>
      <w:bookmarkStart w:id="44" w:name="_GoBack"/>
      <w:r>
        <w:rPr>
          <w:rFonts w:hint="eastAsia" w:ascii="宋体" w:hAnsi="宋体"/>
          <w:sz w:val="21"/>
          <w:szCs w:val="20"/>
        </w:rPr>
        <w:t>本</w:t>
      </w:r>
      <w:r>
        <w:rPr>
          <w:rFonts w:hint="eastAsia" w:ascii="宋体" w:hAnsi="宋体"/>
          <w:sz w:val="21"/>
          <w:szCs w:val="20"/>
          <w:lang w:eastAsia="zh-CN"/>
        </w:rPr>
        <w:t>文件</w:t>
      </w:r>
      <w:r>
        <w:rPr>
          <w:rFonts w:hint="eastAsia" w:ascii="宋体" w:hAnsi="宋体"/>
          <w:sz w:val="21"/>
          <w:szCs w:val="20"/>
        </w:rPr>
        <w:t>参照GB/T 1.1-2020《标准化工作导则第1部分：标准化文件的结构和起草规则</w:t>
      </w:r>
      <w:r>
        <w:rPr>
          <w:rFonts w:ascii="宋体" w:hAnsi="宋体"/>
          <w:sz w:val="21"/>
          <w:szCs w:val="20"/>
        </w:rPr>
        <w:t>》等</w:t>
      </w:r>
      <w:r>
        <w:rPr>
          <w:rFonts w:hint="eastAsia" w:ascii="宋体" w:hAnsi="宋体"/>
          <w:sz w:val="21"/>
          <w:szCs w:val="20"/>
        </w:rPr>
        <w:t>有关规则起草。</w:t>
      </w:r>
    </w:p>
    <w:p w14:paraId="0EA772D5">
      <w:pPr>
        <w:pStyle w:val="50"/>
        <w:keepNext w:val="0"/>
        <w:keepLines w:val="0"/>
        <w:pageBreakBefore w:val="0"/>
        <w:widowControl/>
        <w:kinsoku/>
        <w:wordWrap/>
        <w:overflowPunct/>
        <w:topLinePunct w:val="0"/>
        <w:autoSpaceDE w:val="0"/>
        <w:autoSpaceDN w:val="0"/>
        <w:bidi w:val="0"/>
        <w:adjustRightInd/>
        <w:snapToGrid/>
        <w:spacing w:line="280" w:lineRule="exact"/>
        <w:ind w:firstLine="420"/>
        <w:textAlignment w:val="auto"/>
        <w:rPr>
          <w:rFonts w:hint="eastAsia" w:ascii="宋体" w:hAnsi="宋体"/>
          <w:sz w:val="21"/>
          <w:szCs w:val="20"/>
        </w:rPr>
      </w:pPr>
      <w:r>
        <w:rPr>
          <w:rFonts w:hint="eastAsia" w:ascii="宋体" w:hAnsi="宋体"/>
          <w:sz w:val="21"/>
          <w:szCs w:val="20"/>
        </w:rPr>
        <w:t>本</w:t>
      </w:r>
      <w:r>
        <w:rPr>
          <w:rFonts w:hint="eastAsia" w:ascii="宋体" w:hAnsi="宋体"/>
          <w:sz w:val="21"/>
          <w:szCs w:val="20"/>
          <w:lang w:eastAsia="zh-CN"/>
        </w:rPr>
        <w:t>文件</w:t>
      </w:r>
      <w:r>
        <w:rPr>
          <w:rFonts w:hint="eastAsia" w:ascii="宋体" w:hAnsi="宋体"/>
          <w:sz w:val="21"/>
          <w:szCs w:val="20"/>
        </w:rPr>
        <w:t>由中华中医药学会</w:t>
      </w:r>
      <w:r>
        <w:rPr>
          <w:rFonts w:hint="eastAsia" w:ascii="宋体" w:hAnsi="宋体"/>
          <w:sz w:val="21"/>
          <w:szCs w:val="20"/>
          <w:lang w:eastAsia="zh-CN"/>
        </w:rPr>
        <w:t>归口</w:t>
      </w:r>
      <w:r>
        <w:rPr>
          <w:rFonts w:hint="eastAsia" w:ascii="宋体" w:hAnsi="宋体"/>
          <w:sz w:val="21"/>
          <w:szCs w:val="20"/>
        </w:rPr>
        <w:t>。</w:t>
      </w:r>
    </w:p>
    <w:p w14:paraId="48ED09C1">
      <w:pPr>
        <w:pStyle w:val="50"/>
        <w:keepNext w:val="0"/>
        <w:keepLines w:val="0"/>
        <w:pageBreakBefore w:val="0"/>
        <w:widowControl/>
        <w:kinsoku/>
        <w:wordWrap/>
        <w:overflowPunct/>
        <w:topLinePunct w:val="0"/>
        <w:autoSpaceDE w:val="0"/>
        <w:autoSpaceDN w:val="0"/>
        <w:bidi w:val="0"/>
        <w:adjustRightInd/>
        <w:snapToGrid/>
        <w:spacing w:line="280" w:lineRule="exact"/>
        <w:ind w:firstLine="420"/>
        <w:textAlignment w:val="auto"/>
        <w:rPr>
          <w:rFonts w:hint="eastAsia" w:ascii="宋体" w:hAnsi="宋体"/>
          <w:sz w:val="21"/>
          <w:szCs w:val="20"/>
        </w:rPr>
      </w:pPr>
      <w:r>
        <w:rPr>
          <w:rFonts w:hint="eastAsia" w:ascii="宋体" w:hAnsi="宋体"/>
          <w:sz w:val="21"/>
          <w:szCs w:val="20"/>
          <w:lang w:eastAsia="zh-CN"/>
        </w:rPr>
        <w:t>本文件</w:t>
      </w:r>
      <w:r>
        <w:rPr>
          <w:rFonts w:hint="eastAsia" w:ascii="宋体" w:hAnsi="宋体"/>
          <w:sz w:val="21"/>
          <w:szCs w:val="20"/>
        </w:rPr>
        <w:t xml:space="preserve">起草单位：中国中医科学院广安门医院 </w:t>
      </w:r>
    </w:p>
    <w:p w14:paraId="489C09AE">
      <w:pPr>
        <w:pStyle w:val="50"/>
        <w:keepNext w:val="0"/>
        <w:keepLines w:val="0"/>
        <w:pageBreakBefore w:val="0"/>
        <w:widowControl/>
        <w:kinsoku/>
        <w:wordWrap/>
        <w:overflowPunct/>
        <w:topLinePunct w:val="0"/>
        <w:autoSpaceDE w:val="0"/>
        <w:autoSpaceDN w:val="0"/>
        <w:bidi w:val="0"/>
        <w:adjustRightInd/>
        <w:snapToGrid/>
        <w:spacing w:line="280" w:lineRule="exact"/>
        <w:ind w:firstLine="420"/>
        <w:textAlignment w:val="auto"/>
        <w:rPr>
          <w:rFonts w:hint="eastAsia" w:ascii="宋体" w:hAnsi="宋体"/>
          <w:color w:val="auto"/>
          <w:sz w:val="21"/>
          <w:szCs w:val="20"/>
        </w:rPr>
      </w:pPr>
      <w:r>
        <w:rPr>
          <w:rFonts w:hint="eastAsia" w:ascii="宋体" w:hAnsi="宋体"/>
          <w:sz w:val="21"/>
          <w:szCs w:val="20"/>
          <w:lang w:eastAsia="zh-CN"/>
        </w:rPr>
        <w:t>本文件</w:t>
      </w:r>
      <w:r>
        <w:rPr>
          <w:rFonts w:hint="eastAsia" w:ascii="宋体" w:hAnsi="宋体"/>
          <w:sz w:val="21"/>
          <w:szCs w:val="20"/>
        </w:rPr>
        <w:t>指</w:t>
      </w:r>
      <w:r>
        <w:rPr>
          <w:rFonts w:hint="eastAsia" w:ascii="宋体" w:hAnsi="宋体"/>
          <w:color w:val="auto"/>
          <w:sz w:val="21"/>
          <w:szCs w:val="20"/>
        </w:rPr>
        <w:t>南负责人：李海霞（中国中医科学院广安门医院，中西医结合心血管学）</w:t>
      </w:r>
    </w:p>
    <w:p w14:paraId="252C2683">
      <w:pPr>
        <w:pStyle w:val="50"/>
        <w:keepNext w:val="0"/>
        <w:keepLines w:val="0"/>
        <w:pageBreakBefore w:val="0"/>
        <w:widowControl/>
        <w:kinsoku/>
        <w:wordWrap/>
        <w:overflowPunct/>
        <w:topLinePunct w:val="0"/>
        <w:autoSpaceDE w:val="0"/>
        <w:autoSpaceDN w:val="0"/>
        <w:bidi w:val="0"/>
        <w:adjustRightInd/>
        <w:snapToGrid/>
        <w:spacing w:line="280" w:lineRule="exact"/>
        <w:ind w:firstLine="420"/>
        <w:textAlignment w:val="auto"/>
        <w:rPr>
          <w:rFonts w:hint="eastAsia" w:ascii="宋体" w:hAnsi="宋体"/>
          <w:color w:val="auto"/>
          <w:sz w:val="21"/>
          <w:szCs w:val="20"/>
        </w:rPr>
      </w:pPr>
      <w:r>
        <w:rPr>
          <w:rFonts w:hint="eastAsia" w:ascii="宋体" w:hAnsi="宋体"/>
          <w:color w:val="auto"/>
          <w:sz w:val="21"/>
          <w:szCs w:val="20"/>
          <w:lang w:eastAsia="zh-CN"/>
        </w:rPr>
        <w:t>本文件主要</w:t>
      </w:r>
      <w:r>
        <w:rPr>
          <w:rFonts w:hint="eastAsia" w:ascii="宋体" w:hAnsi="宋体"/>
          <w:color w:val="auto"/>
          <w:sz w:val="21"/>
          <w:szCs w:val="20"/>
        </w:rPr>
        <w:t>执笔</w:t>
      </w:r>
      <w:r>
        <w:rPr>
          <w:rFonts w:hint="eastAsia" w:ascii="宋体" w:hAnsi="宋体"/>
          <w:color w:val="auto"/>
          <w:sz w:val="21"/>
          <w:szCs w:val="20"/>
          <w:lang w:eastAsia="zh-CN"/>
        </w:rPr>
        <w:t>（起草）</w:t>
      </w:r>
      <w:r>
        <w:rPr>
          <w:rFonts w:hint="eastAsia" w:ascii="宋体" w:hAnsi="宋体"/>
          <w:color w:val="auto"/>
          <w:sz w:val="21"/>
          <w:szCs w:val="20"/>
        </w:rPr>
        <w:t>人：李海霞（中国中医科学院广安门医院）、杨晖（上海中医药大学附属宝山医院）、陈明显（浙江省立同德医院）、陈恒文（中国中医科学院中药研究所）、傅睿（浙江省立同德医院）、芮浩淼（河南省中医院）、唐耀平（广西中医药大学附属瑞康医院）、王佑华（上海中医药大学附属龙华医院）、田晓晨（济南市第四人民医院）、方金（丰台区中西医结合医院）、袁宇（新乡医学院第一附属医院）、张天奉（广州中医药大学深圳医院）</w:t>
      </w:r>
    </w:p>
    <w:p w14:paraId="29CE4250">
      <w:pPr>
        <w:pStyle w:val="50"/>
        <w:keepNext w:val="0"/>
        <w:keepLines w:val="0"/>
        <w:pageBreakBefore w:val="0"/>
        <w:widowControl/>
        <w:kinsoku/>
        <w:wordWrap/>
        <w:overflowPunct/>
        <w:topLinePunct w:val="0"/>
        <w:autoSpaceDE w:val="0"/>
        <w:autoSpaceDN w:val="0"/>
        <w:bidi w:val="0"/>
        <w:adjustRightInd/>
        <w:snapToGrid/>
        <w:spacing w:line="280" w:lineRule="exact"/>
        <w:ind w:firstLine="420"/>
        <w:textAlignment w:val="auto"/>
        <w:rPr>
          <w:rFonts w:hint="eastAsia" w:ascii="宋体" w:hAnsi="宋体"/>
          <w:color w:val="auto"/>
          <w:sz w:val="21"/>
          <w:szCs w:val="20"/>
        </w:rPr>
      </w:pPr>
      <w:r>
        <w:rPr>
          <w:rFonts w:hint="eastAsia" w:ascii="宋体" w:hAnsi="宋体"/>
          <w:color w:val="auto"/>
          <w:sz w:val="21"/>
          <w:szCs w:val="20"/>
          <w:lang w:eastAsia="zh-CN"/>
        </w:rPr>
        <w:t>本文件</w:t>
      </w:r>
      <w:r>
        <w:rPr>
          <w:rFonts w:hint="eastAsia" w:ascii="宋体" w:hAnsi="宋体"/>
          <w:color w:val="auto"/>
          <w:sz w:val="21"/>
          <w:szCs w:val="20"/>
        </w:rPr>
        <w:t>主审人：王阶（中国中医科学院广安门医院）、霍勇（北京大学第一医院）、张海涛（上海东方医院）</w:t>
      </w:r>
    </w:p>
    <w:p w14:paraId="45555E41">
      <w:pPr>
        <w:pStyle w:val="50"/>
        <w:keepNext w:val="0"/>
        <w:keepLines w:val="0"/>
        <w:pageBreakBefore w:val="0"/>
        <w:widowControl/>
        <w:kinsoku/>
        <w:wordWrap/>
        <w:overflowPunct/>
        <w:topLinePunct w:val="0"/>
        <w:autoSpaceDE w:val="0"/>
        <w:autoSpaceDN w:val="0"/>
        <w:bidi w:val="0"/>
        <w:adjustRightInd/>
        <w:snapToGrid/>
        <w:spacing w:line="280" w:lineRule="exact"/>
        <w:ind w:firstLine="420"/>
        <w:textAlignment w:val="auto"/>
      </w:pPr>
      <w:r>
        <w:rPr>
          <w:rFonts w:hint="eastAsia" w:ascii="宋体" w:hAnsi="宋体"/>
          <w:color w:val="auto"/>
          <w:sz w:val="21"/>
          <w:szCs w:val="20"/>
          <w:lang w:eastAsia="zh-CN"/>
        </w:rPr>
        <w:t>本文件</w:t>
      </w:r>
      <w:r>
        <w:rPr>
          <w:rFonts w:hint="eastAsia" w:ascii="宋体" w:hAnsi="宋体"/>
          <w:color w:val="auto"/>
          <w:sz w:val="21"/>
          <w:szCs w:val="20"/>
        </w:rPr>
        <w:t>讨论专家：（按姓氏拼音排序）</w:t>
      </w:r>
      <w:r>
        <w:rPr>
          <w:rFonts w:hint="eastAsia" w:ascii="宋体" w:hAnsi="宋体"/>
          <w:color w:val="auto"/>
          <w:sz w:val="21"/>
          <w:szCs w:val="20"/>
          <w:lang w:eastAsia="zh-CN"/>
        </w:rPr>
        <w:t>：</w:t>
      </w:r>
      <w:r>
        <w:rPr>
          <w:rFonts w:hint="eastAsia" w:ascii="宋体" w:hAnsi="宋体"/>
          <w:color w:val="auto"/>
          <w:sz w:val="21"/>
          <w:szCs w:val="20"/>
        </w:rPr>
        <w:t>车琳（上海同济医科大学附属医院）、陈寄梅（广东省心血管病研究所）、陈全福（广东省中医院）、楚军民（中国医</w:t>
      </w:r>
      <w:r>
        <w:rPr>
          <w:rFonts w:hint="eastAsia" w:ascii="宋体" w:hAnsi="宋体"/>
          <w:sz w:val="21"/>
          <w:szCs w:val="20"/>
        </w:rPr>
        <w:t>学科学院阜外医院）、丁荣晶（北京协和医院）、杜廷海（河南中医药大学第一附属医院）、樊民（上海中医院大学附属岳阳中西医结合医院）、方金（丰台区中西医结合医院）、傅睿（浙江省立同德医院）、关敬树（上海中医药大学附属宝山医院）、黑飞龙（首都医科大学附属安贞医院）、侯景丽（首都医科大学附属安贞医院）、侯雪梅（济南市中医院）、胡元会（中国中医科学院广安门医院）、黄斌（河南省中医院）、季鸣（中国医学科学院）、蒋跃绒（中国中医科学院西苑医院）、荆志伟（中国中医科学院）、来晓磊（首都医科大学附属北京中医医院）、李彬（首都医科大学附属北京中医医院）、李慧（北京中医药大学东方医院）、李江（中国医学科学院肿瘤医院）、李京生（首都医科大学）、李军（中国中医科学院广安门医院）、李亮（河北医科大学第二医院）、刘宝利（北京市中医医院）、刘慧（河南省安阳地区医院）、刘慧（安阳地区医院）、刘婧（北京大学附属人民医院）、柳淑青（北京中医医院顺义医院）、陆峰（山东省中医院）、马进（辽宁中医药大学附属第二医院）、马玉侠（山东中医药大学附属医院）、牛琳琳（河南中医药大学第一附属医院）、</w:t>
      </w:r>
      <w:bookmarkStart w:id="4" w:name="_Hlk192189938"/>
      <w:r>
        <w:rPr>
          <w:rFonts w:hint="eastAsia" w:ascii="宋体" w:hAnsi="宋体"/>
          <w:sz w:val="21"/>
          <w:szCs w:val="20"/>
        </w:rPr>
        <w:t>芮浩淼</w:t>
      </w:r>
      <w:bookmarkEnd w:id="4"/>
      <w:r>
        <w:rPr>
          <w:rFonts w:hint="eastAsia" w:ascii="宋体" w:hAnsi="宋体"/>
          <w:sz w:val="21"/>
          <w:szCs w:val="20"/>
        </w:rPr>
        <w:t>（河南省中医院）、商洪才（北京中医药大学东方医院）、尚菊菊（首都医科大学附属北京中医医院）、沈盛晖（浙江省立同德医院）、唐耀平（广西中医药大学附属瑞康医院）、田晓晨（济南市第四人民医院）、王成（北京大学第三医院）、王东伟（郑州大学附属郑州中心医院）、王丽颖（中国中医科学院）、王淑丽（中国中医科学院广安门医院）、王一波（上海市黄浦区中心医院）王佑华（上海中医药大学附属龙华医院）、王振涛（河南省中医院）、吴鸿（河南省中医院）、伍锋（上海</w:t>
      </w:r>
      <w:r>
        <w:rPr>
          <w:rFonts w:ascii="宋体" w:hAnsi="宋体"/>
          <w:sz w:val="21"/>
          <w:szCs w:val="20"/>
        </w:rPr>
        <w:t>中医药大学</w:t>
      </w:r>
      <w:r>
        <w:rPr>
          <w:rFonts w:hint="eastAsia" w:ascii="宋体" w:hAnsi="宋体"/>
          <w:sz w:val="21"/>
          <w:szCs w:val="20"/>
        </w:rPr>
        <w:t>附属岳阳中西医结合医院）、吴美平（上海中医药大学附属上海市中医医院）、肖姝雲（上海市中医院）、谢连娣（北京中医药大学东方医院）、许伟明（漳州市第二中医院）、颜旭（湖南省中医药研究院附属医院心血管内科）、杨顺利（亳州市华佗中医院内科）、杨晓芳（首都医科大学附属北京安贞医院）、姚建明（济南市中医院）、于欣（中国医学科学院阜外医院）、袁宇（新乡医学院第一附属医院）、张海涛（同济大学附属东方医院）、张辉（郑州大学第二附属医院）、张健（中国医学科学院阜外医院）、</w:t>
      </w:r>
      <w:bookmarkStart w:id="5" w:name="_Hlk192189973"/>
      <w:r>
        <w:rPr>
          <w:rFonts w:hint="eastAsia" w:ascii="宋体" w:hAnsi="宋体"/>
          <w:sz w:val="21"/>
          <w:szCs w:val="20"/>
        </w:rPr>
        <w:t>张兆国</w:t>
      </w:r>
      <w:bookmarkEnd w:id="5"/>
      <w:r>
        <w:rPr>
          <w:rFonts w:hint="eastAsia" w:ascii="宋体" w:hAnsi="宋体"/>
          <w:sz w:val="21"/>
          <w:szCs w:val="20"/>
        </w:rPr>
        <w:t>（清华大学附属长庚医院）、邹国辉（广州中医药大学深圳医院）、支英豪（浙江中医药大学附属温州市中医院）、钟泽（浙江省建德市第一人民医院）、丁立刚（中国医学科学院阜外医院）牛国栋（云南阜外医院）汤日波（首都医科大学附属安贞医院）、昃峰（北京大学人民医院）。</w:t>
      </w:r>
    </w:p>
    <w:bookmarkEnd w:id="44"/>
    <w:p w14:paraId="5396B398">
      <w:pPr>
        <w:pStyle w:val="2"/>
        <w:jc w:val="center"/>
        <w:rPr>
          <w:rFonts w:hint="eastAsia" w:ascii="黑体" w:hAnsi="黑体" w:eastAsia="黑体"/>
          <w:b w:val="0"/>
          <w:bCs w:val="0"/>
          <w:sz w:val="28"/>
          <w:szCs w:val="28"/>
        </w:rPr>
      </w:pPr>
      <w:r>
        <w:rPr>
          <w:rFonts w:hint="eastAsia" w:ascii="黑体" w:hAnsi="黑体" w:eastAsia="黑体"/>
          <w:b w:val="0"/>
          <w:bCs w:val="0"/>
          <w:sz w:val="28"/>
          <w:szCs w:val="28"/>
        </w:rPr>
        <w:t>引  言</w:t>
      </w:r>
    </w:p>
    <w:p w14:paraId="300439FF">
      <w:pPr>
        <w:pStyle w:val="50"/>
        <w:spacing w:line="360" w:lineRule="exact"/>
        <w:ind w:firstLine="420"/>
        <w:rPr>
          <w:color w:val="000000"/>
          <w:sz w:val="21"/>
          <w:szCs w:val="21"/>
        </w:rPr>
      </w:pPr>
      <w:r>
        <w:rPr>
          <w:rFonts w:hint="eastAsia"/>
          <w:color w:val="000000"/>
          <w:sz w:val="21"/>
          <w:szCs w:val="21"/>
          <w:lang w:eastAsia="zh-CN"/>
        </w:rPr>
        <w:t>《</w:t>
      </w:r>
      <w:r>
        <w:rPr>
          <w:rFonts w:hint="eastAsia"/>
          <w:color w:val="000000"/>
          <w:sz w:val="21"/>
          <w:szCs w:val="21"/>
        </w:rPr>
        <w:t>中国心血管健康与疾病报告2023》指出，中国的心血管疾病（CVD）患病率持续上升，目前患病人数已达到3.3亿，其中冠心病（CHD）患者为1139万。冠状动脉事件后患者普遍存在心功能受损、焦虑抑郁及社会角色适应障碍等问题，构建系统性康复策略，将心脏康复关口前移，积极提倡“治未病”理念，降低患者的再入院风险，改善患者生活能力及远期预后已成为重大公共卫生挑战。</w:t>
      </w:r>
    </w:p>
    <w:p w14:paraId="2D31AD33">
      <w:pPr>
        <w:pStyle w:val="50"/>
        <w:spacing w:line="360" w:lineRule="exact"/>
        <w:ind w:firstLine="420"/>
        <w:rPr>
          <w:color w:val="000000"/>
          <w:sz w:val="21"/>
          <w:szCs w:val="21"/>
        </w:rPr>
      </w:pPr>
      <w:r>
        <w:rPr>
          <w:rFonts w:hint="eastAsia"/>
          <w:color w:val="000000"/>
          <w:sz w:val="21"/>
          <w:szCs w:val="21"/>
        </w:rPr>
        <w:t>中医康复在冠心病康复中的独特优势逐渐得到认可，中西医结合心脏康复已被证实在改善冠心病患者的生存质量和预后方面具有显著益处，能够有效降低心血管死亡率，减少住院风险，并显著提升患者的生活质量。国内已有《稳定性冠心病中西医结合康复治疗专家共识（2019）》和《中国冠心病康复循证实践指南（2024）》等相关文章发布，但中西医结合冠心病康复指南仍未形成统一规范，也未能形成涵盖“评估</w:t>
      </w:r>
      <w:r>
        <w:rPr>
          <w:color w:val="000000"/>
          <w:sz w:val="21"/>
          <w:szCs w:val="21"/>
        </w:rPr>
        <w:t>－</w:t>
      </w:r>
      <w:r>
        <w:rPr>
          <w:rFonts w:hint="eastAsia"/>
          <w:color w:val="000000"/>
          <w:sz w:val="21"/>
          <w:szCs w:val="21"/>
        </w:rPr>
        <w:t>干预</w:t>
      </w:r>
      <w:r>
        <w:rPr>
          <w:color w:val="000000"/>
          <w:sz w:val="21"/>
          <w:szCs w:val="21"/>
        </w:rPr>
        <w:t>－</w:t>
      </w:r>
      <w:r>
        <w:rPr>
          <w:rFonts w:hint="eastAsia"/>
          <w:color w:val="000000"/>
          <w:sz w:val="21"/>
          <w:szCs w:val="21"/>
        </w:rPr>
        <w:t>监测”全流程的数字化中西医结合心脏康复路径。本指南旨在填补这一空缺，首次通过系统地评估，为冠心病患者提供科学、规范的康复治疗方案。核心目标是为患者提供标准化的中西医结合心脏康复治疗方案，充分发挥中医特色与现代医学的优势，推动中西医结合心脏康复的进一步发展，形成具有中国特色、实用性强的心脏康复方案。</w:t>
      </w:r>
    </w:p>
    <w:p w14:paraId="65CE54E4">
      <w:pPr>
        <w:pStyle w:val="50"/>
        <w:spacing w:line="360" w:lineRule="exact"/>
        <w:ind w:firstLine="420"/>
        <w:rPr>
          <w:color w:val="000000"/>
          <w:sz w:val="21"/>
          <w:szCs w:val="21"/>
        </w:rPr>
      </w:pPr>
      <w:r>
        <w:rPr>
          <w:color w:val="000000"/>
          <w:sz w:val="21"/>
          <w:szCs w:val="21"/>
        </w:rPr>
        <w:t>本</w:t>
      </w:r>
      <w:r>
        <w:rPr>
          <w:rFonts w:hint="eastAsia"/>
          <w:color w:val="000000"/>
          <w:sz w:val="21"/>
          <w:szCs w:val="21"/>
        </w:rPr>
        <w:t>指南</w:t>
      </w:r>
      <w:r>
        <w:rPr>
          <w:color w:val="000000"/>
          <w:sz w:val="21"/>
          <w:szCs w:val="21"/>
        </w:rPr>
        <w:t>以中西医临床关键问题为导向，开展</w:t>
      </w:r>
      <w:r>
        <w:rPr>
          <w:rFonts w:hint="eastAsia"/>
          <w:color w:val="000000"/>
          <w:sz w:val="21"/>
          <w:szCs w:val="21"/>
        </w:rPr>
        <w:t>冠心病心脏康复</w:t>
      </w:r>
      <w:r>
        <w:rPr>
          <w:color w:val="000000"/>
          <w:sz w:val="21"/>
          <w:szCs w:val="21"/>
        </w:rPr>
        <w:t>的循证研究，基于现有的最佳证据，经专家讨论，广泛征求中医</w:t>
      </w:r>
      <w:r>
        <w:rPr>
          <w:rFonts w:hint="eastAsia"/>
          <w:color w:val="000000"/>
          <w:sz w:val="21"/>
          <w:szCs w:val="21"/>
        </w:rPr>
        <w:t>内科</w:t>
      </w:r>
      <w:r>
        <w:rPr>
          <w:color w:val="000000"/>
          <w:sz w:val="21"/>
          <w:szCs w:val="21"/>
        </w:rPr>
        <w:t>、中西医结合</w:t>
      </w:r>
      <w:r>
        <w:rPr>
          <w:rFonts w:hint="eastAsia"/>
          <w:color w:val="000000"/>
          <w:sz w:val="21"/>
          <w:szCs w:val="21"/>
        </w:rPr>
        <w:t>心血管</w:t>
      </w:r>
      <w:r>
        <w:rPr>
          <w:color w:val="000000"/>
          <w:sz w:val="21"/>
          <w:szCs w:val="21"/>
        </w:rPr>
        <w:t>科、西医</w:t>
      </w:r>
      <w:r>
        <w:rPr>
          <w:rFonts w:hint="eastAsia"/>
          <w:color w:val="000000"/>
          <w:sz w:val="21"/>
          <w:szCs w:val="21"/>
        </w:rPr>
        <w:t>心血管科、营养学、运动医学、药学</w:t>
      </w:r>
      <w:r>
        <w:rPr>
          <w:color w:val="000000"/>
          <w:sz w:val="21"/>
          <w:szCs w:val="21"/>
        </w:rPr>
        <w:t>及方法学专家意见后形成中医诊疗推荐意见，以保证指南的科学性、实用性、临床可操作性，指导临床医师</w:t>
      </w:r>
      <w:r>
        <w:rPr>
          <w:rFonts w:hint="eastAsia"/>
          <w:color w:val="000000"/>
          <w:sz w:val="21"/>
          <w:szCs w:val="21"/>
        </w:rPr>
        <w:t>进行规范化心脏康复治疗，积极改善患者生活治疗，将康复关口前移</w:t>
      </w:r>
      <w:r>
        <w:rPr>
          <w:color w:val="000000"/>
          <w:sz w:val="21"/>
          <w:szCs w:val="21"/>
        </w:rPr>
        <w:t>，防患于未然，节约医疗卫生资源、减轻疾病负担，提高患者生活质量。</w:t>
      </w:r>
    </w:p>
    <w:p w14:paraId="379BA717">
      <w:pPr>
        <w:ind w:firstLine="420" w:firstLineChars="200"/>
      </w:pPr>
      <w:r>
        <w:rPr>
          <w:rFonts w:hint="eastAsia"/>
        </w:rPr>
        <w:t>本指南以中西医临床关键问题为导向，遵循循证医学原则，客观评价了近</w:t>
      </w:r>
      <w:r>
        <w:t>10</w:t>
      </w:r>
      <w:r>
        <w:rPr>
          <w:rFonts w:hint="eastAsia"/>
        </w:rPr>
        <w:t>年冠心病心脏康复中西医结合诊治证据，经工作组充分讨论，在此基础上撰写本指南，广泛征求临床医学、中医学、临床流行病学、护理学与临床药学等多学科专家意见，最后形成《冠心病中西医结合康复指南》。</w:t>
      </w:r>
    </w:p>
    <w:p w14:paraId="6965E549">
      <w:pPr>
        <w:ind w:firstLine="420" w:firstLineChars="200"/>
      </w:pPr>
      <w:r>
        <w:rPr>
          <w:rFonts w:hint="eastAsia"/>
        </w:rPr>
        <w:t>本指南参照最新的国际、国内指南，汇聚中医、西医相关领域专家的诊疗经验和研究成果编制而成，力求以简明的语言阐释疾病不同时期中西医治疗原则，以期协助中西医临床医师、康复和护理人员等能更好地将本指南应用于冠心病患者的康复治疗，其科学性、实用性和依从性等需要在临床实践中不断验证，根据临床实践反馈意见进行更新完善。</w:t>
      </w:r>
    </w:p>
    <w:p w14:paraId="52F4B143">
      <w:pPr>
        <w:ind w:firstLine="420" w:firstLineChars="200"/>
      </w:pPr>
      <w:r>
        <w:rPr>
          <w:rFonts w:hint="eastAsia"/>
        </w:rPr>
        <w:t>指南工作组通过对冠心病心脏康复国内外最新中、西医指南与临床研究报告进行分析，结合专家调研与访谈，围绕中西医结合环节，形成主要临床问题，通过德尔菲法和网络专家共识会议法评价临床问题和结局指标的重要性，确定最终临床问题清单。</w:t>
      </w:r>
    </w:p>
    <w:p w14:paraId="7F6AA0ED">
      <w:pPr>
        <w:ind w:firstLine="420"/>
      </w:pPr>
      <w:r>
        <w:rPr>
          <w:rFonts w:hint="eastAsia"/>
        </w:rPr>
        <w:t>①冠心病心脏康复的评估有哪些？②冠心病心脏康复的中医证型及推荐药物治疗有哪些？③冠心病心脏康复的运动处方有哪些？④冠心病心脏康复的中医外治法有哪些？⑤冠心病心脏康复的心理评估与干预方案？⑥冠心病心脏康复的生活方式指导原则是什么？</w:t>
      </w:r>
    </w:p>
    <w:p w14:paraId="52786C19">
      <w:pPr>
        <w:ind w:firstLine="315" w:firstLineChars="150"/>
      </w:pPr>
      <w:r>
        <w:rPr>
          <w:rFonts w:hint="eastAsia"/>
        </w:rPr>
        <w:t>本指南受“国家重大疑难疾病中西医临床协作能力建设项目”资助。</w:t>
      </w:r>
    </w:p>
    <w:p w14:paraId="23F92D29">
      <w:pPr>
        <w:ind w:firstLine="315" w:firstLineChars="150"/>
      </w:pPr>
      <w:r>
        <w:rPr>
          <w:rFonts w:hint="eastAsia"/>
        </w:rPr>
        <w:t>本指南项目组成员在项目正式启动前均签署了“利益冲突声明书”，且已存档。本指南制定过程中无利益冲突，为此不会成为本指南制定的偏倚来源，无需进一步处理，已在正式工作开始前在会议上公开了利益声明和评价结果，即所有参与本指南制定的成员均和药品生产企业没有任何经济利益往来。</w:t>
      </w:r>
    </w:p>
    <w:tbl>
      <w:tblPr>
        <w:tblStyle w:val="16"/>
        <w:tblW w:w="8107" w:type="dxa"/>
        <w:tblInd w:w="0" w:type="dxa"/>
        <w:tblLayout w:type="fixed"/>
        <w:tblCellMar>
          <w:top w:w="0" w:type="dxa"/>
          <w:left w:w="0" w:type="dxa"/>
          <w:bottom w:w="0" w:type="dxa"/>
          <w:right w:w="0" w:type="dxa"/>
        </w:tblCellMar>
      </w:tblPr>
      <w:tblGrid>
        <w:gridCol w:w="8107"/>
      </w:tblGrid>
      <w:tr w14:paraId="4CCBDEA8">
        <w:tblPrEx>
          <w:tblCellMar>
            <w:top w:w="0" w:type="dxa"/>
            <w:left w:w="0" w:type="dxa"/>
            <w:bottom w:w="0" w:type="dxa"/>
            <w:right w:w="0" w:type="dxa"/>
          </w:tblCellMar>
        </w:tblPrEx>
        <w:trPr>
          <w:trHeight w:val="316" w:hRule="exact"/>
        </w:trPr>
        <w:tc>
          <w:tcPr>
            <w:tcW w:w="8107" w:type="dxa"/>
          </w:tcPr>
          <w:p w14:paraId="6327DD92">
            <w:pPr>
              <w:pStyle w:val="57"/>
              <w:spacing w:before="0" w:after="0" w:line="360" w:lineRule="exact"/>
              <w:ind w:right="-71" w:rightChars="-34"/>
              <w:jc w:val="center"/>
              <w:rPr>
                <w:szCs w:val="32"/>
              </w:rPr>
            </w:pPr>
            <w:r>
              <w:rPr>
                <w:rFonts w:hint="eastAsia"/>
              </w:rPr>
              <w:t>冠心病中西医结合康复指南</w:t>
            </w:r>
          </w:p>
          <w:p w14:paraId="0B6C1770">
            <w:pPr>
              <w:jc w:val="center"/>
              <w:rPr>
                <w:color w:val="000000"/>
                <w:sz w:val="24"/>
                <w:szCs w:val="24"/>
              </w:rPr>
            </w:pPr>
          </w:p>
        </w:tc>
      </w:tr>
      <w:tr w14:paraId="0D91DBEC">
        <w:tblPrEx>
          <w:tblCellMar>
            <w:top w:w="0" w:type="dxa"/>
            <w:left w:w="0" w:type="dxa"/>
            <w:bottom w:w="0" w:type="dxa"/>
            <w:right w:w="0" w:type="dxa"/>
          </w:tblCellMar>
        </w:tblPrEx>
        <w:trPr>
          <w:trHeight w:val="316" w:hRule="exact"/>
        </w:trPr>
        <w:tc>
          <w:tcPr>
            <w:tcW w:w="8107" w:type="dxa"/>
          </w:tcPr>
          <w:p w14:paraId="4429AAFF">
            <w:pPr>
              <w:jc w:val="center"/>
            </w:pPr>
            <w:bookmarkStart w:id="6" w:name="_Toc459724774"/>
            <w:bookmarkStart w:id="7" w:name="_Toc459704603"/>
            <w:bookmarkStart w:id="8" w:name="_Toc996049879"/>
            <w:bookmarkStart w:id="9" w:name="_Toc459720143"/>
            <w:bookmarkStart w:id="10" w:name="_Toc510534528"/>
            <w:bookmarkStart w:id="11" w:name="_Toc803483654"/>
            <w:bookmarkStart w:id="12" w:name="_Toc509933849"/>
          </w:p>
        </w:tc>
      </w:tr>
    </w:tbl>
    <w:p w14:paraId="2FAE93B3">
      <w:pPr>
        <w:pStyle w:val="2"/>
        <w:keepNext/>
        <w:keepLines/>
        <w:pageBreakBefore w:val="0"/>
        <w:widowControl w:val="0"/>
        <w:numPr>
          <w:ilvl w:val="0"/>
          <w:numId w:val="4"/>
        </w:numPr>
        <w:kinsoku/>
        <w:wordWrap/>
        <w:overflowPunct/>
        <w:topLinePunct w:val="0"/>
        <w:autoSpaceDE/>
        <w:autoSpaceDN/>
        <w:bidi w:val="0"/>
        <w:adjustRightInd/>
        <w:snapToGrid/>
        <w:spacing w:before="157" w:beforeLines="50" w:after="157" w:afterLines="50" w:line="360" w:lineRule="exact"/>
        <w:ind w:left="363" w:hanging="363"/>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范围</w:t>
      </w:r>
      <w:bookmarkEnd w:id="6"/>
      <w:bookmarkEnd w:id="7"/>
      <w:bookmarkEnd w:id="8"/>
      <w:bookmarkEnd w:id="9"/>
      <w:bookmarkEnd w:id="10"/>
      <w:bookmarkEnd w:id="11"/>
      <w:bookmarkEnd w:id="12"/>
      <w:bookmarkStart w:id="13" w:name="_Toc459724775"/>
      <w:bookmarkStart w:id="14" w:name="_Toc459704604"/>
      <w:bookmarkStart w:id="15" w:name="_Toc459720144"/>
    </w:p>
    <w:p w14:paraId="5764FEE3">
      <w:pPr>
        <w:pStyle w:val="50"/>
        <w:spacing w:line="360" w:lineRule="exact"/>
        <w:ind w:firstLine="420"/>
        <w:rPr>
          <w:color w:val="000000"/>
          <w:sz w:val="21"/>
          <w:szCs w:val="21"/>
        </w:rPr>
      </w:pPr>
      <w:r>
        <w:rPr>
          <w:color w:val="000000"/>
          <w:sz w:val="21"/>
          <w:szCs w:val="21"/>
        </w:rPr>
        <w:t>本文件界定了</w:t>
      </w:r>
      <w:r>
        <w:rPr>
          <w:rFonts w:hint="eastAsia"/>
          <w:color w:val="000000"/>
          <w:sz w:val="21"/>
          <w:szCs w:val="21"/>
        </w:rPr>
        <w:t>冠心病心脏康复</w:t>
      </w:r>
      <w:r>
        <w:rPr>
          <w:color w:val="000000"/>
          <w:sz w:val="21"/>
          <w:szCs w:val="21"/>
        </w:rPr>
        <w:t>的术语和定义，明确了诊断、中医辨证、治疗、疗效评价和预防调摄。</w:t>
      </w:r>
    </w:p>
    <w:p w14:paraId="58932188">
      <w:pPr>
        <w:pStyle w:val="50"/>
        <w:spacing w:line="360" w:lineRule="exact"/>
        <w:ind w:firstLine="420"/>
        <w:rPr>
          <w:color w:val="000000"/>
          <w:sz w:val="21"/>
          <w:szCs w:val="21"/>
        </w:rPr>
      </w:pPr>
      <w:r>
        <w:rPr>
          <w:color w:val="000000"/>
          <w:sz w:val="21"/>
          <w:szCs w:val="21"/>
        </w:rPr>
        <w:t>本文件适用于</w:t>
      </w:r>
      <w:r>
        <w:rPr>
          <w:rFonts w:hint="eastAsia"/>
          <w:color w:val="000000"/>
          <w:sz w:val="21"/>
          <w:szCs w:val="21"/>
        </w:rPr>
        <w:t>冠心病</w:t>
      </w:r>
      <w:r>
        <w:rPr>
          <w:color w:val="000000"/>
          <w:sz w:val="21"/>
          <w:szCs w:val="21"/>
        </w:rPr>
        <w:t>心脏病患者的中医临床</w:t>
      </w:r>
      <w:r>
        <w:rPr>
          <w:rFonts w:hint="eastAsia"/>
          <w:color w:val="000000"/>
          <w:sz w:val="21"/>
          <w:szCs w:val="21"/>
        </w:rPr>
        <w:t>康复</w:t>
      </w:r>
      <w:r>
        <w:rPr>
          <w:color w:val="000000"/>
          <w:sz w:val="21"/>
          <w:szCs w:val="21"/>
        </w:rPr>
        <w:t>诊疗</w:t>
      </w:r>
      <w:r>
        <w:rPr>
          <w:rFonts w:hint="eastAsia"/>
          <w:color w:val="000000"/>
          <w:sz w:val="21"/>
          <w:szCs w:val="21"/>
        </w:rPr>
        <w:t>；</w:t>
      </w:r>
      <w:r>
        <w:rPr>
          <w:color w:val="000000"/>
          <w:sz w:val="21"/>
          <w:szCs w:val="21"/>
        </w:rPr>
        <w:t>适用于各级医疗机构的</w:t>
      </w:r>
      <w:r>
        <w:rPr>
          <w:rFonts w:hint="eastAsia"/>
          <w:color w:val="000000"/>
          <w:sz w:val="21"/>
          <w:szCs w:val="21"/>
        </w:rPr>
        <w:t>中医心血管内科</w:t>
      </w:r>
      <w:r>
        <w:rPr>
          <w:color w:val="000000"/>
          <w:sz w:val="21"/>
          <w:szCs w:val="21"/>
        </w:rPr>
        <w:t>、</w:t>
      </w:r>
      <w:r>
        <w:rPr>
          <w:rFonts w:hint="eastAsia"/>
          <w:color w:val="000000"/>
          <w:sz w:val="21"/>
          <w:szCs w:val="21"/>
        </w:rPr>
        <w:t>心血管内科</w:t>
      </w:r>
      <w:r>
        <w:rPr>
          <w:color w:val="000000"/>
          <w:sz w:val="21"/>
          <w:szCs w:val="21"/>
        </w:rPr>
        <w:t>、中医科</w:t>
      </w:r>
      <w:r>
        <w:rPr>
          <w:rFonts w:hint="eastAsia"/>
          <w:color w:val="000000"/>
          <w:sz w:val="21"/>
          <w:szCs w:val="21"/>
        </w:rPr>
        <w:t>、康复科</w:t>
      </w:r>
      <w:r>
        <w:rPr>
          <w:color w:val="000000"/>
          <w:sz w:val="21"/>
          <w:szCs w:val="21"/>
        </w:rPr>
        <w:t>等相关科室临床医护人员使用。</w:t>
      </w:r>
    </w:p>
    <w:p w14:paraId="1F7A3ACC">
      <w:pPr>
        <w:pStyle w:val="2"/>
        <w:keepNext/>
        <w:keepLines/>
        <w:pageBreakBefore w:val="0"/>
        <w:widowControl w:val="0"/>
        <w:numPr>
          <w:ilvl w:val="0"/>
          <w:numId w:val="4"/>
        </w:numPr>
        <w:kinsoku/>
        <w:wordWrap/>
        <w:overflowPunct/>
        <w:topLinePunct w:val="0"/>
        <w:autoSpaceDE/>
        <w:autoSpaceDN/>
        <w:bidi w:val="0"/>
        <w:adjustRightInd/>
        <w:snapToGrid/>
        <w:spacing w:before="157" w:beforeLines="50" w:after="157" w:afterLines="50" w:line="360" w:lineRule="exact"/>
        <w:ind w:left="363" w:hanging="363"/>
        <w:textAlignment w:val="auto"/>
        <w:rPr>
          <w:rFonts w:hint="eastAsia" w:ascii="黑体" w:hAnsi="黑体" w:eastAsia="黑体" w:cs="黑体"/>
          <w:b w:val="0"/>
          <w:bCs w:val="0"/>
          <w:sz w:val="22"/>
          <w:szCs w:val="36"/>
        </w:rPr>
      </w:pPr>
      <w:bookmarkStart w:id="16" w:name="_Toc510534529"/>
      <w:bookmarkStart w:id="17" w:name="_Toc975287988"/>
      <w:bookmarkStart w:id="18" w:name="_Toc509933850"/>
      <w:bookmarkStart w:id="19" w:name="_Toc772600442"/>
      <w:r>
        <w:rPr>
          <w:rFonts w:hint="eastAsia" w:ascii="黑体" w:hAnsi="黑体" w:eastAsia="黑体" w:cs="黑体"/>
          <w:b w:val="0"/>
          <w:bCs w:val="0"/>
          <w:sz w:val="22"/>
          <w:szCs w:val="36"/>
        </w:rPr>
        <w:t>规范性引用文件</w:t>
      </w:r>
      <w:bookmarkEnd w:id="13"/>
      <w:bookmarkEnd w:id="14"/>
      <w:bookmarkEnd w:id="15"/>
      <w:bookmarkEnd w:id="16"/>
      <w:bookmarkEnd w:id="17"/>
      <w:bookmarkEnd w:id="18"/>
      <w:bookmarkEnd w:id="19"/>
    </w:p>
    <w:p w14:paraId="2F2E562A">
      <w:pPr>
        <w:pStyle w:val="50"/>
        <w:spacing w:line="360" w:lineRule="exact"/>
        <w:ind w:firstLine="420"/>
        <w:rPr>
          <w:color w:val="000000"/>
          <w:sz w:val="21"/>
          <w:szCs w:val="21"/>
          <w:shd w:val="clear" w:color="auto" w:fill="FFFFFF"/>
        </w:rPr>
      </w:pPr>
      <w:bookmarkStart w:id="20" w:name="_Toc459704605"/>
      <w:bookmarkEnd w:id="20"/>
      <w:r>
        <w:rPr>
          <w:color w:val="000000"/>
          <w:sz w:val="21"/>
          <w:szCs w:val="21"/>
        </w:rPr>
        <w:t>下列文件中的内容通过文中的规范性引用</w:t>
      </w:r>
      <w:r>
        <w:rPr>
          <w:color w:val="000000"/>
          <w:sz w:val="21"/>
          <w:szCs w:val="21"/>
          <w:shd w:val="clear" w:color="auto" w:fill="FFFFFF"/>
        </w:rPr>
        <w:t>而构成本文件必不可少的条款。其中，注日期的引用文件，仅该日期对应的版本适用于本文件；不注日期的引用文件，其最新版本（包括所有的修改单）适用于本文件。</w:t>
      </w:r>
    </w:p>
    <w:p w14:paraId="1FAC49A0">
      <w:pPr>
        <w:pStyle w:val="50"/>
        <w:spacing w:line="360" w:lineRule="exact"/>
        <w:ind w:firstLine="420"/>
        <w:rPr>
          <w:color w:val="000000"/>
          <w:sz w:val="21"/>
          <w:szCs w:val="21"/>
          <w:shd w:val="clear" w:color="auto" w:fill="FFFFFF"/>
        </w:rPr>
      </w:pPr>
      <w:r>
        <w:rPr>
          <w:color w:val="000000"/>
          <w:sz w:val="21"/>
          <w:szCs w:val="21"/>
          <w:shd w:val="clear" w:color="auto" w:fill="FFFFFF"/>
        </w:rPr>
        <w:t>GB/T 15657-2021 中医病证分类与代码</w:t>
      </w:r>
      <w:r>
        <w:rPr>
          <w:color w:val="000000"/>
          <w:sz w:val="21"/>
          <w:szCs w:val="21"/>
          <w:shd w:val="clear" w:color="auto" w:fill="FFFFFF"/>
          <w:vertAlign w:val="superscript"/>
        </w:rPr>
        <w:t>[3]</w:t>
      </w:r>
    </w:p>
    <w:p w14:paraId="418AC242">
      <w:pPr>
        <w:ind w:firstLine="420"/>
        <w:rPr>
          <w:rFonts w:hint="eastAsia"/>
          <w:vertAlign w:val="superscript"/>
        </w:rPr>
      </w:pPr>
      <w:r>
        <w:rPr>
          <w:rFonts w:hint="eastAsia"/>
        </w:rPr>
        <w:t>2024 ECS 慢性冠脉综合征（CAS）诊断与管理指南</w:t>
      </w:r>
      <w:r>
        <w:rPr>
          <w:rFonts w:hint="eastAsia"/>
          <w:vertAlign w:val="superscript"/>
        </w:rPr>
        <w:t>[</w:t>
      </w:r>
      <w:r>
        <w:rPr>
          <w:vertAlign w:val="superscript"/>
        </w:rPr>
        <w:fldChar w:fldCharType="begin"/>
      </w:r>
      <w:r>
        <w:rPr>
          <w:vertAlign w:val="superscript"/>
        </w:rPr>
        <w:instrText xml:space="preserve"> </w:instrText>
      </w:r>
      <w:r>
        <w:rPr>
          <w:rFonts w:hint="eastAsia"/>
          <w:vertAlign w:val="superscript"/>
        </w:rPr>
        <w:instrText xml:space="preserve">NOTEREF _Ref189398083 \f \h</w:instrText>
      </w:r>
      <w:r>
        <w:rPr>
          <w:vertAlign w:val="superscript"/>
        </w:rPr>
        <w:instrText xml:space="preserve">  \* MERGEFORMAT </w:instrText>
      </w:r>
      <w:r>
        <w:rPr>
          <w:vertAlign w:val="superscript"/>
        </w:rPr>
        <w:fldChar w:fldCharType="separate"/>
      </w:r>
      <w:r>
        <w:rPr>
          <w:rStyle w:val="20"/>
        </w:rPr>
        <w:t>1</w:t>
      </w:r>
      <w:r>
        <w:rPr>
          <w:vertAlign w:val="superscript"/>
        </w:rPr>
        <w:fldChar w:fldCharType="end"/>
      </w:r>
      <w:r>
        <w:rPr>
          <w:rFonts w:hint="eastAsia"/>
          <w:vertAlign w:val="superscript"/>
        </w:rPr>
        <w:t>]</w:t>
      </w:r>
    </w:p>
    <w:p w14:paraId="707A2DAD">
      <w:pPr>
        <w:ind w:firstLine="420"/>
        <w:rPr>
          <w:sz w:val="15"/>
          <w:szCs w:val="15"/>
        </w:rPr>
      </w:pPr>
      <w:r>
        <w:rPr>
          <w:rFonts w:hint="eastAsia"/>
        </w:rPr>
        <w:t>2024 ESC 急性冠脉综合征（ACS）管理指南</w:t>
      </w:r>
      <w:r>
        <w:rPr>
          <w:rFonts w:hint="eastAsia"/>
          <w:vertAlign w:val="superscript"/>
        </w:rPr>
        <w:t>[</w:t>
      </w:r>
      <w:r>
        <w:rPr>
          <w:vertAlign w:val="superscript"/>
        </w:rPr>
        <w:fldChar w:fldCharType="begin"/>
      </w:r>
      <w:r>
        <w:rPr>
          <w:vertAlign w:val="superscript"/>
        </w:rPr>
        <w:instrText xml:space="preserve"> NOTEREF _Ref189398086 \f \h  \* MERGEFORMAT </w:instrText>
      </w:r>
      <w:r>
        <w:rPr>
          <w:vertAlign w:val="superscript"/>
        </w:rPr>
        <w:fldChar w:fldCharType="separate"/>
      </w:r>
      <w:r>
        <w:rPr>
          <w:rStyle w:val="20"/>
        </w:rPr>
        <w:t>2</w:t>
      </w:r>
      <w:r>
        <w:rPr>
          <w:vertAlign w:val="superscript"/>
        </w:rPr>
        <w:fldChar w:fldCharType="end"/>
      </w:r>
      <w:r>
        <w:rPr>
          <w:rFonts w:hint="eastAsia"/>
          <w:vertAlign w:val="superscript"/>
        </w:rPr>
        <w:t>]</w:t>
      </w:r>
      <w:r>
        <w:rPr>
          <w:rFonts w:hint="eastAsia"/>
          <w:sz w:val="15"/>
          <w:szCs w:val="15"/>
        </w:rPr>
        <w:t>。</w:t>
      </w:r>
    </w:p>
    <w:p w14:paraId="1A372E27">
      <w:pPr>
        <w:ind w:firstLine="420"/>
      </w:pPr>
      <w:r>
        <w:rPr>
          <w:rFonts w:hint="eastAsia"/>
          <w:color w:val="000000"/>
        </w:rPr>
        <w:t>冠心病稳定型心绞痛中医诊疗指南</w:t>
      </w:r>
      <w:r>
        <w:rPr>
          <w:rStyle w:val="20"/>
        </w:rPr>
        <w:t>[</w:t>
      </w:r>
      <w:bookmarkStart w:id="21" w:name="_Ref32282"/>
      <w:r>
        <w:rPr>
          <w:rStyle w:val="20"/>
        </w:rPr>
        <w:endnoteReference w:id="0"/>
      </w:r>
      <w:r>
        <w:rPr>
          <w:rStyle w:val="20"/>
        </w:rPr>
        <w:t>]</w:t>
      </w:r>
      <w:bookmarkEnd w:id="21"/>
    </w:p>
    <w:p w14:paraId="51F23BA6">
      <w:pPr>
        <w:ind w:firstLine="420"/>
      </w:pPr>
      <w:r>
        <w:rPr>
          <w:rFonts w:hint="eastAsia"/>
        </w:rPr>
        <w:t>不稳定型心绞痛中医诊疗专家共识</w:t>
      </w:r>
      <w:r>
        <w:rPr>
          <w:rStyle w:val="20"/>
          <w:rFonts w:hint="eastAsia"/>
        </w:rPr>
        <w:t>[</w:t>
      </w:r>
      <w:r>
        <w:rPr>
          <w:rStyle w:val="20"/>
          <w:rFonts w:hint="eastAsia"/>
        </w:rPr>
        <w:endnoteReference w:id="1"/>
      </w:r>
      <w:r>
        <w:rPr>
          <w:rStyle w:val="20"/>
          <w:rFonts w:hint="eastAsia"/>
        </w:rPr>
        <w:t>]</w:t>
      </w:r>
    </w:p>
    <w:p w14:paraId="54E732F5">
      <w:pPr>
        <w:ind w:firstLine="420"/>
      </w:pPr>
      <w:r>
        <w:rPr>
          <w:rFonts w:hint="eastAsia"/>
        </w:rPr>
        <w:t>急性心肌梗死中医临床诊疗指南</w:t>
      </w:r>
      <w:r>
        <w:rPr>
          <w:rStyle w:val="20"/>
          <w:rFonts w:hint="eastAsia"/>
        </w:rPr>
        <w:t>[</w:t>
      </w:r>
      <w:r>
        <w:rPr>
          <w:rStyle w:val="20"/>
          <w:rFonts w:hint="eastAsia"/>
        </w:rPr>
        <w:endnoteReference w:id="2"/>
      </w:r>
      <w:r>
        <w:rPr>
          <w:rStyle w:val="20"/>
          <w:rFonts w:hint="eastAsia"/>
        </w:rPr>
        <w:t>]</w:t>
      </w:r>
      <w:r>
        <w:rPr>
          <w:rFonts w:hint="eastAsia"/>
        </w:rPr>
        <w:t>。</w:t>
      </w:r>
    </w:p>
    <w:p w14:paraId="449AD12C">
      <w:pPr>
        <w:pStyle w:val="2"/>
        <w:keepNext/>
        <w:keepLines/>
        <w:pageBreakBefore w:val="0"/>
        <w:widowControl w:val="0"/>
        <w:numPr>
          <w:ilvl w:val="0"/>
          <w:numId w:val="4"/>
        </w:numPr>
        <w:kinsoku/>
        <w:wordWrap/>
        <w:overflowPunct/>
        <w:topLinePunct w:val="0"/>
        <w:autoSpaceDE/>
        <w:autoSpaceDN/>
        <w:bidi w:val="0"/>
        <w:adjustRightInd/>
        <w:snapToGrid/>
        <w:spacing w:before="157" w:beforeLines="50" w:after="157" w:afterLines="50" w:line="360" w:lineRule="exact"/>
        <w:ind w:left="363" w:hanging="363"/>
        <w:textAlignment w:val="auto"/>
        <w:rPr>
          <w:rFonts w:hint="eastAsia" w:ascii="黑体" w:hAnsi="黑体" w:eastAsia="黑体" w:cs="黑体"/>
          <w:b w:val="0"/>
          <w:bCs w:val="0"/>
          <w:sz w:val="22"/>
          <w:szCs w:val="36"/>
        </w:rPr>
      </w:pPr>
      <w:bookmarkStart w:id="22" w:name="_Toc2070020412"/>
      <w:bookmarkStart w:id="23" w:name="_Toc1409498932"/>
      <w:bookmarkStart w:id="24" w:name="_Toc509933851"/>
      <w:bookmarkStart w:id="25" w:name="_Toc436205037"/>
      <w:bookmarkStart w:id="26" w:name="_Toc510534530"/>
      <w:r>
        <w:rPr>
          <w:rFonts w:hint="eastAsia" w:ascii="黑体" w:hAnsi="黑体" w:eastAsia="黑体" w:cs="黑体"/>
          <w:b w:val="0"/>
          <w:bCs w:val="0"/>
          <w:sz w:val="22"/>
          <w:szCs w:val="36"/>
        </w:rPr>
        <w:t>术语和定义</w:t>
      </w:r>
      <w:bookmarkEnd w:id="22"/>
      <w:bookmarkEnd w:id="23"/>
      <w:bookmarkEnd w:id="24"/>
      <w:bookmarkEnd w:id="25"/>
      <w:bookmarkEnd w:id="26"/>
    </w:p>
    <w:p w14:paraId="02575B9B">
      <w:pPr>
        <w:pStyle w:val="50"/>
        <w:spacing w:line="360" w:lineRule="exact"/>
        <w:ind w:firstLine="0" w:firstLineChars="0"/>
        <w:rPr>
          <w:color w:val="000000"/>
          <w:sz w:val="21"/>
          <w:szCs w:val="21"/>
        </w:rPr>
      </w:pPr>
      <w:r>
        <w:rPr>
          <w:color w:val="000000"/>
          <w:sz w:val="21"/>
          <w:szCs w:val="21"/>
        </w:rPr>
        <w:t>下列术语和定义适用于本文件。</w:t>
      </w:r>
    </w:p>
    <w:p w14:paraId="7E782D11">
      <w:pPr>
        <w:pStyle w:val="2"/>
        <w:keepNext/>
        <w:keepLines/>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exact"/>
        <w:ind w:leftChars="0"/>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3.1</w:t>
      </w:r>
    </w:p>
    <w:p w14:paraId="6C61FBE2">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firstLine="440" w:firstLineChars="200"/>
        <w:textAlignment w:val="auto"/>
        <w:rPr>
          <w:rFonts w:hint="eastAsia" w:ascii="黑体" w:hAnsi="黑体" w:eastAsia="黑体" w:cs="黑体"/>
          <w:b w:val="0"/>
          <w:bCs w:val="0"/>
          <w:sz w:val="22"/>
          <w:szCs w:val="36"/>
          <w:lang w:val="en-US" w:eastAsia="zh-CN"/>
        </w:rPr>
      </w:pPr>
      <w:r>
        <w:rPr>
          <w:rFonts w:hint="eastAsia" w:ascii="黑体" w:hAnsi="黑体" w:eastAsia="黑体" w:cs="黑体"/>
          <w:b w:val="0"/>
          <w:bCs w:val="0"/>
          <w:sz w:val="22"/>
          <w:szCs w:val="36"/>
        </w:rPr>
        <w:t>冠心病</w:t>
      </w:r>
      <w:r>
        <w:rPr>
          <w:rFonts w:hint="eastAsia" w:ascii="黑体" w:hAnsi="黑体" w:eastAsia="黑体" w:cs="黑体"/>
          <w:b w:val="0"/>
          <w:bCs w:val="0"/>
          <w:sz w:val="22"/>
          <w:szCs w:val="36"/>
          <w:lang w:val="en-US" w:eastAsia="zh-CN"/>
        </w:rPr>
        <w:t xml:space="preserve"> coronary heart disease</w:t>
      </w:r>
    </w:p>
    <w:p w14:paraId="0608FE40">
      <w:pPr>
        <w:ind w:firstLine="420"/>
      </w:pPr>
      <w:r>
        <w:rPr>
          <w:rFonts w:hint="eastAsia"/>
        </w:rPr>
        <w:t>冠心病即冠状动脉粥样硬化性心脏病，冠状动脉粥样硬化是一种慢性炎症进展性疾病，以脂质代谢障碍为病变基础，当冠状动脉发生粥样硬化引起管腔狭窄或闭塞，导致心肌缺血缺氧或坏死而引起的心脏病为冠心病。按照临床症状、心电图和肌钙蛋白的改变，冠状动脉粥样硬化性心脏病可分为慢性冠脉综合征和急性冠脉综合征</w:t>
      </w:r>
      <w:r>
        <w:rPr>
          <w:rStyle w:val="20"/>
          <w:rFonts w:hint="eastAsia"/>
        </w:rPr>
        <w:t>[</w:t>
      </w:r>
      <w:r>
        <w:rPr>
          <w:rStyle w:val="20"/>
          <w:rFonts w:hint="eastAsia"/>
        </w:rPr>
        <w:endnoteReference w:id="3"/>
      </w:r>
      <w:r>
        <w:rPr>
          <w:rStyle w:val="20"/>
          <w:rFonts w:hint="eastAsia"/>
        </w:rPr>
        <w:t>]</w:t>
      </w:r>
      <w:r>
        <w:rPr>
          <w:rFonts w:hint="eastAsia"/>
        </w:rPr>
        <w:t>。</w:t>
      </w:r>
    </w:p>
    <w:p w14:paraId="220E8C15">
      <w:pPr>
        <w:ind w:firstLine="420"/>
      </w:pPr>
      <w:r>
        <w:rPr>
          <w:rFonts w:hint="eastAsia"/>
        </w:rPr>
        <w:t>其中急性冠脉综合征包括不稳定型心绞痛、非ST段抬高性心肌梗死和ST段抬高性心肌梗死</w:t>
      </w:r>
      <w:r>
        <w:rPr>
          <w:rStyle w:val="20"/>
          <w:rFonts w:hint="eastAsia"/>
        </w:rPr>
        <w:t>[</w:t>
      </w:r>
      <w:r>
        <w:rPr>
          <w:rStyle w:val="20"/>
          <w:rFonts w:hint="eastAsia"/>
        </w:rPr>
        <w:endnoteReference w:id="4"/>
      </w:r>
      <w:r>
        <w:rPr>
          <w:rStyle w:val="20"/>
          <w:rFonts w:hint="eastAsia"/>
        </w:rPr>
        <w:t>]</w:t>
      </w:r>
      <w:r>
        <w:rPr>
          <w:rFonts w:hint="eastAsia"/>
        </w:rPr>
        <w:t>。慢性冠脉综合征为冠脉和/或微循环相关结构或功能改变所引起的临床综合征，是急性冠脉综合征之外的所有冠脉疾病的一种综合临床表现，如稳定型心绞痛、冠脉微血管疾病以及冠状动脉旁路移植术后（C</w:t>
      </w:r>
      <w:r>
        <w:t xml:space="preserve">oronary </w:t>
      </w:r>
      <w:r>
        <w:rPr>
          <w:rFonts w:hint="eastAsia"/>
        </w:rPr>
        <w:t>A</w:t>
      </w:r>
      <w:r>
        <w:t xml:space="preserve">rtery </w:t>
      </w:r>
      <w:r>
        <w:rPr>
          <w:rFonts w:hint="eastAsia"/>
        </w:rPr>
        <w:t>B</w:t>
      </w:r>
      <w:r>
        <w:t xml:space="preserve">ypass </w:t>
      </w:r>
      <w:r>
        <w:rPr>
          <w:rFonts w:hint="eastAsia"/>
        </w:rPr>
        <w:t>G</w:t>
      </w:r>
      <w:r>
        <w:t>rafting</w:t>
      </w:r>
      <w:r>
        <w:rPr>
          <w:rFonts w:hint="eastAsia"/>
        </w:rPr>
        <w:t xml:space="preserve"> CAGB）和经皮冠状动脉介入治疗术后</w:t>
      </w:r>
      <w:r>
        <w:t>（</w:t>
      </w:r>
      <w:r>
        <w:rPr>
          <w:rFonts w:hint="eastAsia"/>
        </w:rPr>
        <w:t>Percutaneous Coronary Intervention PCI</w:t>
      </w:r>
      <w:r>
        <w:t>）</w:t>
      </w:r>
      <w:r>
        <w:rPr>
          <w:rFonts w:hint="eastAsia"/>
        </w:rPr>
        <w:t>的患者。</w:t>
      </w:r>
    </w:p>
    <w:p w14:paraId="40A2DEC3">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3.2</w:t>
      </w:r>
    </w:p>
    <w:p w14:paraId="2320C943">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firstLine="440" w:firstLineChars="200"/>
        <w:textAlignment w:val="auto"/>
        <w:rPr>
          <w:rFonts w:hint="eastAsia" w:ascii="黑体" w:hAnsi="黑体" w:eastAsia="黑体" w:cs="黑体"/>
          <w:b w:val="0"/>
          <w:bCs w:val="0"/>
          <w:sz w:val="22"/>
          <w:szCs w:val="36"/>
          <w:lang w:val="en-US" w:eastAsia="zh-CN"/>
        </w:rPr>
      </w:pPr>
      <w:r>
        <w:rPr>
          <w:rFonts w:hint="eastAsia" w:ascii="黑体" w:hAnsi="黑体" w:eastAsia="黑体" w:cs="黑体"/>
          <w:b w:val="0"/>
          <w:bCs w:val="0"/>
          <w:sz w:val="22"/>
          <w:szCs w:val="36"/>
        </w:rPr>
        <w:t>心脏康复</w:t>
      </w:r>
      <w:r>
        <w:rPr>
          <w:rFonts w:hint="eastAsia" w:ascii="黑体" w:hAnsi="黑体" w:eastAsia="黑体" w:cs="黑体"/>
          <w:b w:val="0"/>
          <w:bCs w:val="0"/>
          <w:sz w:val="22"/>
          <w:szCs w:val="36"/>
          <w:lang w:val="en-US" w:eastAsia="zh-CN"/>
        </w:rPr>
        <w:t xml:space="preserve"> cardiac rehabilitation</w:t>
      </w:r>
    </w:p>
    <w:p w14:paraId="3BD5DBB1">
      <w:pPr>
        <w:ind w:firstLine="420" w:firstLineChars="200"/>
        <w:rPr>
          <w:i/>
          <w:iCs/>
        </w:rPr>
      </w:pPr>
      <w:r>
        <w:t>心脏康复是指应用药物、运动、营养、精神心理及生活方式干预各种心脏疾病的综合性医疗措施，可降低心血管风险，提高患者生活质量和改善预后。</w:t>
      </w:r>
      <w:r>
        <w:rPr>
          <w:rFonts w:hint="eastAsia"/>
        </w:rPr>
        <w:t>心脏康复的本质是为了解决心血管疾病的潜在病因，提供尽可能完备的身体康复、心理支持及社会指导，使患者通过自身努力，最大可能</w:t>
      </w:r>
      <w:r>
        <w:t>地</w:t>
      </w:r>
      <w:r>
        <w:rPr>
          <w:rFonts w:hint="eastAsia"/>
        </w:rPr>
        <w:t>保持或恢复最佳的社会功能，通过改善行为，减缓或逆转疾病的发展</w:t>
      </w:r>
      <w:r>
        <w:rPr>
          <w:rStyle w:val="20"/>
          <w:rFonts w:hint="eastAsia"/>
        </w:rPr>
        <w:t>[</w:t>
      </w:r>
      <w:r>
        <w:rPr>
          <w:rStyle w:val="20"/>
          <w:rFonts w:hint="eastAsia"/>
        </w:rPr>
        <w:endnoteReference w:id="5"/>
      </w:r>
      <w:r>
        <w:rPr>
          <w:rStyle w:val="20"/>
          <w:rFonts w:hint="eastAsia"/>
        </w:rPr>
        <w:t>]</w:t>
      </w:r>
      <w:r>
        <w:rPr>
          <w:rFonts w:hint="eastAsia"/>
          <w:i/>
          <w:iCs/>
        </w:rPr>
        <w:t>，</w:t>
      </w:r>
      <w:r>
        <w:t>心脏康复措施包括医学评估、</w:t>
      </w:r>
      <w:r>
        <w:rPr>
          <w:rFonts w:hint="eastAsia"/>
        </w:rPr>
        <w:t>药物治疗、中医外治法、</w:t>
      </w:r>
      <w:r>
        <w:t>运动处方、</w:t>
      </w:r>
      <w:r>
        <w:rPr>
          <w:rFonts w:hint="eastAsia"/>
        </w:rPr>
        <w:t>中医导引、</w:t>
      </w:r>
      <w:r>
        <w:t>心血管危险因素控制、健康教育、</w:t>
      </w:r>
      <w:r>
        <w:rPr>
          <w:rFonts w:hint="eastAsia"/>
        </w:rPr>
        <w:t>心理干预</w:t>
      </w:r>
      <w:r>
        <w:t>及</w:t>
      </w:r>
      <w:r>
        <w:rPr>
          <w:rFonts w:hint="eastAsia"/>
        </w:rPr>
        <w:t>食疗与</w:t>
      </w:r>
      <w:r>
        <w:t>生活方式指导等，为患者整个生命过程中提供生理－心理－社会综合医学干预</w:t>
      </w:r>
      <w:r>
        <w:rPr>
          <w:rStyle w:val="20"/>
        </w:rPr>
        <w:t>[</w:t>
      </w:r>
      <w:r>
        <w:rPr>
          <w:rStyle w:val="20"/>
        </w:rPr>
        <w:endnoteReference w:id="6"/>
      </w:r>
      <w:r>
        <w:rPr>
          <w:rStyle w:val="20"/>
        </w:rPr>
        <w:t>][</w:t>
      </w:r>
      <w:r>
        <w:rPr>
          <w:rStyle w:val="20"/>
        </w:rPr>
        <w:endnoteReference w:id="7"/>
      </w:r>
      <w:r>
        <w:rPr>
          <w:rStyle w:val="20"/>
        </w:rPr>
        <w:t>][</w:t>
      </w:r>
      <w:r>
        <w:rPr>
          <w:rStyle w:val="20"/>
        </w:rPr>
        <w:endnoteReference w:id="8"/>
      </w:r>
      <w:r>
        <w:rPr>
          <w:rStyle w:val="20"/>
        </w:rPr>
        <w:t>]</w:t>
      </w:r>
      <w:r>
        <w:rPr>
          <w:rFonts w:hint="eastAsia"/>
        </w:rPr>
        <w:t>。</w:t>
      </w:r>
    </w:p>
    <w:p w14:paraId="1659F2AA">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 诊断</w:t>
      </w:r>
    </w:p>
    <w:p w14:paraId="13BF23AD">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4.1 西医诊断</w:t>
      </w:r>
    </w:p>
    <w:p w14:paraId="26C85501">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4.1.1 西医诊断</w:t>
      </w:r>
    </w:p>
    <w:p w14:paraId="6E71C0D5">
      <w:pPr>
        <w:ind w:firstLine="420"/>
      </w:pPr>
      <w:r>
        <w:rPr>
          <w:rFonts w:hint="eastAsia"/>
        </w:rPr>
        <w:t>冠心病的诊断标准参考《2024 ECS 慢性冠脉综合征（CCS）诊断与管理指南》1及《2024 ESC 急性冠脉综合征（ACS）管理指南》2。</w:t>
      </w:r>
    </w:p>
    <w:p w14:paraId="1CFF916F">
      <w:pPr>
        <w:ind w:firstLine="420"/>
      </w:pPr>
      <w:r>
        <w:rPr>
          <w:rFonts w:hint="eastAsia"/>
        </w:rPr>
        <w:t>冠心病的诊断依据临床症状及辅助检查。不同分型的冠心病的临床症状各不相同，辅助检查大致分为（1）心电图，包括静息心电图及动态心电图（2）ECG负荷试验，包括运动负荷试验和药物负荷试验；（3）心肌酶和心肌标志物；（4）超声心动图（echocardiogram）  ；（5）放射性核素；（5）选择性冠状动脉和左心室造影；（6）血管内超声（intravascular ultrasound, IVUS）和冠脉内光学干涉断层成像（optical coherence tomograpyhy, OCT）等。</w:t>
      </w:r>
    </w:p>
    <w:p w14:paraId="137B1217">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4.1.2慢性冠脉综合征的诊断标准</w:t>
      </w:r>
    </w:p>
    <w:p w14:paraId="7371A9C2">
      <w:pPr>
        <w:ind w:firstLine="420"/>
      </w:pPr>
      <w:r>
        <w:rPr>
          <w:rFonts w:hint="eastAsia"/>
        </w:rPr>
        <w:t>慢性冠脉综合征发作的诱因、性质、部位、持续时间、缓解方式及发作频度等在数月甚至更长时间内保持稳定。发作特点：（1）诱因：体力活动，情绪激动，寒冷、饱餐、快速性心律失常、发热等也可诱发心绞痛。（2）部位：不同患者心绞痛的部位和范围有较大的差异，最常见的部位是胸骨后及心前区，范围约手掌大小；也可发生在颈部、咽喉及下颌部、肩胛间区及上腹部，并可向肩部及左臂内侧放射。（3）性质：患者多描述为压迫感、紧缩感、憋闷感，或烧灼样、胀满样疼痛或不适，但通常不像针刺样或刀割样的锐痛。程度可轻可重，症状较重时，患者紧张甚至有濒死感。（4）持续时间：一般持续数分钟至10余分钟，很少超过半小时。（5）缓解方式：疼痛通常在休息数分钟后缓解，舌下含服硝酸甘油片可迅速缓解或明显缩短发作时间。发作时患者往往停止正在进行的活动，直到症状缓解。（6）发作频度：稳定型心绞痛在较长时间内发作频度保持大致稳定。若发作频度增加，则提示为不稳定心绞痛。</w:t>
      </w:r>
    </w:p>
    <w:p w14:paraId="6A8A7A86">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4.1.3非ST段抬高性急性冠脉综合征的诊断标准</w:t>
      </w:r>
    </w:p>
    <w:p w14:paraId="5D8B5B0B">
      <w:pPr>
        <w:ind w:firstLine="420"/>
      </w:pPr>
      <w:r>
        <w:rPr>
          <w:rFonts w:hint="eastAsia"/>
        </w:rPr>
        <w:t>根据病史呈现的心肌缺血症状，动态的缺血性心电图改变，以及心肌坏死标志物的升高，可以作出UA或NSTEMI的诊断。临床表现不够典型时，应密切监护，多次随访心电图和行高敏cTnT等检测，以得到明确的诊断信息。对无</w:t>
      </w:r>
      <w:r>
        <w:t>禁忌症</w:t>
      </w:r>
      <w:r>
        <w:rPr>
          <w:rFonts w:hint="eastAsia"/>
        </w:rPr>
        <w:t>患者应早期行冠脉造影检查，以明确诊断。</w:t>
      </w:r>
    </w:p>
    <w:p w14:paraId="46309235">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4.1.4 ST段抬高性心肌梗死的诊断标准</w:t>
      </w:r>
    </w:p>
    <w:p w14:paraId="5065D398">
      <w:pPr>
        <w:ind w:firstLine="420"/>
      </w:pPr>
      <w:r>
        <w:rPr>
          <w:rFonts w:hint="eastAsia"/>
        </w:rPr>
        <w:t>对于大多数STEMI患者，根据典型的临床表现、特征性的ECG变化和实验室检查异常可明确诊断，由于STEMI再灌注治疗的紧迫性，强调结合症状及心电图的表现，及早冠脉造影的重要性。对于老龄患者，突然发生胸闷胸痛，或突然出现心律失常、心力衰竭、休克等，且原因不明，应考虑心肌梗死可能，应及时、反复行ECG检查，并及时监测肌钙蛋白等心肌标志物，同时宜先以AMI处理。</w:t>
      </w:r>
    </w:p>
    <w:p w14:paraId="6D734DFA">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4.2 中医诊断</w:t>
      </w:r>
    </w:p>
    <w:p w14:paraId="52410DAD">
      <w:pPr>
        <w:rPr>
          <w:rFonts w:hint="default" w:ascii="黑体" w:hAnsi="黑体" w:eastAsia="黑体" w:cs="黑体"/>
          <w:b w:val="0"/>
          <w:bCs w:val="0"/>
          <w:kern w:val="44"/>
          <w:sz w:val="22"/>
          <w:szCs w:val="36"/>
          <w:lang w:val="en-US" w:eastAsia="zh-CN" w:bidi="ar-SA"/>
        </w:rPr>
      </w:pPr>
      <w:r>
        <w:rPr>
          <w:rFonts w:hint="eastAsia" w:ascii="黑体" w:hAnsi="黑体" w:eastAsia="黑体" w:cs="黑体"/>
          <w:b w:val="0"/>
          <w:bCs w:val="0"/>
          <w:kern w:val="44"/>
          <w:sz w:val="22"/>
          <w:szCs w:val="36"/>
          <w:lang w:val="en-US" w:eastAsia="zh-CN" w:bidi="ar-SA"/>
        </w:rPr>
        <w:t>4.2.1 诊断原则</w:t>
      </w:r>
    </w:p>
    <w:p w14:paraId="7776E116">
      <w:pPr>
        <w:ind w:firstLine="420"/>
      </w:pPr>
      <w:r>
        <w:rPr>
          <w:rFonts w:hint="eastAsia"/>
        </w:rPr>
        <w:t>冠心病的中医诊断标准参考《</w:t>
      </w:r>
      <w:r>
        <w:rPr>
          <w:rFonts w:hint="eastAsia"/>
          <w:color w:val="000000"/>
        </w:rPr>
        <w:t>冠心病稳定型心绞痛中医诊疗指南</w:t>
      </w:r>
      <w:r>
        <w:rPr>
          <w:rFonts w:hint="eastAsia"/>
        </w:rPr>
        <w:t>》</w:t>
      </w:r>
      <w:r>
        <w:rPr>
          <w:rFonts w:hint="eastAsia"/>
          <w:vertAlign w:val="superscript"/>
        </w:rPr>
        <w:t>[</w:t>
      </w:r>
      <w:r>
        <w:rPr>
          <w:vertAlign w:val="superscript"/>
        </w:rPr>
        <w:fldChar w:fldCharType="begin"/>
      </w:r>
      <w:r>
        <w:rPr>
          <w:vertAlign w:val="superscript"/>
        </w:rPr>
        <w:instrText xml:space="preserve"> NOTEREF _Ref32282 \h </w:instrText>
      </w:r>
      <w:r>
        <w:rPr>
          <w:vertAlign w:val="superscript"/>
        </w:rPr>
        <w:fldChar w:fldCharType="separate"/>
      </w:r>
      <w:r>
        <w:rPr>
          <w:vertAlign w:val="superscript"/>
        </w:rPr>
        <w:t>1</w:t>
      </w:r>
      <w:r>
        <w:rPr>
          <w:vertAlign w:val="superscript"/>
        </w:rPr>
        <w:fldChar w:fldCharType="end"/>
      </w:r>
      <w:r>
        <w:rPr>
          <w:rFonts w:hint="eastAsia"/>
          <w:vertAlign w:val="superscript"/>
        </w:rPr>
        <w:t>]</w:t>
      </w:r>
      <w:r>
        <w:rPr>
          <w:rFonts w:hint="eastAsia"/>
        </w:rPr>
        <w:t>、《不稳定型心绞痛中医诊疗专家共识》</w:t>
      </w:r>
      <w:r>
        <w:rPr>
          <w:rFonts w:hint="eastAsia"/>
          <w:vertAlign w:val="superscript"/>
        </w:rPr>
        <w:t>[2]</w:t>
      </w:r>
      <w:r>
        <w:rPr>
          <w:rFonts w:hint="eastAsia"/>
        </w:rPr>
        <w:t>和《急性心肌梗死中医临床诊疗指南》</w:t>
      </w:r>
      <w:r>
        <w:rPr>
          <w:rFonts w:hint="eastAsia"/>
          <w:vertAlign w:val="superscript"/>
        </w:rPr>
        <w:t>[3]</w:t>
      </w:r>
      <w:r>
        <w:rPr>
          <w:rFonts w:hint="eastAsia"/>
        </w:rPr>
        <w:t>。冠心病稳定型心绞痛属于中医学“胸痹”“心痛”范畴，根据冠心病的特点，以血瘀证为主要证型，可与气虚、阳虚、痰浊、气滞、气阴两虚等相兼为病，以下分别列出5种证型。</w:t>
      </w:r>
    </w:p>
    <w:p w14:paraId="6F2B84DF">
      <w:pPr>
        <w:rPr>
          <w:rFonts w:hint="eastAsia" w:ascii="黑体" w:hAnsi="黑体" w:eastAsia="黑体" w:cs="黑体"/>
          <w:b w:val="0"/>
          <w:bCs w:val="0"/>
          <w:kern w:val="44"/>
          <w:sz w:val="22"/>
          <w:szCs w:val="36"/>
          <w:lang w:val="en-US" w:eastAsia="zh-CN" w:bidi="ar-SA"/>
        </w:rPr>
      </w:pPr>
      <w:r>
        <w:rPr>
          <w:rFonts w:hint="eastAsia" w:ascii="黑体" w:hAnsi="黑体" w:eastAsia="黑体" w:cs="黑体"/>
          <w:b w:val="0"/>
          <w:bCs w:val="0"/>
          <w:kern w:val="44"/>
          <w:sz w:val="22"/>
          <w:szCs w:val="36"/>
          <w:lang w:val="en-US" w:eastAsia="zh-CN" w:bidi="ar-SA"/>
        </w:rPr>
        <w:t>4.2.1.1气虚血瘀证</w:t>
      </w:r>
    </w:p>
    <w:p w14:paraId="26A5FBDC">
      <w:r>
        <w:rPr>
          <w:rFonts w:hint="eastAsia"/>
          <w:lang w:val="en-US" w:eastAsia="zh-CN"/>
        </w:rPr>
        <w:t xml:space="preserve">    </w:t>
      </w:r>
      <w:r>
        <w:rPr>
          <w:rFonts w:hint="eastAsia"/>
        </w:rPr>
        <w:t>心胸隐痛，心悸气短，倦怠乏力，面色淡黯。舌质淡黯，苔薄白，脉沉弱或涩。</w:t>
      </w:r>
    </w:p>
    <w:p w14:paraId="715F3407">
      <w:pPr>
        <w:rPr>
          <w:rFonts w:hint="eastAsia" w:ascii="黑体" w:hAnsi="黑体" w:eastAsia="黑体" w:cs="黑体"/>
          <w:b w:val="0"/>
          <w:bCs w:val="0"/>
          <w:kern w:val="44"/>
          <w:sz w:val="22"/>
          <w:szCs w:val="36"/>
          <w:lang w:val="en-US" w:eastAsia="zh-CN" w:bidi="ar-SA"/>
        </w:rPr>
      </w:pPr>
      <w:r>
        <w:rPr>
          <w:rFonts w:hint="eastAsia" w:ascii="黑体" w:hAnsi="黑体" w:eastAsia="黑体" w:cs="黑体"/>
          <w:b w:val="0"/>
          <w:bCs w:val="0"/>
          <w:kern w:val="44"/>
          <w:sz w:val="22"/>
          <w:szCs w:val="36"/>
          <w:lang w:val="en-US" w:eastAsia="zh-CN" w:bidi="ar-SA"/>
        </w:rPr>
        <w:t>4.2.1.2阳虚血瘀证</w:t>
      </w:r>
    </w:p>
    <w:p w14:paraId="48BBEBEE">
      <w:r>
        <w:rPr>
          <w:rFonts w:hint="eastAsia"/>
          <w:lang w:val="en-US" w:eastAsia="zh-CN"/>
        </w:rPr>
        <w:t xml:space="preserve">    </w:t>
      </w:r>
      <w:r>
        <w:rPr>
          <w:rFonts w:hint="eastAsia"/>
        </w:rPr>
        <w:t>心胸绞痛或心悸，可因气候骤冷或骤然感受风寒而发病或加重，神倦畏寒，腰膝酸冷，四肢欠温或肿胀。舌淡黯，苔薄白或白腻或水滑，脉沉弱或结代。</w:t>
      </w:r>
    </w:p>
    <w:p w14:paraId="0125B796">
      <w:pPr>
        <w:rPr>
          <w:rFonts w:hint="eastAsia" w:ascii="黑体" w:hAnsi="黑体" w:eastAsia="黑体" w:cs="黑体"/>
          <w:b w:val="0"/>
          <w:bCs w:val="0"/>
          <w:kern w:val="44"/>
          <w:sz w:val="22"/>
          <w:szCs w:val="36"/>
          <w:lang w:val="en-US" w:eastAsia="zh-CN" w:bidi="ar-SA"/>
        </w:rPr>
      </w:pPr>
      <w:r>
        <w:rPr>
          <w:rFonts w:hint="eastAsia" w:ascii="黑体" w:hAnsi="黑体" w:eastAsia="黑体" w:cs="黑体"/>
          <w:b w:val="0"/>
          <w:bCs w:val="0"/>
          <w:kern w:val="44"/>
          <w:sz w:val="22"/>
          <w:szCs w:val="36"/>
          <w:lang w:val="en-US" w:eastAsia="zh-CN" w:bidi="ar-SA"/>
        </w:rPr>
        <w:t>4.2.1.3痰浊血瘀证</w:t>
      </w:r>
    </w:p>
    <w:p w14:paraId="6C56EE76">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心胸闷痛，痰多气短，体重身胖，头重身困，纳呆便溏。舌底紫黯，苔浊腻或白滑，舌下脉络瘀阻，脉弦滑。</w:t>
      </w:r>
    </w:p>
    <w:p w14:paraId="26F0E5F0">
      <w:pPr>
        <w:rPr>
          <w:rFonts w:hint="eastAsia" w:ascii="黑体" w:hAnsi="黑体" w:eastAsia="黑体" w:cs="黑体"/>
          <w:b w:val="0"/>
          <w:bCs w:val="0"/>
          <w:kern w:val="44"/>
          <w:sz w:val="22"/>
          <w:szCs w:val="36"/>
          <w:lang w:val="en-US" w:eastAsia="zh-CN" w:bidi="ar-SA"/>
        </w:rPr>
      </w:pPr>
      <w:r>
        <w:rPr>
          <w:rFonts w:hint="eastAsia" w:ascii="黑体" w:hAnsi="黑体" w:eastAsia="黑体" w:cs="黑体"/>
          <w:b w:val="0"/>
          <w:bCs w:val="0"/>
          <w:kern w:val="44"/>
          <w:sz w:val="22"/>
          <w:szCs w:val="36"/>
          <w:lang w:val="en-US" w:eastAsia="zh-CN" w:bidi="ar-SA"/>
        </w:rPr>
        <w:t>4.2.1.4气滞血瘀证</w:t>
      </w:r>
    </w:p>
    <w:p w14:paraId="5E071F60">
      <w:r>
        <w:rPr>
          <w:rFonts w:hint="eastAsia"/>
          <w:lang w:val="en-US" w:eastAsia="zh-CN"/>
        </w:rPr>
        <w:t xml:space="preserve">    </w:t>
      </w:r>
      <w:r>
        <w:rPr>
          <w:rFonts w:hint="eastAsia"/>
        </w:rPr>
        <w:t>胸闷心痛，隐痛时作，胸胁胀满，情志不遂，或兼有脘腹胀满，矢气频作。</w:t>
      </w:r>
    </w:p>
    <w:p w14:paraId="524B7F1D">
      <w:r>
        <w:rPr>
          <w:rFonts w:hint="eastAsia"/>
        </w:rPr>
        <w:t>舌质黯，舌苔薄白或腻，可见舌缨线，脉弦或涩。</w:t>
      </w:r>
    </w:p>
    <w:p w14:paraId="5382A283">
      <w:pPr>
        <w:rPr>
          <w:rFonts w:hint="eastAsia" w:ascii="黑体" w:hAnsi="黑体" w:eastAsia="黑体" w:cs="黑体"/>
          <w:b w:val="0"/>
          <w:bCs w:val="0"/>
          <w:kern w:val="44"/>
          <w:sz w:val="22"/>
          <w:szCs w:val="36"/>
          <w:lang w:val="en-US" w:eastAsia="zh-CN" w:bidi="ar-SA"/>
        </w:rPr>
      </w:pPr>
      <w:r>
        <w:rPr>
          <w:rFonts w:hint="eastAsia" w:ascii="黑体" w:hAnsi="黑体" w:eastAsia="黑体" w:cs="黑体"/>
          <w:b w:val="0"/>
          <w:bCs w:val="0"/>
          <w:kern w:val="44"/>
          <w:sz w:val="22"/>
          <w:szCs w:val="36"/>
          <w:lang w:val="en-US" w:eastAsia="zh-CN" w:bidi="ar-SA"/>
        </w:rPr>
        <w:t>4.2.1.5气阴两虚伴血瘀证</w:t>
      </w:r>
    </w:p>
    <w:p w14:paraId="35586230">
      <w:r>
        <w:rPr>
          <w:rFonts w:hint="eastAsia"/>
          <w:lang w:val="en-US" w:eastAsia="zh-CN"/>
        </w:rPr>
        <w:t xml:space="preserve">    </w:t>
      </w:r>
      <w:r>
        <w:rPr>
          <w:rFonts w:hint="eastAsia"/>
        </w:rPr>
        <w:t>心胸隐痛，时作时休，心悸气短，动则尤甚，或伴有倦怠乏力，失眠多梦，心烦口干口渴。舌质红或淡红，舌薄白或干，有裂纹，脉弱而数或结代。</w:t>
      </w:r>
    </w:p>
    <w:p w14:paraId="1ABB9F6F">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textAlignment w:val="auto"/>
        <w:rPr>
          <w:rFonts w:hint="eastAsia" w:ascii="黑体" w:hAnsi="黑体" w:eastAsia="黑体" w:cs="黑体"/>
          <w:b w:val="0"/>
          <w:bCs w:val="0"/>
          <w:sz w:val="22"/>
          <w:szCs w:val="36"/>
        </w:rPr>
      </w:pPr>
      <w:r>
        <w:rPr>
          <w:rFonts w:hint="eastAsia" w:ascii="黑体" w:hAnsi="黑体" w:eastAsia="黑体" w:cs="黑体"/>
          <w:b w:val="0"/>
          <w:bCs w:val="0"/>
          <w:sz w:val="22"/>
          <w:szCs w:val="36"/>
        </w:rPr>
        <w:t>4.3 心脏康复分期</w:t>
      </w:r>
    </w:p>
    <w:p w14:paraId="2AE0308E">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eastAsia="宋体" w:cs="宋体"/>
        </w:rPr>
        <w:t>Ⅰ期康复（院内康复期）</w:t>
      </w:r>
      <w:r>
        <w:rPr>
          <w:rFonts w:hint="eastAsia" w:eastAsia="宋体" w:cs="宋体"/>
        </w:rPr>
        <w:t>：</w:t>
      </w:r>
      <w:r>
        <w:rPr>
          <w:rFonts w:eastAsia="宋体" w:cs="宋体"/>
        </w:rPr>
        <w:t>Ⅰ 期康复即住院期间康复，</w:t>
      </w:r>
      <w:r>
        <w:rPr>
          <w:rFonts w:hint="eastAsia" w:eastAsia="宋体" w:cs="宋体"/>
        </w:rPr>
        <w:t>一般指急性期住院期间的康复，</w:t>
      </w:r>
      <w:r>
        <w:rPr>
          <w:rFonts w:eastAsia="宋体" w:cs="宋体"/>
        </w:rPr>
        <w:t>目的是增强康复意识，减少并发症；Ⅱ期康复（门诊</w:t>
      </w:r>
      <w:r>
        <w:rPr>
          <w:rFonts w:hint="eastAsia" w:eastAsia="宋体" w:cs="宋体"/>
        </w:rPr>
        <w:t>及社区</w:t>
      </w:r>
      <w:r>
        <w:rPr>
          <w:rFonts w:eastAsia="宋体" w:cs="宋体"/>
        </w:rPr>
        <w:t>康复期）</w:t>
      </w:r>
      <w:r>
        <w:rPr>
          <w:rFonts w:hint="eastAsia" w:eastAsia="宋体" w:cs="宋体"/>
        </w:rPr>
        <w:t>：</w:t>
      </w:r>
      <w:r>
        <w:rPr>
          <w:rFonts w:eastAsia="宋体" w:cs="宋体"/>
        </w:rPr>
        <w:t>Ⅱ期康复主要在门诊提供全面的康复管理，涉及药物、运动、</w:t>
      </w:r>
      <w:r>
        <w:rPr>
          <w:rFonts w:hint="eastAsia" w:eastAsia="宋体" w:cs="宋体"/>
        </w:rPr>
        <w:t>中医外治、</w:t>
      </w:r>
      <w:r>
        <w:rPr>
          <w:rFonts w:eastAsia="宋体" w:cs="宋体"/>
        </w:rPr>
        <w:t>营养、戒烟、心理、睡眠等多学科团队管理内容；Ⅲ期康复（居家康复期）</w:t>
      </w:r>
      <w:r>
        <w:rPr>
          <w:rFonts w:hint="eastAsia" w:eastAsia="宋体" w:cs="宋体"/>
        </w:rPr>
        <w:t>：</w:t>
      </w:r>
      <w:r>
        <w:rPr>
          <w:rFonts w:eastAsia="宋体" w:cs="宋体"/>
        </w:rPr>
        <w:t>Ⅲ期康复指居家康复，帮助患者巩固Ⅱ期康复效果，培养长期健康的生活方式。从医院到家庭的连续性运动康复管理包括初期评估、危险分层、制订个体化的运动处方、再评估和定期随访</w:t>
      </w:r>
      <w:r>
        <w:rPr>
          <w:rFonts w:hint="eastAsia" w:eastAsia="宋体" w:cs="宋体"/>
        </w:rPr>
        <w:t>。</w:t>
      </w:r>
    </w:p>
    <w:p w14:paraId="75B37925">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lang w:val="en-US" w:eastAsia="zh-CN"/>
        </w:rPr>
        <w:t xml:space="preserve">5 </w:t>
      </w:r>
      <w:r>
        <w:rPr>
          <w:rFonts w:hint="eastAsia" w:ascii="黑体" w:hAnsi="黑体" w:eastAsia="黑体" w:cs="黑体"/>
          <w:b w:val="0"/>
          <w:bCs w:val="0"/>
          <w:sz w:val="21"/>
          <w:szCs w:val="21"/>
        </w:rPr>
        <w:t>心脏康复评估</w:t>
      </w:r>
    </w:p>
    <w:p w14:paraId="2C3F3296">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default"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5.1 评估方式</w:t>
      </w:r>
    </w:p>
    <w:p w14:paraId="013B7E2D">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临床问题1：冠心病心脏康复的评估方式有哪些？</w:t>
      </w:r>
    </w:p>
    <w:p w14:paraId="62643007">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精准评估是心脏康复的基础，是评价心脏康复疗效的重要措施，通过精准的心血管综合评估可为患者制定个体化心脏康复运动处方和整体心脏康复计划。心脏康复遵循评估、康复、再评估的原则。对心脏康复患者进行心血管综合评估，需按照康复接触时间分为初始评估和康复治疗中阶段评估。对参与心脏康复患者每年应进行心血管综合评估并建立心脏康复档案，包括心血管综合评估结果和历次运动训练过程记录，完成每个疗程心脏</w:t>
      </w:r>
      <w:r>
        <w:rPr>
          <w:rFonts w:eastAsia="宋体" w:cs="宋体"/>
        </w:rPr>
        <w:t>康复</w:t>
      </w:r>
      <w:r>
        <w:rPr>
          <w:rFonts w:hint="eastAsia" w:eastAsia="宋体" w:cs="宋体"/>
        </w:rPr>
        <w:t>记录，由心脏康复医生做出阶段性心脏康复评价。</w:t>
      </w:r>
    </w:p>
    <w:p w14:paraId="389378C7">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在首次参与心脏康复患者进行心血管综合评估，包括患者临床资料收集、危险因素评估、心理评估、营养评估、烟草依赖评估、睡眠评估、运动评估和中医辨证，具体的内容在本指南相关部分中有详细介绍。</w:t>
      </w:r>
    </w:p>
    <w:p w14:paraId="0C8D2F61">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5.</w:t>
      </w:r>
      <w:r>
        <w:rPr>
          <w:rFonts w:hint="eastAsia" w:ascii="黑体" w:hAnsi="黑体" w:eastAsia="黑体" w:cs="黑体"/>
          <w:b w:val="0"/>
          <w:bCs w:val="0"/>
          <w:sz w:val="21"/>
          <w:szCs w:val="21"/>
          <w:lang w:val="en-US" w:eastAsia="zh-CN"/>
        </w:rPr>
        <w:t>2</w:t>
      </w:r>
      <w:r>
        <w:rPr>
          <w:rFonts w:hint="eastAsia" w:ascii="黑体" w:hAnsi="黑体" w:eastAsia="黑体" w:cs="黑体"/>
          <w:b w:val="0"/>
          <w:bCs w:val="0"/>
          <w:sz w:val="21"/>
          <w:szCs w:val="21"/>
        </w:rPr>
        <w:t xml:space="preserve"> 临床资料评估</w:t>
      </w:r>
    </w:p>
    <w:p w14:paraId="1F5F61D9">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通过问诊、体格检查、生化检验、超声心动图、心电图、X线胸片、生活质量量表测评等评估工具，收集患者临床资料，了解患者日常运动习惯及是否有限制运动的因素，掌握患者全身功能状态，包括心血管疾病治疗和精神心理以及睡眠情况。</w:t>
      </w:r>
    </w:p>
    <w:p w14:paraId="293991DB">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5.</w:t>
      </w:r>
      <w:r>
        <w:rPr>
          <w:rFonts w:hint="eastAsia" w:ascii="黑体" w:hAnsi="黑体" w:eastAsia="黑体" w:cs="黑体"/>
          <w:b w:val="0"/>
          <w:bCs w:val="0"/>
          <w:sz w:val="21"/>
          <w:szCs w:val="21"/>
          <w:lang w:val="en-US" w:eastAsia="zh-CN"/>
        </w:rPr>
        <w:t>3</w:t>
      </w:r>
      <w:r>
        <w:rPr>
          <w:rFonts w:hint="eastAsia" w:ascii="黑体" w:hAnsi="黑体" w:eastAsia="黑体" w:cs="黑体"/>
          <w:b w:val="0"/>
          <w:bCs w:val="0"/>
          <w:sz w:val="21"/>
          <w:szCs w:val="21"/>
        </w:rPr>
        <w:t xml:space="preserve"> 危险因素评估</w:t>
      </w:r>
    </w:p>
    <w:p w14:paraId="209D581A">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心血管疾病危险因素，包括肥胖、高血压、高血糖、高血脂、吸烟等。肥胖评估：测量患者的身高、体重、腹围，计算BMI，了解患者是否存在超重（BMI=24-27.9 kg/m2）或肥胖（BMI&gt;=28 kg/m2），是否有腹型肥胖（腰围：男</w:t>
      </w:r>
      <w:r>
        <w:rPr>
          <w:rFonts w:eastAsia="宋体" w:cs="宋体"/>
        </w:rPr>
        <w:t>〉</w:t>
      </w:r>
      <w:r>
        <w:rPr>
          <w:rFonts w:hint="eastAsia" w:eastAsia="宋体" w:cs="宋体"/>
        </w:rPr>
        <w:t>=90cm, 女</w:t>
      </w:r>
      <w:r>
        <w:rPr>
          <w:rFonts w:eastAsia="宋体" w:cs="宋体"/>
        </w:rPr>
        <w:t>〉</w:t>
      </w:r>
      <w:r>
        <w:rPr>
          <w:rFonts w:hint="eastAsia" w:eastAsia="宋体" w:cs="宋体"/>
        </w:rPr>
        <w:t>=85cm）。高血压评估：问诊高血压病史，明确诊断高血压的患者，采用24小时动态血压评估高血压治疗是否达标，评估合并危险因素和有无靶器官损害。血糖评估：问诊患者是否患有糖尿病，对确诊糖尿</w:t>
      </w:r>
      <w:r>
        <w:rPr>
          <w:rFonts w:eastAsia="宋体" w:cs="宋体"/>
        </w:rPr>
        <w:t>病患</w:t>
      </w:r>
      <w:r>
        <w:rPr>
          <w:rFonts w:hint="eastAsia" w:eastAsia="宋体" w:cs="宋体"/>
        </w:rPr>
        <w:t>者了解血糖控制以及并发症情况，检测空腹血糖水平和糖化血红蛋白、尿微量白蛋白及24小时尿蛋白、眼底情况等；</w:t>
      </w:r>
      <w:r>
        <w:rPr>
          <w:rFonts w:eastAsia="宋体" w:cs="宋体"/>
        </w:rPr>
        <w:t>冠心病患者属于ASCVD二级预防人群，应结合既往ASCVD事件及合并危险因素进一步进行风险分层。极高危患者LDL-C控制目标为&lt;1.8 mmol/L且较基线降低&gt;50%；超高危患者LDL-C控制目标为&lt;1.4 mmol/L且较基线降低&gt;50%。超高危ASCVD的具体判定标准参照现行《中国血脂管理指南》。</w:t>
      </w:r>
      <w:r>
        <w:rPr>
          <w:rFonts w:hint="eastAsia" w:eastAsia="宋体" w:cs="宋体"/>
        </w:rPr>
        <w:t>吸烟评估：通过问诊了解患者是否吸烟，吸烟支数和年数，了解戒烟意愿，通过《FTND烟草依赖度量表》（附表1）评价患者的烟草依赖程度，对不吸烟者需了解是否有二手烟接触史。</w:t>
      </w:r>
    </w:p>
    <w:p w14:paraId="4F49933E">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5.4 营养状态评估</w:t>
      </w:r>
    </w:p>
    <w:p w14:paraId="54A29B65">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目前没有统一的营养膳食结构测评量表，可使用食物频率问卷或脂肪餐问卷，也可通过记录膳食日记，了解患者改变饮食习惯，结合患者的运动习惯、压力状态、营养状态提供膳食指导。</w:t>
      </w:r>
    </w:p>
    <w:p w14:paraId="3AAEA07E">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5.5 精神心理评估</w:t>
      </w:r>
    </w:p>
    <w:p w14:paraId="5DCE95AE">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eastAsia="宋体" w:cs="宋体"/>
        </w:rPr>
        <w:t>采用患者健康问卷-9项（PHQ-9）（附表2）和广泛性焦虑量表-7项（GAD-7）（附表3）对患者的抑郁和焦虑症状进行初步筛查，并可用于康复过程中的动态评估。PHQ-9或GAD-7评分≥10分提示存在中度及以上抑郁或焦虑症状，应结合患者临床表现、功能影响、既往精神心理病史及用药情况进一步评估，必要时转诊精神心理专科。量表评分用于筛查和症状严重程度评价，不能单独作为精神障碍诊断或药物治疗的依据。PHQ-9第9项评分＞0分者，无论总分高低，均应进一步评估自伤或自杀风险。</w:t>
      </w:r>
    </w:p>
    <w:p w14:paraId="75ACA7E1">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5.6 睡眠评估</w:t>
      </w:r>
    </w:p>
    <w:p w14:paraId="7BB16975">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hint="eastAsia" w:eastAsia="宋体" w:cs="宋体"/>
        </w:rPr>
        <w:t>采用匹兹堡睡眠质量评定量表（PSQI）（附表4）评价患者睡眠；对高度怀疑有睡眠呼吸暂停者采用多导睡眠监测仪或便携式睡眠呼吸暂停测定仪，了解患者夜间缺氧程度、睡眠呼吸暂停时间及次数；对中度和重度睡眠呼吸暂停低通气综合征的患者需积极治疗。</w:t>
      </w:r>
    </w:p>
    <w:p w14:paraId="60279E1F">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5.7 运动能力评估</w:t>
      </w:r>
    </w:p>
    <w:p w14:paraId="2A12679A">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bookmarkStart w:id="27" w:name="_Toc56717860"/>
      <w:bookmarkStart w:id="28" w:name="_Toc55809824"/>
      <w:bookmarkStart w:id="29" w:name="_Toc53092135"/>
      <w:bookmarkStart w:id="30" w:name="_Toc53218091"/>
      <w:r>
        <w:rPr>
          <w:rFonts w:hint="eastAsia" w:ascii="黑体" w:hAnsi="黑体" w:eastAsia="黑体" w:cs="黑体"/>
          <w:b w:val="0"/>
          <w:bCs w:val="0"/>
          <w:sz w:val="21"/>
          <w:szCs w:val="21"/>
          <w:lang w:val="en-US" w:eastAsia="zh-CN"/>
        </w:rPr>
        <w:t>5.7.1 体力活动问卷</w:t>
      </w:r>
    </w:p>
    <w:p w14:paraId="1F1D4801">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eastAsia="宋体" w:cs="宋体"/>
        </w:rPr>
        <w:t>采用Duke体力活动问卷（Duke Activity Status Index ,DASI）</w:t>
      </w:r>
      <w:r>
        <w:rPr>
          <w:rFonts w:hint="eastAsia" w:eastAsia="宋体" w:cs="宋体"/>
        </w:rPr>
        <w:t>（附表5）。</w:t>
      </w:r>
      <w:r>
        <w:rPr>
          <w:rFonts w:eastAsia="宋体" w:cs="宋体"/>
        </w:rPr>
        <w:t>D</w:t>
      </w:r>
      <w:r>
        <w:rPr>
          <w:rFonts w:hint="eastAsia" w:eastAsia="宋体" w:cs="宋体"/>
        </w:rPr>
        <w:t>ASI</w:t>
      </w:r>
      <w:r>
        <w:rPr>
          <w:rFonts w:eastAsia="宋体" w:cs="宋体"/>
        </w:rPr>
        <w:t>问卷适合于老年患者预测最大运动量</w:t>
      </w:r>
      <w:r>
        <w:rPr>
          <w:rFonts w:hint="eastAsia" w:eastAsia="宋体" w:cs="宋体"/>
        </w:rPr>
        <w:t>而</w:t>
      </w:r>
      <w:r>
        <w:rPr>
          <w:rFonts w:eastAsia="宋体" w:cs="宋体"/>
        </w:rPr>
        <w:t>预测最大摄氧量</w:t>
      </w:r>
      <w:r>
        <w:rPr>
          <w:rFonts w:hint="eastAsia" w:eastAsia="宋体" w:cs="宋体"/>
        </w:rPr>
        <w:t>。</w:t>
      </w:r>
      <w:r>
        <w:rPr>
          <w:rFonts w:eastAsia="宋体" w:cs="宋体"/>
        </w:rPr>
        <w:t>可按照体力活动问卷评估结果，结合自我劳累程度分级（RPE）评分</w:t>
      </w:r>
      <w:r>
        <w:rPr>
          <w:rFonts w:hint="eastAsia" w:eastAsia="宋体" w:cs="宋体"/>
        </w:rPr>
        <w:t>为患者</w:t>
      </w:r>
      <w:r>
        <w:rPr>
          <w:rFonts w:eastAsia="宋体" w:cs="宋体"/>
        </w:rPr>
        <w:t>制定运动处方。</w:t>
      </w:r>
    </w:p>
    <w:p w14:paraId="416005A9">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5.7.2 6分钟步行试验</w:t>
      </w:r>
    </w:p>
    <w:p w14:paraId="1BC6002F">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eastAsia="宋体" w:cs="宋体"/>
        </w:rPr>
        <w:t>6分钟步行试验（</w:t>
      </w:r>
      <w:r>
        <w:rPr>
          <w:rFonts w:hint="eastAsia" w:eastAsia="宋体" w:cs="宋体"/>
        </w:rPr>
        <w:t>附表6</w:t>
      </w:r>
      <w:r>
        <w:rPr>
          <w:rFonts w:eastAsia="宋体" w:cs="宋体"/>
        </w:rPr>
        <w:t>）记录</w:t>
      </w:r>
      <w:r>
        <w:rPr>
          <w:rFonts w:hint="eastAsia" w:eastAsia="宋体" w:cs="宋体"/>
        </w:rPr>
        <w:t>患者</w:t>
      </w:r>
      <w:r>
        <w:rPr>
          <w:rFonts w:eastAsia="宋体" w:cs="宋体"/>
        </w:rPr>
        <w:t>6分钟步行距离</w:t>
      </w:r>
      <w:r>
        <w:rPr>
          <w:rFonts w:hint="eastAsia" w:eastAsia="宋体" w:cs="宋体"/>
        </w:rPr>
        <w:t>、心率、血压、血氧和症状等</w:t>
      </w:r>
      <w:r>
        <w:rPr>
          <w:rFonts w:eastAsia="宋体" w:cs="宋体"/>
        </w:rPr>
        <w:t>，用于评价中、重度心肺疾病患者的运动耐力和心肺功能状态。多项临床研究表明6分钟步行距离可作为重度心肺功能不全患者生存率的预测指标。</w:t>
      </w:r>
    </w:p>
    <w:p w14:paraId="1601D21C">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5.7.3 心电图运动负荷试验</w:t>
      </w:r>
      <w:bookmarkEnd w:id="27"/>
      <w:bookmarkEnd w:id="28"/>
      <w:bookmarkEnd w:id="29"/>
      <w:bookmarkEnd w:id="30"/>
    </w:p>
    <w:p w14:paraId="5EE63724">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eastAsia="宋体" w:cs="宋体"/>
        </w:rPr>
        <w:t>心电图运动负荷试验</w:t>
      </w:r>
      <w:r>
        <w:rPr>
          <w:rFonts w:hint="eastAsia" w:eastAsia="宋体" w:cs="宋体"/>
        </w:rPr>
        <w:t>是通过测试患者对定量运动的反应</w:t>
      </w:r>
      <w:r>
        <w:rPr>
          <w:rFonts w:eastAsia="宋体" w:cs="宋体"/>
        </w:rPr>
        <w:t>对已知或怀疑患有冠心病</w:t>
      </w:r>
      <w:r>
        <w:rPr>
          <w:rFonts w:hint="eastAsia" w:eastAsia="宋体" w:cs="宋体"/>
        </w:rPr>
        <w:t>患者</w:t>
      </w:r>
      <w:r>
        <w:rPr>
          <w:rFonts w:eastAsia="宋体" w:cs="宋体"/>
        </w:rPr>
        <w:t>进行辅助诊断、运动能力和疗效评估的方法，按照其应用目的不同可分为低强度运动试验、亚极量运动试验和症状限制性运动试验，临床医生应根据患者危险分层、心功能情况、运动能力和应用目的不同而选择不同的运动类型。心电图运动负荷试验由主治医师和护士共同完成。在试验前医生</w:t>
      </w:r>
      <w:r>
        <w:rPr>
          <w:rFonts w:hint="eastAsia" w:eastAsia="宋体" w:cs="宋体"/>
        </w:rPr>
        <w:t>要</w:t>
      </w:r>
      <w:r>
        <w:rPr>
          <w:rFonts w:eastAsia="宋体" w:cs="宋体"/>
        </w:rPr>
        <w:t>严格按照适应</w:t>
      </w:r>
      <w:r>
        <w:rPr>
          <w:rFonts w:hint="eastAsia" w:eastAsia="宋体" w:cs="宋体"/>
        </w:rPr>
        <w:t>证</w:t>
      </w:r>
      <w:r>
        <w:rPr>
          <w:rFonts w:eastAsia="宋体" w:cs="宋体"/>
        </w:rPr>
        <w:t>和禁忌</w:t>
      </w:r>
      <w:r>
        <w:rPr>
          <w:rFonts w:hint="eastAsia" w:eastAsia="宋体" w:cs="宋体"/>
        </w:rPr>
        <w:t>证</w:t>
      </w:r>
      <w:r>
        <w:rPr>
          <w:rFonts w:eastAsia="宋体" w:cs="宋体"/>
        </w:rPr>
        <w:t>筛选患者，按照不同的运动类型选择终止指征，在试验中医生和护士需严密观察患者反应，及时预防和阻止意外事件发生，</w:t>
      </w:r>
      <w:r>
        <w:rPr>
          <w:rFonts w:hint="eastAsia" w:eastAsia="宋体" w:cs="宋体"/>
        </w:rPr>
        <w:t>运动测试中</w:t>
      </w:r>
      <w:r>
        <w:rPr>
          <w:rFonts w:eastAsia="宋体" w:cs="宋体"/>
        </w:rPr>
        <w:t>发生不良反应，应立即终止试验。</w:t>
      </w:r>
    </w:p>
    <w:p w14:paraId="40DE380B">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bookmarkStart w:id="31" w:name="_Toc56717861"/>
      <w:bookmarkStart w:id="32" w:name="_Toc53092136"/>
      <w:bookmarkStart w:id="33" w:name="_Toc53218092"/>
      <w:bookmarkStart w:id="34" w:name="_Toc55809825"/>
      <w:r>
        <w:rPr>
          <w:rFonts w:hint="eastAsia" w:ascii="黑体" w:hAnsi="黑体" w:eastAsia="黑体" w:cs="黑体"/>
          <w:b w:val="0"/>
          <w:bCs w:val="0"/>
          <w:sz w:val="21"/>
          <w:szCs w:val="21"/>
          <w:lang w:val="en-US" w:eastAsia="zh-CN"/>
        </w:rPr>
        <w:t>5.7.4心肺运动试验</w:t>
      </w:r>
      <w:bookmarkEnd w:id="31"/>
      <w:bookmarkEnd w:id="32"/>
      <w:bookmarkEnd w:id="33"/>
      <w:bookmarkEnd w:id="34"/>
    </w:p>
    <w:p w14:paraId="2818E147">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eastAsia="宋体" w:cs="宋体"/>
        </w:rPr>
        <w:t>心肺运动试验（CPET）</w:t>
      </w:r>
      <w:r>
        <w:rPr>
          <w:rFonts w:hint="eastAsia" w:eastAsia="宋体" w:cs="宋体"/>
        </w:rPr>
        <w:t>（附表7）</w:t>
      </w:r>
      <w:r>
        <w:rPr>
          <w:rFonts w:eastAsia="宋体" w:cs="宋体"/>
        </w:rPr>
        <w:t>是在心电图运动负荷基础上测定气体代谢参数，综合分析气体代谢和血流动力学等指标，评估心肺功能储备以及全身器官系统之间相互协调的功能，</w:t>
      </w:r>
      <w:r>
        <w:rPr>
          <w:rFonts w:hint="eastAsia" w:eastAsia="宋体" w:cs="宋体"/>
        </w:rPr>
        <w:t>可</w:t>
      </w:r>
      <w:r>
        <w:rPr>
          <w:rFonts w:eastAsia="宋体" w:cs="宋体"/>
        </w:rPr>
        <w:t>更准确评估心肺储备功能和危险分层。心肺运动试验的适应证</w:t>
      </w:r>
      <w:r>
        <w:rPr>
          <w:rFonts w:hint="eastAsia" w:eastAsia="宋体" w:cs="宋体"/>
        </w:rPr>
        <w:t>和</w:t>
      </w:r>
      <w:r>
        <w:rPr>
          <w:rFonts w:eastAsia="宋体" w:cs="宋体"/>
        </w:rPr>
        <w:t>禁忌证可参考心电图运动负荷试验相关部分。</w:t>
      </w:r>
      <w:bookmarkStart w:id="35" w:name="_Hlk15210460"/>
      <w:r>
        <w:rPr>
          <w:rFonts w:eastAsia="宋体" w:cs="宋体"/>
        </w:rPr>
        <w:t>心肺运动试验在心脏康复中常用参数</w:t>
      </w:r>
      <w:r>
        <w:rPr>
          <w:rFonts w:hint="eastAsia" w:eastAsia="宋体" w:cs="宋体"/>
        </w:rPr>
        <w:t>及其临床意义</w:t>
      </w:r>
      <w:r>
        <w:rPr>
          <w:rFonts w:eastAsia="宋体" w:cs="宋体"/>
        </w:rPr>
        <w:t>。</w:t>
      </w:r>
    </w:p>
    <w:bookmarkEnd w:id="35"/>
    <w:p w14:paraId="5D872E1E">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bookmarkStart w:id="36" w:name="_Toc55809827"/>
      <w:bookmarkStart w:id="37" w:name="_Toc53092138"/>
      <w:bookmarkStart w:id="38" w:name="_Toc56717863"/>
      <w:bookmarkStart w:id="39" w:name="_Toc53218094"/>
      <w:r>
        <w:rPr>
          <w:rFonts w:hint="eastAsia" w:ascii="黑体" w:hAnsi="黑体" w:eastAsia="黑体" w:cs="黑体"/>
          <w:b w:val="0"/>
          <w:bCs w:val="0"/>
          <w:sz w:val="21"/>
          <w:szCs w:val="21"/>
          <w:lang w:val="en-US" w:eastAsia="zh-CN"/>
        </w:rPr>
        <w:t>5.7.5 自感劳累程度分级</w:t>
      </w:r>
      <w:bookmarkEnd w:id="36"/>
      <w:bookmarkEnd w:id="37"/>
      <w:bookmarkEnd w:id="38"/>
      <w:bookmarkEnd w:id="39"/>
    </w:p>
    <w:p w14:paraId="2601201F">
      <w:pPr>
        <w:keepNext w:val="0"/>
        <w:keepLines w:val="0"/>
        <w:pageBreakBefore w:val="0"/>
        <w:widowControl w:val="0"/>
        <w:kinsoku/>
        <w:wordWrap/>
        <w:overflowPunct/>
        <w:topLinePunct w:val="0"/>
        <w:autoSpaceDE/>
        <w:autoSpaceDN/>
        <w:bidi w:val="0"/>
        <w:adjustRightInd/>
        <w:snapToGrid/>
        <w:spacing w:line="320" w:lineRule="exact"/>
        <w:ind w:firstLine="420"/>
        <w:textAlignment w:val="auto"/>
      </w:pPr>
      <w:r>
        <w:t>自感劳累程度分级（Rating of Perceived Exertion</w:t>
      </w:r>
      <w:r>
        <w:rPr>
          <w:rFonts w:hint="eastAsia"/>
        </w:rPr>
        <w:t xml:space="preserve">, </w:t>
      </w:r>
      <w:r>
        <w:t>RPE）是利用运动中的自我劳累感觉判断运动强度，</w:t>
      </w:r>
      <w:r>
        <w:rPr>
          <w:rFonts w:hint="eastAsia"/>
        </w:rPr>
        <w:t>也</w:t>
      </w:r>
      <w:r>
        <w:t>叫作Borg评分，在6</w:t>
      </w:r>
      <w:r>
        <w:rPr>
          <w:rFonts w:hint="eastAsia"/>
        </w:rPr>
        <w:t>-</w:t>
      </w:r>
      <w:r>
        <w:t>20级中每个数</w:t>
      </w:r>
      <w:r>
        <w:rPr>
          <w:rFonts w:hint="eastAsia"/>
        </w:rPr>
        <w:t>量</w:t>
      </w:r>
      <w:r>
        <w:t>级各有不同的运动感</w:t>
      </w:r>
      <w:r>
        <w:rPr>
          <w:rFonts w:hint="eastAsia"/>
        </w:rPr>
        <w:t>受</w:t>
      </w:r>
      <w:r>
        <w:t>特征（</w:t>
      </w:r>
      <w:r>
        <w:rPr>
          <w:rFonts w:hint="eastAsia"/>
        </w:rPr>
        <w:t>附表8</w:t>
      </w:r>
      <w:r>
        <w:t>）</w:t>
      </w:r>
      <w:r>
        <w:rPr>
          <w:rFonts w:hint="eastAsia"/>
        </w:rPr>
        <w:t>，在靶</w:t>
      </w:r>
      <w:r>
        <w:t>心率范围</w:t>
      </w:r>
      <w:r>
        <w:rPr>
          <w:rFonts w:hint="eastAsia"/>
        </w:rPr>
        <w:t>进行</w:t>
      </w:r>
      <w:r>
        <w:t>运动训练，结合RPE</w:t>
      </w:r>
      <w:r>
        <w:rPr>
          <w:rFonts w:hint="eastAsia"/>
        </w:rPr>
        <w:t>评分</w:t>
      </w:r>
      <w:r>
        <w:t>，可有效控制运动风险，</w:t>
      </w:r>
      <w:r>
        <w:rPr>
          <w:rFonts w:hint="eastAsia"/>
        </w:rPr>
        <w:t>提高</w:t>
      </w:r>
      <w:r>
        <w:t>运动治疗的安全性。</w:t>
      </w:r>
    </w:p>
    <w:p w14:paraId="143A1C55">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bookmarkStart w:id="40" w:name="_Toc53218095"/>
      <w:bookmarkStart w:id="41" w:name="_Toc56717864"/>
      <w:bookmarkStart w:id="42" w:name="_Toc55809828"/>
      <w:bookmarkStart w:id="43" w:name="_Toc53092139"/>
      <w:r>
        <w:rPr>
          <w:rFonts w:hint="eastAsia" w:ascii="黑体" w:hAnsi="黑体" w:eastAsia="黑体" w:cs="黑体"/>
          <w:b w:val="0"/>
          <w:bCs w:val="0"/>
          <w:sz w:val="21"/>
          <w:szCs w:val="21"/>
          <w:lang w:val="en-US" w:eastAsia="zh-CN"/>
        </w:rPr>
        <w:t>5.7.6 肌力和肌肉耐力评估</w:t>
      </w:r>
      <w:bookmarkEnd w:id="40"/>
      <w:bookmarkEnd w:id="41"/>
      <w:bookmarkEnd w:id="42"/>
      <w:bookmarkEnd w:id="43"/>
    </w:p>
    <w:p w14:paraId="145D9EE8">
      <w:pPr>
        <w:keepNext w:val="0"/>
        <w:keepLines w:val="0"/>
        <w:pageBreakBefore w:val="0"/>
        <w:widowControl w:val="0"/>
        <w:kinsoku/>
        <w:wordWrap/>
        <w:overflowPunct/>
        <w:topLinePunct w:val="0"/>
        <w:autoSpaceDE/>
        <w:autoSpaceDN/>
        <w:bidi w:val="0"/>
        <w:adjustRightInd/>
        <w:snapToGrid/>
        <w:spacing w:line="320" w:lineRule="exact"/>
        <w:ind w:firstLine="420"/>
        <w:textAlignment w:val="auto"/>
        <w:rPr>
          <w:rFonts w:eastAsia="宋体" w:cs="宋体"/>
        </w:rPr>
      </w:pPr>
      <w:r>
        <w:rPr>
          <w:rFonts w:eastAsia="宋体" w:cs="宋体"/>
        </w:rPr>
        <w:t>肌力和肌肉</w:t>
      </w:r>
      <w:r>
        <w:rPr>
          <w:rFonts w:hint="eastAsia" w:eastAsia="宋体" w:cs="宋体"/>
        </w:rPr>
        <w:t>耐</w:t>
      </w:r>
      <w:r>
        <w:rPr>
          <w:rFonts w:eastAsia="宋体" w:cs="宋体"/>
        </w:rPr>
        <w:t>力评估有器械评估和徒手评估，在基层医院常采用徒手肌力和肌肉耐力评估，不受设备和场地限制，简便易行。肌力、肌肉耐力、平衡和柔韧性的常见徒手评估方法见</w:t>
      </w:r>
      <w:r>
        <w:rPr>
          <w:rFonts w:hint="eastAsia" w:eastAsia="宋体" w:cs="宋体"/>
        </w:rPr>
        <w:t>附表9。</w:t>
      </w:r>
    </w:p>
    <w:p w14:paraId="148C47CB">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5.8心脏康复运动危险分层</w:t>
      </w:r>
    </w:p>
    <w:p w14:paraId="6C19F319">
      <w:pPr>
        <w:ind w:firstLine="420" w:firstLineChars="200"/>
      </w:pPr>
      <w:r>
        <w:t>低危患者应符合各项低危条件；中危或高危患者具备相应分层中的任一主要危险特征即可考虑归入该级别，最终分层应结合临床状态及运动能力综合判断。</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7025"/>
      </w:tblGrid>
      <w:tr w14:paraId="0BA3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tbl>
            <w:tblPr>
              <w:tblStyle w:val="16"/>
              <w:tblW w:w="0" w:type="auto"/>
              <w:tblCellSpacing w:w="15" w:type="dxa"/>
              <w:tblInd w:w="0" w:type="dxa"/>
              <w:tblLayout w:type="autofit"/>
              <w:tblCellMar>
                <w:top w:w="15" w:type="dxa"/>
                <w:left w:w="15" w:type="dxa"/>
                <w:bottom w:w="15" w:type="dxa"/>
                <w:right w:w="15" w:type="dxa"/>
              </w:tblCellMar>
            </w:tblPr>
            <w:tblGrid>
              <w:gridCol w:w="919"/>
              <w:gridCol w:w="81"/>
            </w:tblGrid>
            <w:tr w14:paraId="62E201ED">
              <w:tblPrEx>
                <w:tblCellMar>
                  <w:top w:w="15" w:type="dxa"/>
                  <w:left w:w="15" w:type="dxa"/>
                  <w:bottom w:w="15" w:type="dxa"/>
                  <w:right w:w="15" w:type="dxa"/>
                </w:tblCellMar>
              </w:tblPrEx>
              <w:trPr>
                <w:tblHeader/>
                <w:tblCellSpacing w:w="15" w:type="dxa"/>
              </w:trPr>
              <w:tc>
                <w:tcPr>
                  <w:tcW w:w="0" w:type="auto"/>
                  <w:vAlign w:val="center"/>
                </w:tcPr>
                <w:p w14:paraId="736A7F2E">
                  <w:pPr>
                    <w:widowControl/>
                    <w:jc w:val="center"/>
                    <w:rPr>
                      <w:b/>
                      <w:bCs/>
                      <w:kern w:val="0"/>
                      <w:sz w:val="24"/>
                      <w:szCs w:val="24"/>
                    </w:rPr>
                  </w:pPr>
                  <w:r>
                    <w:rPr>
                      <w:b/>
                      <w:bCs/>
                    </w:rPr>
                    <w:t>危险分层</w:t>
                  </w:r>
                </w:p>
              </w:tc>
              <w:tc>
                <w:tcPr>
                  <w:tcW w:w="0" w:type="auto"/>
                  <w:vAlign w:val="center"/>
                </w:tcPr>
                <w:p w14:paraId="579DFC39">
                  <w:pPr>
                    <w:jc w:val="center"/>
                    <w:rPr>
                      <w:b/>
                      <w:bCs/>
                    </w:rPr>
                  </w:pPr>
                </w:p>
              </w:tc>
            </w:tr>
          </w:tbl>
          <w:p w14:paraId="14536E8A"/>
        </w:tc>
        <w:tc>
          <w:tcPr>
            <w:tcW w:w="7025" w:type="dxa"/>
          </w:tcPr>
          <w:tbl>
            <w:tblPr>
              <w:tblStyle w:val="16"/>
              <w:tblW w:w="0" w:type="auto"/>
              <w:tblCellSpacing w:w="15" w:type="dxa"/>
              <w:tblInd w:w="0" w:type="dxa"/>
              <w:tblLayout w:type="autofit"/>
              <w:tblCellMar>
                <w:top w:w="15" w:type="dxa"/>
                <w:left w:w="15" w:type="dxa"/>
                <w:bottom w:w="15" w:type="dxa"/>
                <w:right w:w="15" w:type="dxa"/>
              </w:tblCellMar>
            </w:tblPr>
            <w:tblGrid>
              <w:gridCol w:w="81"/>
              <w:gridCol w:w="1325"/>
              <w:gridCol w:w="81"/>
            </w:tblGrid>
            <w:tr w14:paraId="59FD43E3">
              <w:tblPrEx>
                <w:tblCellMar>
                  <w:top w:w="15" w:type="dxa"/>
                  <w:left w:w="15" w:type="dxa"/>
                  <w:bottom w:w="15" w:type="dxa"/>
                  <w:right w:w="15" w:type="dxa"/>
                </w:tblCellMar>
              </w:tblPrEx>
              <w:trPr>
                <w:tblHeader/>
                <w:tblCellSpacing w:w="15" w:type="dxa"/>
              </w:trPr>
              <w:tc>
                <w:tcPr>
                  <w:tcW w:w="0" w:type="auto"/>
                  <w:vAlign w:val="center"/>
                </w:tcPr>
                <w:p w14:paraId="41DF3BC7">
                  <w:pPr>
                    <w:widowControl/>
                    <w:rPr>
                      <w:b/>
                      <w:bCs/>
                      <w:kern w:val="0"/>
                      <w:sz w:val="24"/>
                      <w:szCs w:val="24"/>
                    </w:rPr>
                  </w:pPr>
                </w:p>
              </w:tc>
              <w:tc>
                <w:tcPr>
                  <w:tcW w:w="0" w:type="auto"/>
                  <w:vAlign w:val="center"/>
                </w:tcPr>
                <w:p w14:paraId="2C0514D7">
                  <w:pPr>
                    <w:jc w:val="center"/>
                    <w:rPr>
                      <w:b/>
                      <w:bCs/>
                    </w:rPr>
                  </w:pPr>
                  <w:r>
                    <w:rPr>
                      <w:b/>
                      <w:bCs/>
                    </w:rPr>
                    <w:t>主要判定特征</w:t>
                  </w:r>
                </w:p>
              </w:tc>
              <w:tc>
                <w:tcPr>
                  <w:tcW w:w="0" w:type="auto"/>
                </w:tcPr>
                <w:p w14:paraId="1B9A2A92">
                  <w:pPr>
                    <w:jc w:val="center"/>
                    <w:rPr>
                      <w:b/>
                      <w:bCs/>
                    </w:rPr>
                  </w:pPr>
                </w:p>
              </w:tc>
            </w:tr>
          </w:tbl>
          <w:p w14:paraId="5FC46000"/>
        </w:tc>
      </w:tr>
      <w:tr w14:paraId="16BD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tbl>
            <w:tblPr>
              <w:tblStyle w:val="16"/>
              <w:tblW w:w="0" w:type="auto"/>
              <w:tblCellSpacing w:w="15" w:type="dxa"/>
              <w:tblInd w:w="0" w:type="dxa"/>
              <w:tblLayout w:type="autofit"/>
              <w:tblCellMar>
                <w:top w:w="15" w:type="dxa"/>
                <w:left w:w="15" w:type="dxa"/>
                <w:bottom w:w="15" w:type="dxa"/>
                <w:right w:w="15" w:type="dxa"/>
              </w:tblCellMar>
            </w:tblPr>
            <w:tblGrid>
              <w:gridCol w:w="495"/>
              <w:gridCol w:w="81"/>
            </w:tblGrid>
            <w:tr w14:paraId="1910FD61">
              <w:tblPrEx>
                <w:tblCellMar>
                  <w:top w:w="15" w:type="dxa"/>
                  <w:left w:w="15" w:type="dxa"/>
                  <w:bottom w:w="15" w:type="dxa"/>
                  <w:right w:w="15" w:type="dxa"/>
                </w:tblCellMar>
              </w:tblPrEx>
              <w:trPr>
                <w:tblCellSpacing w:w="15" w:type="dxa"/>
              </w:trPr>
              <w:tc>
                <w:tcPr>
                  <w:tcW w:w="0" w:type="auto"/>
                  <w:vAlign w:val="center"/>
                </w:tcPr>
                <w:p w14:paraId="1370DE88">
                  <w:pPr>
                    <w:jc w:val="left"/>
                  </w:pPr>
                  <w:r>
                    <w:t>低危</w:t>
                  </w:r>
                </w:p>
              </w:tc>
              <w:tc>
                <w:tcPr>
                  <w:tcW w:w="0" w:type="auto"/>
                  <w:vAlign w:val="center"/>
                </w:tcPr>
                <w:p w14:paraId="6C15BD6D"/>
              </w:tc>
            </w:tr>
          </w:tbl>
          <w:p w14:paraId="23DDD61D"/>
        </w:tc>
        <w:tc>
          <w:tcPr>
            <w:tcW w:w="7025" w:type="dxa"/>
          </w:tcPr>
          <w:tbl>
            <w:tblPr>
              <w:tblStyle w:val="16"/>
              <w:tblW w:w="0" w:type="auto"/>
              <w:tblCellSpacing w:w="15" w:type="dxa"/>
              <w:tblInd w:w="0" w:type="dxa"/>
              <w:tblLayout w:type="autofit"/>
              <w:tblCellMar>
                <w:top w:w="15" w:type="dxa"/>
                <w:left w:w="15" w:type="dxa"/>
                <w:bottom w:w="15" w:type="dxa"/>
                <w:right w:w="15" w:type="dxa"/>
              </w:tblCellMar>
            </w:tblPr>
            <w:tblGrid>
              <w:gridCol w:w="396"/>
              <w:gridCol w:w="6413"/>
            </w:tblGrid>
            <w:tr w14:paraId="16E37876">
              <w:tblPrEx>
                <w:tblCellMar>
                  <w:top w:w="15" w:type="dxa"/>
                  <w:left w:w="15" w:type="dxa"/>
                  <w:bottom w:w="15" w:type="dxa"/>
                  <w:right w:w="15" w:type="dxa"/>
                </w:tblCellMar>
              </w:tblPrEx>
              <w:trPr>
                <w:tblCellSpacing w:w="15" w:type="dxa"/>
              </w:trPr>
              <w:tc>
                <w:tcPr>
                  <w:tcW w:w="0" w:type="auto"/>
                  <w:vAlign w:val="center"/>
                </w:tcPr>
                <w:p w14:paraId="642235C0">
                  <w:pPr>
                    <w:jc w:val="left"/>
                  </w:pPr>
                  <w:r>
                    <w:t>低危</w:t>
                  </w:r>
                </w:p>
              </w:tc>
              <w:tc>
                <w:tcPr>
                  <w:tcW w:w="0" w:type="auto"/>
                  <w:vAlign w:val="center"/>
                </w:tcPr>
                <w:p w14:paraId="0F75023C">
                  <w:r>
                    <w:t>运动及恢复期无心绞痛或心肌缺血改变，无明显运动诱发心律失常；血运重建后无并发症；LVEF＞50%；功能储备＞7 METs</w:t>
                  </w:r>
                </w:p>
              </w:tc>
            </w:tr>
          </w:tbl>
          <w:p w14:paraId="106BE85C"/>
        </w:tc>
      </w:tr>
      <w:tr w14:paraId="6CF0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tbl>
            <w:tblPr>
              <w:tblStyle w:val="16"/>
              <w:tblW w:w="0" w:type="auto"/>
              <w:tblCellSpacing w:w="15" w:type="dxa"/>
              <w:tblInd w:w="0" w:type="dxa"/>
              <w:tblLayout w:type="autofit"/>
              <w:tblCellMar>
                <w:top w:w="15" w:type="dxa"/>
                <w:left w:w="15" w:type="dxa"/>
                <w:bottom w:w="15" w:type="dxa"/>
                <w:right w:w="15" w:type="dxa"/>
              </w:tblCellMar>
            </w:tblPr>
            <w:tblGrid>
              <w:gridCol w:w="495"/>
              <w:gridCol w:w="81"/>
            </w:tblGrid>
            <w:tr w14:paraId="7ADF69C0">
              <w:tblPrEx>
                <w:tblCellMar>
                  <w:top w:w="15" w:type="dxa"/>
                  <w:left w:w="15" w:type="dxa"/>
                  <w:bottom w:w="15" w:type="dxa"/>
                  <w:right w:w="15" w:type="dxa"/>
                </w:tblCellMar>
              </w:tblPrEx>
              <w:trPr>
                <w:tblCellSpacing w:w="15" w:type="dxa"/>
              </w:trPr>
              <w:tc>
                <w:tcPr>
                  <w:tcW w:w="0" w:type="auto"/>
                  <w:vAlign w:val="center"/>
                </w:tcPr>
                <w:p w14:paraId="3BD5329A">
                  <w:r>
                    <w:t>中危</w:t>
                  </w:r>
                </w:p>
              </w:tc>
              <w:tc>
                <w:tcPr>
                  <w:tcW w:w="0" w:type="auto"/>
                  <w:vAlign w:val="center"/>
                </w:tcPr>
                <w:p w14:paraId="7D0318E8"/>
              </w:tc>
            </w:tr>
          </w:tbl>
          <w:p w14:paraId="0B3CE5F4"/>
        </w:tc>
        <w:tc>
          <w:tcPr>
            <w:tcW w:w="7025" w:type="dxa"/>
          </w:tcPr>
          <w:tbl>
            <w:tblPr>
              <w:tblStyle w:val="16"/>
              <w:tblW w:w="0" w:type="auto"/>
              <w:tblCellSpacing w:w="15" w:type="dxa"/>
              <w:tblInd w:w="0" w:type="dxa"/>
              <w:tblLayout w:type="autofit"/>
              <w:tblCellMar>
                <w:top w:w="15" w:type="dxa"/>
                <w:left w:w="15" w:type="dxa"/>
                <w:bottom w:w="15" w:type="dxa"/>
                <w:right w:w="15" w:type="dxa"/>
              </w:tblCellMar>
            </w:tblPr>
            <w:tblGrid>
              <w:gridCol w:w="434"/>
              <w:gridCol w:w="6375"/>
            </w:tblGrid>
            <w:tr w14:paraId="6B9627A7">
              <w:tblPrEx>
                <w:tblCellMar>
                  <w:top w:w="15" w:type="dxa"/>
                  <w:left w:w="15" w:type="dxa"/>
                  <w:bottom w:w="15" w:type="dxa"/>
                  <w:right w:w="15" w:type="dxa"/>
                </w:tblCellMar>
              </w:tblPrEx>
              <w:trPr>
                <w:tblCellSpacing w:w="15" w:type="dxa"/>
              </w:trPr>
              <w:tc>
                <w:tcPr>
                  <w:tcW w:w="0" w:type="auto"/>
                  <w:vAlign w:val="center"/>
                </w:tcPr>
                <w:p w14:paraId="2F911757">
                  <w:r>
                    <w:t>中危</w:t>
                  </w:r>
                </w:p>
              </w:tc>
              <w:tc>
                <w:tcPr>
                  <w:tcW w:w="0" w:type="auto"/>
                  <w:vAlign w:val="center"/>
                </w:tcPr>
                <w:p w14:paraId="6C394197">
                  <w:r>
                    <w:t>中等强度运动或恢复期出现心绞痛/缺血表现，或LVEF 40%～50%，或功能储备5～7 METs等</w:t>
                  </w:r>
                </w:p>
              </w:tc>
            </w:tr>
          </w:tbl>
          <w:p w14:paraId="3A4E67C8"/>
        </w:tc>
      </w:tr>
      <w:tr w14:paraId="326E1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1271" w:type="dxa"/>
          </w:tcPr>
          <w:tbl>
            <w:tblPr>
              <w:tblStyle w:val="16"/>
              <w:tblW w:w="0" w:type="auto"/>
              <w:tblCellSpacing w:w="15" w:type="dxa"/>
              <w:tblInd w:w="0" w:type="dxa"/>
              <w:tblLayout w:type="autofit"/>
              <w:tblCellMar>
                <w:top w:w="15" w:type="dxa"/>
                <w:left w:w="15" w:type="dxa"/>
                <w:bottom w:w="15" w:type="dxa"/>
                <w:right w:w="15" w:type="dxa"/>
              </w:tblCellMar>
            </w:tblPr>
            <w:tblGrid>
              <w:gridCol w:w="734"/>
              <w:gridCol w:w="321"/>
            </w:tblGrid>
            <w:tr w14:paraId="75C28117">
              <w:tblPrEx>
                <w:tblCellMar>
                  <w:top w:w="15" w:type="dxa"/>
                  <w:left w:w="15" w:type="dxa"/>
                  <w:bottom w:w="15" w:type="dxa"/>
                  <w:right w:w="15" w:type="dxa"/>
                </w:tblCellMar>
              </w:tblPrEx>
              <w:trPr>
                <w:tblCellSpacing w:w="15" w:type="dxa"/>
              </w:trPr>
              <w:tc>
                <w:tcPr>
                  <w:tcW w:w="689" w:type="dxa"/>
                  <w:vAlign w:val="center"/>
                </w:tcPr>
                <w:p w14:paraId="67E8D31F">
                  <w:pPr>
                    <w:jc w:val="center"/>
                  </w:pPr>
                  <w:r>
                    <w:rPr>
                      <w:rFonts w:hint="eastAsia"/>
                    </w:rPr>
                    <w:t>高危</w:t>
                  </w:r>
                </w:p>
              </w:tc>
              <w:tc>
                <w:tcPr>
                  <w:tcW w:w="276" w:type="dxa"/>
                  <w:vAlign w:val="center"/>
                </w:tcPr>
                <w:p w14:paraId="69F84D83"/>
              </w:tc>
            </w:tr>
          </w:tbl>
          <w:p w14:paraId="545206E4"/>
        </w:tc>
        <w:tc>
          <w:tcPr>
            <w:tcW w:w="7025" w:type="dxa"/>
          </w:tcPr>
          <w:tbl>
            <w:tblPr>
              <w:tblStyle w:val="16"/>
              <w:tblW w:w="0" w:type="auto"/>
              <w:tblCellSpacing w:w="15" w:type="dxa"/>
              <w:tblInd w:w="0" w:type="dxa"/>
              <w:tblLayout w:type="autofit"/>
              <w:tblCellMar>
                <w:top w:w="15" w:type="dxa"/>
                <w:left w:w="15" w:type="dxa"/>
                <w:bottom w:w="15" w:type="dxa"/>
                <w:right w:w="15" w:type="dxa"/>
              </w:tblCellMar>
            </w:tblPr>
            <w:tblGrid>
              <w:gridCol w:w="386"/>
              <w:gridCol w:w="6423"/>
            </w:tblGrid>
            <w:tr w14:paraId="50D65D36">
              <w:tblPrEx>
                <w:tblCellMar>
                  <w:top w:w="15" w:type="dxa"/>
                  <w:left w:w="15" w:type="dxa"/>
                  <w:bottom w:w="15" w:type="dxa"/>
                  <w:right w:w="15" w:type="dxa"/>
                </w:tblCellMar>
              </w:tblPrEx>
              <w:trPr>
                <w:tblCellSpacing w:w="15" w:type="dxa"/>
              </w:trPr>
              <w:tc>
                <w:tcPr>
                  <w:tcW w:w="0" w:type="auto"/>
                  <w:vAlign w:val="center"/>
                </w:tcPr>
                <w:p w14:paraId="7A7C1DC9">
                  <w:r>
                    <w:t>高危</w:t>
                  </w:r>
                </w:p>
              </w:tc>
              <w:tc>
                <w:tcPr>
                  <w:tcW w:w="0" w:type="auto"/>
                  <w:vAlign w:val="center"/>
                </w:tcPr>
                <w:p w14:paraId="068FAC6C">
                  <w:r>
                    <w:t>低水平运动即出现心绞痛或心肌缺血，复杂室性心律失常，血运重建后合并心力衰竭/心源性休克，LVEF＜40%，或功能储备＜5 METs等</w:t>
                  </w:r>
                </w:p>
              </w:tc>
            </w:tr>
          </w:tbl>
          <w:p w14:paraId="69DF312B"/>
        </w:tc>
      </w:tr>
    </w:tbl>
    <w:p w14:paraId="044E0712">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p>
    <w:p w14:paraId="66A5DC55">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 中西医结合运动处方</w:t>
      </w:r>
    </w:p>
    <w:p w14:paraId="04028F9C">
      <w:pPr>
        <w:pStyle w:val="5"/>
        <w:keepNext/>
        <w:keepLines/>
        <w:pageBreakBefore w:val="0"/>
        <w:widowControl w:val="0"/>
        <w:kinsoku/>
        <w:wordWrap/>
        <w:overflowPunct/>
        <w:topLinePunct w:val="0"/>
        <w:autoSpaceDE/>
        <w:autoSpaceDN/>
        <w:bidi w:val="0"/>
        <w:adjustRightInd/>
        <w:snapToGrid/>
        <w:spacing w:before="0" w:after="0" w:line="360" w:lineRule="exact"/>
        <w:textAlignment w:val="auto"/>
      </w:pPr>
      <w:r>
        <w:rPr>
          <w:rFonts w:hint="eastAsia"/>
        </w:rPr>
        <w:t>临床问题2：如何基于风险分层和运动能力评估，为冠心病患者制定包含中医传统运动的个体化中西医结合心脏康复运动处方？</w:t>
      </w:r>
    </w:p>
    <w:p w14:paraId="714C084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t>中西医结合运动处方应建立在心血管风险分层和运动能力评估基础上，根据患者康复分期、心肺功能、运动耐量及个体偏好，按照FITT-VP原则确定运动频率、强度、时间、方式、运动量及进阶方案。有氧运动、抗阻运动、柔韧和平衡训练构成现代心脏康复运动处方的基础；太极拳、八段锦、六字诀、易筋经、五禽戏等中医传统运动可根据患者运动能力和康复目标，作为有氧、柔韧、平衡及身心训练的补充或适宜替代形式，与现代运动训练组合或交替实施。所有运动形式均应纳入统一的运动强度控制、安全监测和动态再评估体系。</w:t>
      </w:r>
    </w:p>
    <w:p w14:paraId="0CE62C8A">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6.1 心脏康复运动处方制定</w:t>
      </w:r>
    </w:p>
    <w:p w14:paraId="75476C24">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6.1.1 冠心病Ⅰ期康复运动处方</w:t>
      </w:r>
    </w:p>
    <w:p w14:paraId="500CA241">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pPr>
      <w:r>
        <w:rPr>
          <w:rFonts w:hint="eastAsia"/>
          <w:b/>
          <w:bCs/>
        </w:rPr>
        <w:t>推荐意见5：</w:t>
      </w:r>
      <w:r>
        <w:rPr>
          <w:rFonts w:hint="eastAsia"/>
        </w:rPr>
        <w:t>Ⅰ期康复是在急性冠脉</w:t>
      </w:r>
      <w:r>
        <w:t>综合症</w:t>
      </w:r>
      <w:r>
        <w:rPr>
          <w:rFonts w:hint="eastAsia"/>
        </w:rPr>
        <w:t>住院期间所进行的康复。</w:t>
      </w:r>
      <w:r>
        <w:t>患者病情稳定</w:t>
      </w:r>
      <w:r>
        <w:rPr>
          <w:rFonts w:hint="eastAsia"/>
        </w:rPr>
        <w:t>时</w:t>
      </w:r>
      <w:r>
        <w:t>，以安全优先为原则，可在床边开展日常生活能力恢复的运动训练。</w:t>
      </w:r>
      <w:r>
        <w:rPr>
          <w:rFonts w:hint="eastAsia" w:ascii="FZSSK--GBK1-0" w:hAnsi="FZSSK--GBK1-0" w:eastAsia="FZSSK--GBK1-0" w:cs="FZSSK--GBK1-0"/>
          <w:color w:val="231F20"/>
          <w:kern w:val="0"/>
          <w:sz w:val="20"/>
          <w:szCs w:val="20"/>
        </w:rPr>
        <w:t>以改善心肺功能的有氧运动为主，辅以抗阻运动、柔韧性运动、平衡运动及呼吸肌训练。病房内活动从简单的肢体活动开始，逐渐过渡到坐起训练、步行训练及上下楼梯训练，具体可参照表</w:t>
      </w:r>
      <w:r>
        <w:rPr>
          <w:rFonts w:hint="eastAsia"/>
        </w:rPr>
        <w:t>4</w:t>
      </w:r>
      <w:r>
        <w:rPr>
          <w:rFonts w:hint="eastAsia" w:ascii="FZSSK--GBK1-0" w:hAnsi="FZSSK--GBK1-0" w:eastAsia="FZSSK--GBK1-0" w:cs="FZSSK--GBK1-0"/>
          <w:color w:val="231F20"/>
          <w:kern w:val="0"/>
          <w:sz w:val="20"/>
          <w:szCs w:val="20"/>
        </w:rPr>
        <w:t>。此</w:t>
      </w:r>
      <w:r>
        <w:rPr>
          <w:rFonts w:hint="eastAsia"/>
        </w:rPr>
        <w:t>时期患者运动康复和恢复日常活动的指导必须在心电和血压监护下进行（推荐使用遥测运动心电监护系统，每个分机的显示屏具备独立的心率、心律及心电图显示，方便患者活动及医护人员监护）。运动量宜控制在较静息心率增加20次／min左右，同时患者感觉不大费力（Borg评分＜12）。如果运动或日常活动后心率增加大于20次／min，患者感觉费力，宜适当减少运动量或日常活动。（C级证据，强推荐）</w:t>
      </w:r>
    </w:p>
    <w:p w14:paraId="0FB9772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pPr>
      <w:r>
        <w:rPr>
          <w:rFonts w:hint="eastAsia"/>
        </w:rPr>
        <w:t>Ⅰ期康复的运动方式，除常规的肢体活动和步行训练外，推荐联合坐式八段锦、六字诀等中医传统功法。坐式八段锦为传统八段锦的改良版本，强度较低，适用于卧床或活动受限患者；六字诀通过特定的呼吸吐纳方法调节脏腑功能。二者均可在不增加心脏负担的前提下，促进气血流通，改善患者活动能力和焦虑状态。</w:t>
      </w:r>
    </w:p>
    <w:p w14:paraId="591CB6FC">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6.1.2 冠心病Ⅱ期康复运动处方</w:t>
      </w:r>
    </w:p>
    <w:p w14:paraId="3DA4B4A5">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b/>
          <w:bCs/>
        </w:rPr>
        <w:t>推荐意见6：</w:t>
      </w:r>
      <w:r>
        <w:rPr>
          <w:rFonts w:hint="eastAsia"/>
        </w:rPr>
        <w:t>符合心脏康复适应证的门诊患者在发病1</w:t>
      </w:r>
      <w:r>
        <w:t>年内，均应接受门诊心脏康复治疗。推荐以有氧运动为主，</w:t>
      </w:r>
      <w:r>
        <w:rPr>
          <w:rFonts w:hint="eastAsia"/>
        </w:rPr>
        <w:t>抗</w:t>
      </w:r>
      <w:r>
        <w:t>阻运动</w:t>
      </w:r>
      <w:r>
        <w:rPr>
          <w:rFonts w:hint="eastAsia"/>
        </w:rPr>
        <w:t>为辅</w:t>
      </w:r>
      <w:r>
        <w:t>，柔韧平衡性运动可用于热身和恢复阶段，运动强度依据运动能力评估来制定，可结合</w:t>
      </w:r>
      <w:r>
        <w:rPr>
          <w:rFonts w:hint="eastAsia"/>
        </w:rPr>
        <w:t>RPE</w:t>
      </w:r>
      <w:r>
        <w:t xml:space="preserve">，运动频率 5～7次/周，每次运动时间 30~60 min </w:t>
      </w:r>
    </w:p>
    <w:p w14:paraId="72B2E246">
      <w:pPr>
        <w:keepNext w:val="0"/>
        <w:keepLines w:val="0"/>
        <w:pageBreakBefore w:val="0"/>
        <w:widowControl w:val="0"/>
        <w:kinsoku/>
        <w:wordWrap/>
        <w:overflowPunct/>
        <w:topLinePunct w:val="0"/>
        <w:autoSpaceDE/>
        <w:autoSpaceDN/>
        <w:bidi w:val="0"/>
        <w:adjustRightInd/>
        <w:snapToGrid/>
        <w:spacing w:line="360" w:lineRule="exact"/>
        <w:textAlignment w:val="auto"/>
      </w:pPr>
      <w:r>
        <w:t>为宜。</w:t>
      </w:r>
      <w:r>
        <w:rPr>
          <w:rFonts w:hint="eastAsia"/>
        </w:rPr>
        <w:t>此时期可采用三阶段运动程序：①热身阶段，采用低强度有氧运动和静力拉伸，持续5~10 min。活动肌肉和关节，提高心血管的适应性，为锻炼阶段做准备。②训练阶段，持续有氧运动30</w:t>
      </w:r>
      <w:r>
        <w:t>～</w:t>
      </w:r>
      <w:r>
        <w:rPr>
          <w:rFonts w:hint="eastAsia"/>
        </w:rPr>
        <w:t>40min、以抗阻运动补充。③恢复阶段，以慢节奏有氧运动或柔韧性训练为主，持续5</w:t>
      </w:r>
      <w:r>
        <w:t>～</w:t>
      </w:r>
      <w:r>
        <w:rPr>
          <w:rFonts w:hint="eastAsia"/>
        </w:rPr>
        <w:t>10min。（C级证据，强推荐）</w:t>
      </w:r>
    </w:p>
    <w:p w14:paraId="539F8A7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Ⅱ期康复的运动方式，在有氧运动方面，推荐立式八段锦、易筋经十二式作为重要的补充。立式八段锦动作“柔和缓慢、圆活连贯”，为中低强度的有氧运动，追求神、气、形的统一。</w:t>
      </w:r>
      <w:r>
        <w:t>现有研究提示，八段锦联合常规心脏康复可改善PCI术后患者的运动耐量、部分心功能指标及健康相关生活质量，并对焦虑、抑郁等心理状态具有一定改善作用</w:t>
      </w:r>
      <w:r>
        <w:rPr>
          <w:rFonts w:hint="eastAsia"/>
        </w:rPr>
        <w:t>。易筋经十二式注重筋骨拉伸与气息配合，可作为有氧运动与抗阻运动之间的过渡和补充。</w:t>
      </w:r>
    </w:p>
    <w:p w14:paraId="2A8F0A5C">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6.1.3 冠心病Ⅲ期康复运动处方</w:t>
      </w:r>
    </w:p>
    <w:p w14:paraId="4C8D482F">
      <w:pPr>
        <w:keepNext w:val="0"/>
        <w:keepLines w:val="0"/>
        <w:pageBreakBefore w:val="0"/>
        <w:kinsoku/>
        <w:wordWrap/>
        <w:overflowPunct/>
        <w:topLinePunct w:val="0"/>
        <w:autoSpaceDE/>
        <w:autoSpaceDN/>
        <w:bidi w:val="0"/>
        <w:adjustRightInd/>
        <w:snapToGrid/>
        <w:spacing w:line="360" w:lineRule="exact"/>
        <w:ind w:firstLine="422"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推荐意见7</w:t>
      </w:r>
      <w:r>
        <w:rPr>
          <w:rFonts w:hint="eastAsia" w:asciiTheme="minorEastAsia" w:hAnsiTheme="minorEastAsia" w:eastAsiaTheme="minorEastAsia" w:cstheme="minorEastAsia"/>
          <w:sz w:val="21"/>
          <w:szCs w:val="21"/>
        </w:rPr>
        <w:t>：Ⅲ期心脏康复是为心血管事件1年后的院外患者提供预防和康复服务，是第Ⅱ期康复的延续，重点帮助患者维持已形成的健康生活方式和运动习惯，继续有效控制冠心病高危因素，帮助患者恢复家庭生活和社会交往等日常活动。在具体的运动指导中应因人而异，低危患者的运动康复无需医学监护，中、高危患者的运动康复仍需医学监护。因此对患者的评估十分重要，低危及部分中危患者可进一步开展运动康复，高危及部分中危患者应转上级医院进行康复。此外，纠正危险因素和心理社会支持仍需继续，并在此基础上，建立随访系统，提高治疗依从性。（C级证据，强推荐）</w:t>
      </w:r>
    </w:p>
    <w:p w14:paraId="631707F7">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Ⅲ期康复的有氧运动方式，推荐太极拳、五禽戏作为主要选择之一。太极拳是一种融合肢体动作、呼吸控制和意念引导的低中度有氧运动，能有效改善患者的心肺功能、心理状态及运动能力。五禽戏模仿虎、鹿、熊、猿、鸟五种动物的动作，刚柔相济，与Ⅱ期心脏康复联合应用可显著提高患者的6 min步行距离、左室射血分数，改善焦虑抑郁状态。</w:t>
      </w:r>
    </w:p>
    <w:p w14:paraId="05998738">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推荐意见说明</w:t>
      </w:r>
      <w:r>
        <w:rPr>
          <w:rFonts w:hint="eastAsia" w:asciiTheme="minorEastAsia" w:hAnsiTheme="minorEastAsia" w:eastAsiaTheme="minorEastAsia" w:cstheme="minorEastAsia"/>
          <w:sz w:val="21"/>
          <w:szCs w:val="21"/>
        </w:rPr>
        <w:t>：对于急性心肌梗死Ⅰ期康复的患者，康复目的为</w:t>
      </w:r>
      <w:r>
        <w:rPr>
          <w:rFonts w:hint="eastAsia" w:asciiTheme="minorEastAsia" w:hAnsiTheme="minorEastAsia" w:eastAsiaTheme="minorEastAsia" w:cstheme="minorEastAsia"/>
          <w:color w:val="231F20"/>
          <w:kern w:val="0"/>
          <w:sz w:val="21"/>
          <w:szCs w:val="21"/>
        </w:rPr>
        <w:t>缩短住院时间，促进日常生活能力及运动能力的恢复，增加患者自信心，减少心理痛苦，减少再住院风险。避免卧床带来的不利影响，如运动耐量减退、低血容量、血栓栓塞性并发症。</w:t>
      </w:r>
      <w:r>
        <w:rPr>
          <w:rFonts w:hint="eastAsia" w:asciiTheme="minorEastAsia" w:hAnsiTheme="minorEastAsia" w:eastAsiaTheme="minorEastAsia" w:cstheme="minorEastAsia"/>
          <w:sz w:val="21"/>
          <w:szCs w:val="21"/>
        </w:rPr>
        <w:t>患者一旦脱离急性危险期，病情稳定，可尽早开始运动康复。参考标准：过去8 h内病情稳定，包括：①没有新的或再发胸痛；②无肌钙蛋白水平进一步升高；③没有出现新的心力衰竭失代偿征兆（静息时呼吸困难伴湿啰音）；④没有新的恶性心律失常或心电图动态改变。基础生命体征正常，包括：①静息心率 50～ 100 次/min；②静息血压 90～150/60～100 mmHg （1 mmHg=0.133 kPa）；③血氧饱和度&gt;95%。</w:t>
      </w:r>
    </w:p>
    <w:p w14:paraId="6DE525D0">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Ⅰ期心脏康复，活动过程通常分为四个等级：仰卧位、坐位、站立位、下地活动。如活动时没有出现不良反应，可循序渐进到患者能耐受水平，如活动时出现不良反应，无论坐位和站位，都需终止运动，重新从低一个级别的运动量开始，一般情况下，在完成上述4步运动康复步骤后，患者基本可以胜任日常生活活动</w:t>
      </w:r>
      <w:r>
        <w:rPr>
          <w:rStyle w:val="20"/>
          <w:rFonts w:hint="eastAsia" w:asciiTheme="minorEastAsia" w:hAnsiTheme="minorEastAsia" w:eastAsiaTheme="minorEastAsia" w:cstheme="minorEastAsia"/>
          <w:sz w:val="21"/>
          <w:szCs w:val="21"/>
        </w:rPr>
        <w:t>[</w:t>
      </w:r>
      <w:r>
        <w:rPr>
          <w:rStyle w:val="20"/>
          <w:rFonts w:hint="eastAsia" w:asciiTheme="minorEastAsia" w:hAnsiTheme="minorEastAsia" w:eastAsiaTheme="minorEastAsia" w:cstheme="minorEastAsia"/>
          <w:sz w:val="21"/>
          <w:szCs w:val="21"/>
        </w:rPr>
        <w:endnoteReference w:id="9"/>
      </w:r>
      <w:r>
        <w:rPr>
          <w:rStyle w:val="20"/>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。6 min 步行试验主要记录6 min步行距离、心率、血压、血氧和症状等，用于评价中、重度心肺疾病患者的运动耐力和心肺功能状态，可用于冠心病心脏康复患者的运动能力评估</w:t>
      </w:r>
      <w:r>
        <w:rPr>
          <w:rStyle w:val="20"/>
          <w:rFonts w:hint="eastAsia" w:asciiTheme="minorEastAsia" w:hAnsiTheme="minorEastAsia" w:eastAsiaTheme="minorEastAsia" w:cstheme="minorEastAsia"/>
          <w:sz w:val="21"/>
          <w:szCs w:val="21"/>
        </w:rPr>
        <w:t>[</w:t>
      </w:r>
      <w:r>
        <w:rPr>
          <w:rStyle w:val="20"/>
          <w:rFonts w:hint="eastAsia" w:asciiTheme="minorEastAsia" w:hAnsiTheme="minorEastAsia" w:eastAsiaTheme="minorEastAsia" w:cstheme="minorEastAsia"/>
          <w:sz w:val="21"/>
          <w:szCs w:val="21"/>
        </w:rPr>
        <w:endnoteReference w:id="10"/>
      </w:r>
      <w:r>
        <w:rPr>
          <w:rStyle w:val="20"/>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。运动康复应循序渐进，住院患者的运动康复和日常活动指导必须在心电、血压监护下进行，运动量宜控制在静息心率增加20次左右，同时患者感觉不大费力，Borg 量表可对自我感知劳累程度进行量化，具体可参照表5</w:t>
      </w:r>
      <w:r>
        <w:rPr>
          <w:rStyle w:val="20"/>
          <w:rFonts w:hint="eastAsia" w:asciiTheme="minorEastAsia" w:hAnsiTheme="minorEastAsia" w:eastAsiaTheme="minorEastAsia" w:cstheme="minorEastAsia"/>
          <w:sz w:val="21"/>
          <w:szCs w:val="21"/>
        </w:rPr>
        <w:t>[</w:t>
      </w:r>
      <w:r>
        <w:rPr>
          <w:rStyle w:val="20"/>
          <w:rFonts w:hint="eastAsia" w:asciiTheme="minorEastAsia" w:hAnsiTheme="minorEastAsia" w:eastAsiaTheme="minorEastAsia" w:cstheme="minorEastAsia"/>
          <w:sz w:val="21"/>
          <w:szCs w:val="21"/>
        </w:rPr>
        <w:endnoteReference w:id="11"/>
      </w:r>
      <w:r>
        <w:rPr>
          <w:rStyle w:val="20"/>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w:t>
      </w:r>
    </w:p>
    <w:p w14:paraId="0AE89ECB">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Ⅱ期心脏康复既是住院期心脏康复的延续，也是向社区心脏康复过渡的基础，在从医院到社区和家庭的整个心脏康复程序的建设中具有承上启下的作用，启动时间在出院后 1~3 周之内，持续 3~6 个月，共完成36次医学监督下心脏康复</w:t>
      </w:r>
      <w:r>
        <w:rPr>
          <w:rStyle w:val="20"/>
          <w:rFonts w:hint="eastAsia" w:asciiTheme="minorEastAsia" w:hAnsiTheme="minorEastAsia" w:eastAsiaTheme="minorEastAsia" w:cstheme="minorEastAsia"/>
          <w:sz w:val="21"/>
          <w:szCs w:val="21"/>
        </w:rPr>
        <w:t>[</w:t>
      </w:r>
      <w:r>
        <w:rPr>
          <w:rStyle w:val="20"/>
          <w:rFonts w:hint="eastAsia" w:asciiTheme="minorEastAsia" w:hAnsiTheme="minorEastAsia" w:eastAsiaTheme="minorEastAsia" w:cstheme="minorEastAsia"/>
          <w:sz w:val="21"/>
          <w:szCs w:val="21"/>
        </w:rPr>
        <w:endnoteReference w:id="12"/>
      </w:r>
      <w:r>
        <w:rPr>
          <w:rStyle w:val="20"/>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此时期的主要康复目标是纠正不良生活习惯、坚持以运动治疗为核心主动控制心血管危险因素、优化二级预防用药以避免再发心血管事件、减少再心肌梗死住院和降低病死率，从而使患者恢复日常活动能力，回归正常社会生活，具体可参照表6。</w:t>
      </w:r>
    </w:p>
    <w:p w14:paraId="19207989">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Ⅲ期康复方案主要在社区和家庭中进行，基于远程医疗指导持续康复，以维护Ⅰ、Ⅱ期的康复效果，是第Ⅱ期康复的延续，适用于所有出院后1年或完成Ⅱ期心脏康复的冠心病患者。其主要康复目标是让患者主动地控制危险因素，长期坚持运动治疗习惯，最大限度地提高患者的生命质量，从而使患者有自信、有能力地参与社会生活和工作</w:t>
      </w:r>
      <w:r>
        <w:rPr>
          <w:rStyle w:val="20"/>
          <w:rFonts w:hint="eastAsia" w:asciiTheme="minorEastAsia" w:hAnsiTheme="minorEastAsia" w:eastAsiaTheme="minorEastAsia" w:cstheme="minorEastAsia"/>
          <w:sz w:val="21"/>
          <w:szCs w:val="21"/>
        </w:rPr>
        <w:t>[</w:t>
      </w:r>
      <w:r>
        <w:rPr>
          <w:rStyle w:val="20"/>
          <w:rFonts w:hint="eastAsia" w:asciiTheme="minorEastAsia" w:hAnsiTheme="minorEastAsia" w:eastAsiaTheme="minorEastAsia" w:cstheme="minorEastAsia"/>
          <w:sz w:val="21"/>
          <w:szCs w:val="21"/>
        </w:rPr>
        <w:endnoteReference w:id="13"/>
      </w:r>
      <w:r>
        <w:rPr>
          <w:rStyle w:val="20"/>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t>，具体可参照表7。</w:t>
      </w:r>
    </w:p>
    <w:p w14:paraId="0DE3418F"/>
    <w:p w14:paraId="6256B4AF">
      <w:pPr>
        <w:ind w:firstLine="420"/>
        <w:jc w:val="center"/>
        <w:rPr>
          <w:color w:val="000000"/>
        </w:rPr>
      </w:pPr>
      <w:r>
        <w:rPr>
          <w:rFonts w:hint="eastAsia"/>
          <w:color w:val="000000"/>
        </w:rPr>
        <w:t>表4 Ⅰ期康复运动方案建议</w:t>
      </w:r>
    </w:p>
    <w:tbl>
      <w:tblPr>
        <w:tblStyle w:val="17"/>
        <w:tblW w:w="4998"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6"/>
        <w:gridCol w:w="2116"/>
        <w:gridCol w:w="2831"/>
        <w:gridCol w:w="2280"/>
      </w:tblGrid>
      <w:tr w14:paraId="72AA52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648" w:type="pct"/>
            <w:tcBorders>
              <w:top w:val="single" w:color="auto" w:sz="12" w:space="0"/>
              <w:bottom w:val="single" w:color="auto" w:sz="4" w:space="0"/>
              <w:tl2br w:val="nil"/>
              <w:tr2bl w:val="nil"/>
            </w:tcBorders>
          </w:tcPr>
          <w:p w14:paraId="335E7E15">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康复步骤</w:t>
            </w:r>
          </w:p>
        </w:tc>
        <w:tc>
          <w:tcPr>
            <w:tcW w:w="1274" w:type="pct"/>
            <w:tcBorders>
              <w:top w:val="single" w:color="auto" w:sz="12" w:space="0"/>
              <w:bottom w:val="single" w:color="auto" w:sz="4" w:space="0"/>
              <w:tl2br w:val="nil"/>
              <w:tr2bl w:val="nil"/>
            </w:tcBorders>
          </w:tcPr>
          <w:p w14:paraId="4B17C3AB">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日常生活</w:t>
            </w:r>
          </w:p>
        </w:tc>
        <w:tc>
          <w:tcPr>
            <w:tcW w:w="1704" w:type="pct"/>
            <w:tcBorders>
              <w:top w:val="single" w:color="auto" w:sz="12" w:space="0"/>
              <w:bottom w:val="single" w:color="auto" w:sz="4" w:space="0"/>
              <w:tl2br w:val="nil"/>
              <w:tr2bl w:val="nil"/>
            </w:tcBorders>
          </w:tcPr>
          <w:p w14:paraId="69BA615E">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运动方案</w:t>
            </w:r>
          </w:p>
        </w:tc>
        <w:tc>
          <w:tcPr>
            <w:tcW w:w="1372" w:type="pct"/>
            <w:tcBorders>
              <w:top w:val="single" w:color="auto" w:sz="12" w:space="0"/>
              <w:bottom w:val="single" w:color="auto" w:sz="4" w:space="0"/>
              <w:tl2br w:val="nil"/>
              <w:tr2bl w:val="nil"/>
            </w:tcBorders>
          </w:tcPr>
          <w:p w14:paraId="2E3642B8">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注意事项</w:t>
            </w:r>
          </w:p>
        </w:tc>
      </w:tr>
      <w:tr w14:paraId="1FE9FA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648" w:type="pct"/>
            <w:tcBorders>
              <w:top w:val="single" w:color="auto" w:sz="4" w:space="0"/>
            </w:tcBorders>
          </w:tcPr>
          <w:p w14:paraId="0B1B9CD0">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第一步</w:t>
            </w:r>
          </w:p>
        </w:tc>
        <w:tc>
          <w:tcPr>
            <w:tcW w:w="1274" w:type="pct"/>
            <w:tcBorders>
              <w:top w:val="single" w:color="auto" w:sz="4" w:space="0"/>
            </w:tcBorders>
          </w:tcPr>
          <w:p w14:paraId="3D5B9F6B">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床上活动，自主进食，部分依赖帮助</w:t>
            </w:r>
          </w:p>
        </w:tc>
        <w:tc>
          <w:tcPr>
            <w:tcW w:w="1704" w:type="pct"/>
            <w:tcBorders>
              <w:top w:val="single" w:color="auto" w:sz="4" w:space="0"/>
            </w:tcBorders>
          </w:tcPr>
          <w:p w14:paraId="7EFFAD20">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仰卧位，下肢交替抬高30°，5组/次；上肢抬高时深吸气，放下时慢呼气，5组/次；坐式八段锦——上肢及躯干动作部分，如“两手托天理三焦”的坐姿简化版</w:t>
            </w:r>
          </w:p>
        </w:tc>
        <w:tc>
          <w:tcPr>
            <w:tcW w:w="1372" w:type="pct"/>
            <w:tcBorders>
              <w:top w:val="single" w:color="auto" w:sz="4" w:space="0"/>
            </w:tcBorders>
          </w:tcPr>
          <w:p w14:paraId="31A19BFD">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保证穿刺伤口固定，活动时不影响穿刺伤口及治疗管路</w:t>
            </w:r>
          </w:p>
        </w:tc>
      </w:tr>
      <w:tr w14:paraId="67C87B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648" w:type="pct"/>
            <w:tcBorders>
              <w:tl2br w:val="nil"/>
              <w:tr2bl w:val="nil"/>
            </w:tcBorders>
          </w:tcPr>
          <w:p w14:paraId="6E298C19">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第二步</w:t>
            </w:r>
          </w:p>
        </w:tc>
        <w:tc>
          <w:tcPr>
            <w:tcW w:w="1274" w:type="pct"/>
            <w:tcBorders>
              <w:tl2br w:val="nil"/>
              <w:tr2bl w:val="nil"/>
            </w:tcBorders>
          </w:tcPr>
          <w:p w14:paraId="4AF085B4">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下床活动，自主如厕，少部分依赖帮助</w:t>
            </w:r>
          </w:p>
        </w:tc>
        <w:tc>
          <w:tcPr>
            <w:tcW w:w="1704" w:type="pct"/>
            <w:tcBorders>
              <w:tl2br w:val="nil"/>
              <w:tr2bl w:val="nil"/>
            </w:tcBorders>
          </w:tcPr>
          <w:p w14:paraId="08463684">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上午床边坐椅子5</w:t>
            </w:r>
            <w:r>
              <w:rPr>
                <w:sz w:val="21"/>
                <w:szCs w:val="21"/>
              </w:rPr>
              <w:t>—</w:t>
            </w:r>
            <w:r>
              <w:rPr>
                <w:rFonts w:hint="eastAsia"/>
                <w:sz w:val="21"/>
                <w:szCs w:val="21"/>
              </w:rPr>
              <w:t>10min，1次/d；下午床边行走5</w:t>
            </w:r>
            <w:r>
              <w:rPr>
                <w:sz w:val="21"/>
                <w:szCs w:val="21"/>
              </w:rPr>
              <w:t>—</w:t>
            </w:r>
            <w:r>
              <w:rPr>
                <w:rFonts w:hint="eastAsia"/>
                <w:sz w:val="21"/>
                <w:szCs w:val="21"/>
              </w:rPr>
              <w:t>10min，1次/d；坐式八段锦5</w:t>
            </w:r>
            <w:r>
              <w:rPr>
                <w:sz w:val="21"/>
                <w:szCs w:val="21"/>
              </w:rPr>
              <w:t>—</w:t>
            </w:r>
            <w:r>
              <w:rPr>
                <w:rFonts w:hint="eastAsia"/>
                <w:sz w:val="21"/>
                <w:szCs w:val="21"/>
              </w:rPr>
              <w:t>10min，1次/d</w:t>
            </w:r>
          </w:p>
        </w:tc>
        <w:tc>
          <w:tcPr>
            <w:tcW w:w="1372" w:type="pct"/>
            <w:tcBorders>
              <w:tl2br w:val="nil"/>
              <w:tr2bl w:val="nil"/>
            </w:tcBorders>
          </w:tcPr>
          <w:p w14:paraId="08A61D8E">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在医学监护下活动，站立时避免</w:t>
            </w:r>
            <w:r>
              <w:rPr>
                <w:sz w:val="21"/>
                <w:szCs w:val="21"/>
              </w:rPr>
              <w:t>直立性低血压</w:t>
            </w:r>
            <w:r>
              <w:rPr>
                <w:rFonts w:hint="eastAsia"/>
                <w:sz w:val="21"/>
                <w:szCs w:val="21"/>
              </w:rPr>
              <w:t>或跌倒</w:t>
            </w:r>
          </w:p>
        </w:tc>
      </w:tr>
      <w:tr w14:paraId="48502C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648" w:type="pct"/>
            <w:tcBorders>
              <w:tl2br w:val="nil"/>
              <w:tr2bl w:val="nil"/>
            </w:tcBorders>
          </w:tcPr>
          <w:p w14:paraId="11377A3B">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第三步</w:t>
            </w:r>
          </w:p>
        </w:tc>
        <w:tc>
          <w:tcPr>
            <w:tcW w:w="1274" w:type="pct"/>
            <w:tcBorders>
              <w:tl2br w:val="nil"/>
              <w:tr2bl w:val="nil"/>
            </w:tcBorders>
          </w:tcPr>
          <w:p w14:paraId="1858E5E7">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病房内活动，自主日常活动</w:t>
            </w:r>
          </w:p>
        </w:tc>
        <w:tc>
          <w:tcPr>
            <w:tcW w:w="1704" w:type="pct"/>
            <w:tcBorders>
              <w:tl2br w:val="nil"/>
              <w:tr2bl w:val="nil"/>
            </w:tcBorders>
          </w:tcPr>
          <w:p w14:paraId="257898CD">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床边行走10min，2次/d；坐位八段锦5min，1次/d；坐式八段锦5</w:t>
            </w:r>
            <w:r>
              <w:rPr>
                <w:sz w:val="21"/>
                <w:szCs w:val="21"/>
              </w:rPr>
              <w:t>—</w:t>
            </w:r>
            <w:r>
              <w:rPr>
                <w:rFonts w:hint="eastAsia"/>
                <w:sz w:val="21"/>
                <w:szCs w:val="21"/>
              </w:rPr>
              <w:t>10min，1次/d</w:t>
            </w:r>
          </w:p>
        </w:tc>
        <w:tc>
          <w:tcPr>
            <w:tcW w:w="1372" w:type="pct"/>
            <w:tcBorders>
              <w:tl2br w:val="nil"/>
              <w:tr2bl w:val="nil"/>
            </w:tcBorders>
          </w:tcPr>
          <w:p w14:paraId="1E8AA7B2">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在医学监护下步行训练和日常生活活动</w:t>
            </w:r>
          </w:p>
        </w:tc>
      </w:tr>
      <w:tr w14:paraId="27DF02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648" w:type="pct"/>
            <w:tcBorders>
              <w:tl2br w:val="nil"/>
              <w:tr2bl w:val="nil"/>
            </w:tcBorders>
          </w:tcPr>
          <w:p w14:paraId="46C75C33">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第四步</w:t>
            </w:r>
          </w:p>
        </w:tc>
        <w:tc>
          <w:tcPr>
            <w:tcW w:w="1274" w:type="pct"/>
            <w:tcBorders>
              <w:tl2br w:val="nil"/>
              <w:tr2bl w:val="nil"/>
            </w:tcBorders>
          </w:tcPr>
          <w:p w14:paraId="6928F17B">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病房内及走廊活动，自主日常活动</w:t>
            </w:r>
          </w:p>
        </w:tc>
        <w:tc>
          <w:tcPr>
            <w:tcW w:w="1704" w:type="pct"/>
            <w:tcBorders>
              <w:tl2br w:val="nil"/>
              <w:tr2bl w:val="nil"/>
            </w:tcBorders>
          </w:tcPr>
          <w:p w14:paraId="62C4FD88">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室内行走10min，2次/d；坐位八段锦10min，1次/d；坐式八段锦10min，1次/d；六字诀呼吸吐纳训练</w:t>
            </w:r>
          </w:p>
        </w:tc>
        <w:tc>
          <w:tcPr>
            <w:tcW w:w="1372" w:type="pct"/>
            <w:tcBorders>
              <w:tl2br w:val="nil"/>
              <w:tr2bl w:val="nil"/>
            </w:tcBorders>
          </w:tcPr>
          <w:p w14:paraId="3A3F424B">
            <w:pPr>
              <w:keepNext w:val="0"/>
              <w:keepLines w:val="0"/>
              <w:pageBreakBefore w:val="0"/>
              <w:widowControl w:val="0"/>
              <w:kinsoku/>
              <w:wordWrap/>
              <w:overflowPunct/>
              <w:topLinePunct w:val="0"/>
              <w:autoSpaceDE/>
              <w:autoSpaceDN/>
              <w:bidi w:val="0"/>
              <w:adjustRightInd/>
              <w:snapToGrid/>
              <w:textAlignment w:val="auto"/>
              <w:rPr>
                <w:sz w:val="21"/>
                <w:szCs w:val="21"/>
              </w:rPr>
            </w:pPr>
            <w:r>
              <w:rPr>
                <w:rFonts w:hint="eastAsia"/>
                <w:sz w:val="21"/>
                <w:szCs w:val="21"/>
              </w:rPr>
              <w:t>在患者耐受前提下进行6min步行试验，做好出院指导，制定门诊康复和随访计划</w:t>
            </w:r>
          </w:p>
        </w:tc>
      </w:tr>
    </w:tbl>
    <w:p w14:paraId="3177637F">
      <w:pPr>
        <w:ind w:firstLine="420"/>
      </w:pPr>
    </w:p>
    <w:p w14:paraId="4C30CA24">
      <w:pPr>
        <w:ind w:firstLine="420"/>
        <w:jc w:val="center"/>
      </w:pPr>
      <w:r>
        <w:rPr>
          <w:rFonts w:hint="eastAsia"/>
        </w:rPr>
        <w:t>表5 对自我感知劳累用力程度进行计分的Borg评分表</w:t>
      </w:r>
    </w:p>
    <w:tbl>
      <w:tblPr>
        <w:tblStyle w:val="17"/>
        <w:tblW w:w="852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0"/>
        <w:gridCol w:w="4567"/>
      </w:tblGrid>
      <w:tr w14:paraId="7DACC0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3960" w:type="dxa"/>
            <w:tcBorders>
              <w:top w:val="single" w:color="auto" w:sz="12" w:space="0"/>
              <w:bottom w:val="single" w:color="auto" w:sz="4" w:space="0"/>
              <w:tl2br w:val="nil"/>
              <w:tr2bl w:val="nil"/>
            </w:tcBorders>
          </w:tcPr>
          <w:p w14:paraId="06C79A1A">
            <w:r>
              <w:rPr>
                <w:rFonts w:hint="eastAsia"/>
              </w:rPr>
              <w:t>Borg计分</w:t>
            </w:r>
          </w:p>
        </w:tc>
        <w:tc>
          <w:tcPr>
            <w:tcW w:w="4567" w:type="dxa"/>
            <w:tcBorders>
              <w:top w:val="single" w:color="auto" w:sz="12" w:space="0"/>
              <w:bottom w:val="single" w:color="auto" w:sz="4" w:space="0"/>
              <w:tl2br w:val="nil"/>
              <w:tr2bl w:val="nil"/>
            </w:tcBorders>
          </w:tcPr>
          <w:p w14:paraId="326F94D0">
            <w:pPr>
              <w:ind w:firstLine="420"/>
            </w:pPr>
            <w:r>
              <w:rPr>
                <w:rFonts w:hint="eastAsia"/>
              </w:rPr>
              <w:t>自我感知的用力程度</w:t>
            </w:r>
          </w:p>
        </w:tc>
      </w:tr>
      <w:tr w14:paraId="0CBB99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3960" w:type="dxa"/>
            <w:tcBorders>
              <w:top w:val="single" w:color="auto" w:sz="4" w:space="0"/>
            </w:tcBorders>
          </w:tcPr>
          <w:p w14:paraId="675B75BC">
            <w:r>
              <w:rPr>
                <w:rFonts w:hint="eastAsia"/>
              </w:rPr>
              <w:t>6~8</w:t>
            </w:r>
          </w:p>
        </w:tc>
        <w:tc>
          <w:tcPr>
            <w:tcW w:w="4567" w:type="dxa"/>
            <w:tcBorders>
              <w:top w:val="single" w:color="auto" w:sz="4" w:space="0"/>
            </w:tcBorders>
          </w:tcPr>
          <w:p w14:paraId="3AC0AD0D">
            <w:r>
              <w:rPr>
                <w:rFonts w:hint="eastAsia"/>
              </w:rPr>
              <w:t>非常非常轻</w:t>
            </w:r>
          </w:p>
        </w:tc>
      </w:tr>
      <w:tr w14:paraId="65AB67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3960" w:type="dxa"/>
            <w:tcBorders>
              <w:tl2br w:val="nil"/>
              <w:tr2bl w:val="nil"/>
            </w:tcBorders>
          </w:tcPr>
          <w:p w14:paraId="140DCB08">
            <w:r>
              <w:rPr>
                <w:rFonts w:hint="eastAsia"/>
              </w:rPr>
              <w:t>9~10</w:t>
            </w:r>
          </w:p>
        </w:tc>
        <w:tc>
          <w:tcPr>
            <w:tcW w:w="4567" w:type="dxa"/>
            <w:tcBorders>
              <w:tl2br w:val="nil"/>
              <w:tr2bl w:val="nil"/>
            </w:tcBorders>
          </w:tcPr>
          <w:p w14:paraId="7032BDE2">
            <w:r>
              <w:rPr>
                <w:rFonts w:hint="eastAsia"/>
              </w:rPr>
              <w:t>很轻</w:t>
            </w:r>
          </w:p>
        </w:tc>
      </w:tr>
      <w:tr w14:paraId="0D3145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3960" w:type="dxa"/>
            <w:tcBorders>
              <w:tl2br w:val="nil"/>
              <w:tr2bl w:val="nil"/>
            </w:tcBorders>
          </w:tcPr>
          <w:p w14:paraId="7BC10323">
            <w:r>
              <w:rPr>
                <w:rFonts w:hint="eastAsia"/>
              </w:rPr>
              <w:t>11~12</w:t>
            </w:r>
          </w:p>
        </w:tc>
        <w:tc>
          <w:tcPr>
            <w:tcW w:w="4567" w:type="dxa"/>
            <w:tcBorders>
              <w:tl2br w:val="nil"/>
              <w:tr2bl w:val="nil"/>
            </w:tcBorders>
          </w:tcPr>
          <w:p w14:paraId="36A258B1">
            <w:r>
              <w:rPr>
                <w:rFonts w:hint="eastAsia"/>
              </w:rPr>
              <w:t>轻</w:t>
            </w:r>
          </w:p>
        </w:tc>
      </w:tr>
      <w:tr w14:paraId="3B8D21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3960" w:type="dxa"/>
            <w:tcBorders>
              <w:tl2br w:val="nil"/>
              <w:tr2bl w:val="nil"/>
            </w:tcBorders>
          </w:tcPr>
          <w:p w14:paraId="363ACF57">
            <w:r>
              <w:rPr>
                <w:rFonts w:hint="eastAsia"/>
              </w:rPr>
              <w:t>13~14</w:t>
            </w:r>
          </w:p>
        </w:tc>
        <w:tc>
          <w:tcPr>
            <w:tcW w:w="4567" w:type="dxa"/>
            <w:tcBorders>
              <w:tl2br w:val="nil"/>
              <w:tr2bl w:val="nil"/>
            </w:tcBorders>
          </w:tcPr>
          <w:p w14:paraId="093118B2">
            <w:r>
              <w:rPr>
                <w:rFonts w:hint="eastAsia"/>
              </w:rPr>
              <w:t>有点用力</w:t>
            </w:r>
          </w:p>
        </w:tc>
      </w:tr>
      <w:tr w14:paraId="5F88BC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3960" w:type="dxa"/>
            <w:tcBorders>
              <w:tl2br w:val="nil"/>
              <w:tr2bl w:val="nil"/>
            </w:tcBorders>
          </w:tcPr>
          <w:p w14:paraId="303FBF1A">
            <w:r>
              <w:rPr>
                <w:rFonts w:hint="eastAsia"/>
              </w:rPr>
              <w:t>15~16</w:t>
            </w:r>
          </w:p>
        </w:tc>
        <w:tc>
          <w:tcPr>
            <w:tcW w:w="4567" w:type="dxa"/>
            <w:tcBorders>
              <w:tl2br w:val="nil"/>
              <w:tr2bl w:val="nil"/>
            </w:tcBorders>
          </w:tcPr>
          <w:p w14:paraId="189321EA">
            <w:r>
              <w:rPr>
                <w:rFonts w:hint="eastAsia"/>
              </w:rPr>
              <w:t>用力</w:t>
            </w:r>
          </w:p>
        </w:tc>
      </w:tr>
      <w:tr w14:paraId="07BA76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3960" w:type="dxa"/>
            <w:tcBorders>
              <w:tl2br w:val="nil"/>
              <w:tr2bl w:val="nil"/>
            </w:tcBorders>
          </w:tcPr>
          <w:p w14:paraId="1BC14BBD">
            <w:r>
              <w:rPr>
                <w:rFonts w:hint="eastAsia"/>
              </w:rPr>
              <w:t>17~18</w:t>
            </w:r>
          </w:p>
        </w:tc>
        <w:tc>
          <w:tcPr>
            <w:tcW w:w="4567" w:type="dxa"/>
            <w:tcBorders>
              <w:tl2br w:val="nil"/>
              <w:tr2bl w:val="nil"/>
            </w:tcBorders>
          </w:tcPr>
          <w:p w14:paraId="61835E03">
            <w:r>
              <w:rPr>
                <w:rFonts w:hint="eastAsia"/>
              </w:rPr>
              <w:t>很用力</w:t>
            </w:r>
          </w:p>
        </w:tc>
      </w:tr>
      <w:tr w14:paraId="23C823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3960" w:type="dxa"/>
            <w:tcBorders>
              <w:tl2br w:val="nil"/>
              <w:tr2bl w:val="nil"/>
            </w:tcBorders>
          </w:tcPr>
          <w:p w14:paraId="175F000F">
            <w:r>
              <w:rPr>
                <w:rFonts w:hint="eastAsia"/>
              </w:rPr>
              <w:t>19~20</w:t>
            </w:r>
          </w:p>
        </w:tc>
        <w:tc>
          <w:tcPr>
            <w:tcW w:w="4567" w:type="dxa"/>
            <w:tcBorders>
              <w:tl2br w:val="nil"/>
              <w:tr2bl w:val="nil"/>
            </w:tcBorders>
          </w:tcPr>
          <w:p w14:paraId="3291F09A">
            <w:r>
              <w:rPr>
                <w:rFonts w:hint="eastAsia"/>
              </w:rPr>
              <w:t>非常非常用力</w:t>
            </w:r>
          </w:p>
        </w:tc>
      </w:tr>
    </w:tbl>
    <w:p w14:paraId="50116F58">
      <w:pPr>
        <w:jc w:val="center"/>
        <w:rPr>
          <w:color w:val="FF0000"/>
        </w:rPr>
      </w:pPr>
    </w:p>
    <w:p w14:paraId="47E96BF1">
      <w:pPr>
        <w:jc w:val="center"/>
        <w:rPr>
          <w:color w:val="000000"/>
        </w:rPr>
      </w:pPr>
      <w:r>
        <w:rPr>
          <w:rFonts w:hint="eastAsia"/>
          <w:color w:val="000000"/>
        </w:rPr>
        <w:t>表6 Ⅱ期康复运动处方建议</w:t>
      </w:r>
    </w:p>
    <w:tbl>
      <w:tblPr>
        <w:tblStyle w:val="1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5"/>
        <w:gridCol w:w="3067"/>
        <w:gridCol w:w="2429"/>
        <w:gridCol w:w="1851"/>
      </w:tblGrid>
      <w:tr w14:paraId="14F1AF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75" w:type="dxa"/>
            <w:tcBorders>
              <w:top w:val="single" w:color="auto" w:sz="12" w:space="0"/>
              <w:bottom w:val="single" w:color="auto" w:sz="4" w:space="0"/>
              <w:tl2br w:val="nil"/>
              <w:tr2bl w:val="nil"/>
            </w:tcBorders>
          </w:tcPr>
          <w:p w14:paraId="60DEE8BF">
            <w:r>
              <w:rPr>
                <w:rFonts w:hint="eastAsia"/>
              </w:rPr>
              <w:t>项目</w:t>
            </w:r>
          </w:p>
        </w:tc>
        <w:tc>
          <w:tcPr>
            <w:tcW w:w="3067" w:type="dxa"/>
            <w:tcBorders>
              <w:top w:val="single" w:color="auto" w:sz="12" w:space="0"/>
              <w:bottom w:val="single" w:color="auto" w:sz="4" w:space="0"/>
              <w:tl2br w:val="nil"/>
              <w:tr2bl w:val="nil"/>
            </w:tcBorders>
          </w:tcPr>
          <w:p w14:paraId="6293CC50">
            <w:pPr>
              <w:ind w:firstLine="420"/>
            </w:pPr>
            <w:r>
              <w:rPr>
                <w:rFonts w:hint="eastAsia"/>
              </w:rPr>
              <w:t>有氧运动</w:t>
            </w:r>
          </w:p>
        </w:tc>
        <w:tc>
          <w:tcPr>
            <w:tcW w:w="2429" w:type="dxa"/>
            <w:tcBorders>
              <w:top w:val="single" w:color="auto" w:sz="12" w:space="0"/>
              <w:bottom w:val="single" w:color="auto" w:sz="4" w:space="0"/>
              <w:tl2br w:val="nil"/>
              <w:tr2bl w:val="nil"/>
            </w:tcBorders>
          </w:tcPr>
          <w:p w14:paraId="5B120C9A">
            <w:pPr>
              <w:ind w:firstLine="420"/>
            </w:pPr>
            <w:r>
              <w:rPr>
                <w:rFonts w:hint="eastAsia"/>
              </w:rPr>
              <w:t>抗阻运动</w:t>
            </w:r>
          </w:p>
        </w:tc>
        <w:tc>
          <w:tcPr>
            <w:tcW w:w="1851" w:type="dxa"/>
            <w:tcBorders>
              <w:top w:val="single" w:color="auto" w:sz="12" w:space="0"/>
              <w:bottom w:val="single" w:color="auto" w:sz="4" w:space="0"/>
              <w:tl2br w:val="nil"/>
              <w:tr2bl w:val="nil"/>
            </w:tcBorders>
          </w:tcPr>
          <w:p w14:paraId="5E7A4D3B">
            <w:pPr>
              <w:ind w:firstLine="420"/>
            </w:pPr>
            <w:r>
              <w:rPr>
                <w:rFonts w:hint="eastAsia"/>
              </w:rPr>
              <w:t>拉伸运动</w:t>
            </w:r>
          </w:p>
        </w:tc>
      </w:tr>
      <w:tr w14:paraId="60DF13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75" w:type="dxa"/>
            <w:tcBorders>
              <w:top w:val="single" w:color="auto" w:sz="4" w:space="0"/>
            </w:tcBorders>
          </w:tcPr>
          <w:p w14:paraId="16EFE7AA">
            <w:r>
              <w:rPr>
                <w:rFonts w:hint="eastAsia"/>
              </w:rPr>
              <w:t>运动时间</w:t>
            </w:r>
          </w:p>
        </w:tc>
        <w:tc>
          <w:tcPr>
            <w:tcW w:w="3067" w:type="dxa"/>
            <w:tcBorders>
              <w:top w:val="single" w:color="auto" w:sz="4" w:space="0"/>
            </w:tcBorders>
          </w:tcPr>
          <w:p w14:paraId="0C971DDB">
            <w:r>
              <w:rPr>
                <w:rFonts w:hint="eastAsia"/>
              </w:rPr>
              <w:t>间歇性训练，每次3</w:t>
            </w:r>
            <w:r>
              <w:t>—</w:t>
            </w:r>
            <w:r>
              <w:rPr>
                <w:rFonts w:hint="eastAsia"/>
              </w:rPr>
              <w:t>5min，总时长约20</w:t>
            </w:r>
            <w:r>
              <w:t>—</w:t>
            </w:r>
            <w:r>
              <w:rPr>
                <w:rFonts w:hint="eastAsia"/>
              </w:rPr>
              <w:t>40min</w:t>
            </w:r>
          </w:p>
        </w:tc>
        <w:tc>
          <w:tcPr>
            <w:tcW w:w="2429" w:type="dxa"/>
            <w:tcBorders>
              <w:top w:val="single" w:color="auto" w:sz="4" w:space="0"/>
            </w:tcBorders>
          </w:tcPr>
          <w:p w14:paraId="1C611DC6">
            <w:r>
              <w:rPr>
                <w:rFonts w:hint="eastAsia"/>
              </w:rPr>
              <w:t>每个动作重复1-3组，总时长10</w:t>
            </w:r>
            <w:r>
              <w:t>—</w:t>
            </w:r>
            <w:r>
              <w:rPr>
                <w:rFonts w:hint="eastAsia"/>
              </w:rPr>
              <w:t>15min</w:t>
            </w:r>
          </w:p>
        </w:tc>
        <w:tc>
          <w:tcPr>
            <w:tcW w:w="1851" w:type="dxa"/>
            <w:tcBorders>
              <w:top w:val="single" w:color="auto" w:sz="4" w:space="0"/>
            </w:tcBorders>
          </w:tcPr>
          <w:p w14:paraId="54BFE5C8">
            <w:r>
              <w:rPr>
                <w:rFonts w:hint="eastAsia"/>
              </w:rPr>
              <w:t>每个动作维持15s，重复≥4次，总时长5</w:t>
            </w:r>
            <w:r>
              <w:t>—</w:t>
            </w:r>
            <w:r>
              <w:rPr>
                <w:rFonts w:hint="eastAsia"/>
              </w:rPr>
              <w:t>10min</w:t>
            </w:r>
          </w:p>
        </w:tc>
      </w:tr>
      <w:tr w14:paraId="2996F4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175" w:type="dxa"/>
            <w:tcBorders>
              <w:tl2br w:val="nil"/>
              <w:tr2bl w:val="nil"/>
            </w:tcBorders>
          </w:tcPr>
          <w:p w14:paraId="690E545B">
            <w:r>
              <w:rPr>
                <w:rFonts w:hint="eastAsia"/>
              </w:rPr>
              <w:t>运动方式</w:t>
            </w:r>
          </w:p>
        </w:tc>
        <w:tc>
          <w:tcPr>
            <w:tcW w:w="3067" w:type="dxa"/>
            <w:tcBorders>
              <w:tl2br w:val="nil"/>
              <w:tr2bl w:val="nil"/>
            </w:tcBorders>
          </w:tcPr>
          <w:p w14:paraId="65C70E88">
            <w:r>
              <w:rPr>
                <w:rFonts w:hint="eastAsia"/>
              </w:rPr>
              <w:t>上肢或下肢功率自行车、跑步机、慢走或快走、立式八段锦、易筋经十二式等</w:t>
            </w:r>
          </w:p>
        </w:tc>
        <w:tc>
          <w:tcPr>
            <w:tcW w:w="2429" w:type="dxa"/>
            <w:tcBorders>
              <w:tl2br w:val="nil"/>
              <w:tr2bl w:val="nil"/>
            </w:tcBorders>
          </w:tcPr>
          <w:p w14:paraId="208571B1">
            <w:r>
              <w:rPr>
                <w:rFonts w:hint="eastAsia"/>
              </w:rPr>
              <w:t>自身抗重力、哑铃、抗阻运动器械、弹力带等</w:t>
            </w:r>
          </w:p>
        </w:tc>
        <w:tc>
          <w:tcPr>
            <w:tcW w:w="1851" w:type="dxa"/>
            <w:tcBorders>
              <w:tl2br w:val="nil"/>
              <w:tr2bl w:val="nil"/>
            </w:tcBorders>
          </w:tcPr>
          <w:p w14:paraId="3A675790">
            <w:r>
              <w:rPr>
                <w:rFonts w:hint="eastAsia"/>
              </w:rPr>
              <w:t>大关节和主要运动肌肉静态或动态拉伸</w:t>
            </w:r>
          </w:p>
        </w:tc>
      </w:tr>
      <w:tr w14:paraId="54F5C4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175" w:type="dxa"/>
            <w:tcBorders>
              <w:tl2br w:val="nil"/>
              <w:tr2bl w:val="nil"/>
            </w:tcBorders>
          </w:tcPr>
          <w:p w14:paraId="1F41B1A1">
            <w:r>
              <w:rPr>
                <w:rFonts w:hint="eastAsia"/>
              </w:rPr>
              <w:t>运动频率</w:t>
            </w:r>
          </w:p>
        </w:tc>
        <w:tc>
          <w:tcPr>
            <w:tcW w:w="3067" w:type="dxa"/>
            <w:tcBorders>
              <w:tl2br w:val="nil"/>
              <w:tr2bl w:val="nil"/>
            </w:tcBorders>
          </w:tcPr>
          <w:p w14:paraId="364842E8">
            <w:r>
              <w:rPr>
                <w:rFonts w:hint="eastAsia"/>
              </w:rPr>
              <w:t>5d/周</w:t>
            </w:r>
          </w:p>
        </w:tc>
        <w:tc>
          <w:tcPr>
            <w:tcW w:w="2429" w:type="dxa"/>
            <w:tcBorders>
              <w:tl2br w:val="nil"/>
              <w:tr2bl w:val="nil"/>
            </w:tcBorders>
          </w:tcPr>
          <w:p w14:paraId="0D3B9AD2">
            <w:r>
              <w:rPr>
                <w:rFonts w:hint="eastAsia"/>
              </w:rPr>
              <w:t>2</w:t>
            </w:r>
            <w:r>
              <w:t>—</w:t>
            </w:r>
            <w:r>
              <w:rPr>
                <w:rFonts w:hint="eastAsia"/>
              </w:rPr>
              <w:t>3d/周，隔天1次或上下肢交替</w:t>
            </w:r>
          </w:p>
        </w:tc>
        <w:tc>
          <w:tcPr>
            <w:tcW w:w="1851" w:type="dxa"/>
            <w:tcBorders>
              <w:tl2br w:val="nil"/>
              <w:tr2bl w:val="nil"/>
            </w:tcBorders>
          </w:tcPr>
          <w:p w14:paraId="42AF2A47">
            <w:r>
              <w:rPr>
                <w:rFonts w:hint="eastAsia"/>
              </w:rPr>
              <w:t>每日</w:t>
            </w:r>
          </w:p>
        </w:tc>
      </w:tr>
      <w:tr w14:paraId="56BFF4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175" w:type="dxa"/>
            <w:tcBorders>
              <w:tl2br w:val="nil"/>
              <w:tr2bl w:val="nil"/>
            </w:tcBorders>
          </w:tcPr>
          <w:p w14:paraId="7377B381">
            <w:r>
              <w:rPr>
                <w:rFonts w:hint="eastAsia"/>
              </w:rPr>
              <w:t>运动强度</w:t>
            </w:r>
          </w:p>
        </w:tc>
        <w:tc>
          <w:tcPr>
            <w:tcW w:w="3067" w:type="dxa"/>
            <w:tcBorders>
              <w:tl2br w:val="nil"/>
              <w:tr2bl w:val="nil"/>
            </w:tcBorders>
          </w:tcPr>
          <w:p w14:paraId="522E424A">
            <w:r>
              <w:t>30%—40%</w:t>
            </w:r>
            <w:r>
              <w:rPr>
                <w:rFonts w:hint="eastAsia"/>
              </w:rPr>
              <w:t>HRR/VO</w:t>
            </w:r>
            <w:r>
              <w:rPr>
                <w:rFonts w:hint="eastAsia"/>
                <w:vertAlign w:val="subscript"/>
              </w:rPr>
              <w:t>2</w:t>
            </w:r>
            <w:r>
              <w:rPr>
                <w:rFonts w:hint="eastAsia"/>
              </w:rPr>
              <w:t>max/HRmax作为起始强度，逐渐达到</w:t>
            </w:r>
            <w:r>
              <w:t>60%—85%</w:t>
            </w:r>
            <w:r>
              <w:rPr>
                <w:rFonts w:hint="eastAsia"/>
              </w:rPr>
              <w:t>HRR/VO</w:t>
            </w:r>
            <w:r>
              <w:rPr>
                <w:rFonts w:hint="eastAsia"/>
                <w:vertAlign w:val="subscript"/>
              </w:rPr>
              <w:t>2</w:t>
            </w:r>
            <w:r>
              <w:rPr>
                <w:rFonts w:hint="eastAsia"/>
              </w:rPr>
              <w:t>max/HRmax</w:t>
            </w:r>
          </w:p>
        </w:tc>
        <w:tc>
          <w:tcPr>
            <w:tcW w:w="2429" w:type="dxa"/>
            <w:tcBorders>
              <w:tl2br w:val="nil"/>
              <w:tr2bl w:val="nil"/>
            </w:tcBorders>
          </w:tcPr>
          <w:p w14:paraId="53B1F669">
            <w:r>
              <w:rPr>
                <w:rFonts w:hint="eastAsia"/>
              </w:rPr>
              <w:t>以四肢大肌群和核心肌群训练为主，上肢：</w:t>
            </w:r>
            <w:r>
              <w:t>30%—40%</w:t>
            </w:r>
            <w:r>
              <w:rPr>
                <w:rFonts w:hint="eastAsia"/>
              </w:rPr>
              <w:t>1-RM，下肢：</w:t>
            </w:r>
            <w:r>
              <w:t>50%—60%</w:t>
            </w:r>
            <w:r>
              <w:rPr>
                <w:rFonts w:hint="eastAsia"/>
              </w:rPr>
              <w:t>1-RM，无显著疲劳感</w:t>
            </w:r>
          </w:p>
        </w:tc>
        <w:tc>
          <w:tcPr>
            <w:tcW w:w="1851" w:type="dxa"/>
            <w:tcBorders>
              <w:tl2br w:val="nil"/>
              <w:tr2bl w:val="nil"/>
            </w:tcBorders>
          </w:tcPr>
          <w:p w14:paraId="6D46F8B4">
            <w:r>
              <w:rPr>
                <w:rFonts w:hint="eastAsia"/>
              </w:rPr>
              <w:t>无显著疼痛感</w:t>
            </w:r>
          </w:p>
        </w:tc>
      </w:tr>
    </w:tbl>
    <w:p w14:paraId="1D0338EC"/>
    <w:p w14:paraId="1FAB7C2B">
      <w:pPr>
        <w:ind w:firstLine="420"/>
        <w:jc w:val="center"/>
        <w:rPr>
          <w:color w:val="000000"/>
        </w:rPr>
      </w:pPr>
      <w:r>
        <w:rPr>
          <w:rFonts w:hint="eastAsia"/>
          <w:color w:val="000000"/>
        </w:rPr>
        <w:t>表7 Ⅲ期康复运动处方建议</w:t>
      </w:r>
    </w:p>
    <w:tbl>
      <w:tblPr>
        <w:tblStyle w:val="1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5"/>
        <w:gridCol w:w="3067"/>
        <w:gridCol w:w="2429"/>
        <w:gridCol w:w="1851"/>
      </w:tblGrid>
      <w:tr w14:paraId="561423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75" w:type="dxa"/>
            <w:tcBorders>
              <w:top w:val="single" w:color="auto" w:sz="12" w:space="0"/>
              <w:bottom w:val="single" w:color="auto" w:sz="4" w:space="0"/>
              <w:tl2br w:val="nil"/>
              <w:tr2bl w:val="nil"/>
            </w:tcBorders>
          </w:tcPr>
          <w:p w14:paraId="10C74D93">
            <w:r>
              <w:rPr>
                <w:rFonts w:hint="eastAsia"/>
              </w:rPr>
              <w:t>项目</w:t>
            </w:r>
          </w:p>
        </w:tc>
        <w:tc>
          <w:tcPr>
            <w:tcW w:w="3067" w:type="dxa"/>
            <w:tcBorders>
              <w:top w:val="single" w:color="auto" w:sz="12" w:space="0"/>
              <w:bottom w:val="single" w:color="auto" w:sz="4" w:space="0"/>
              <w:tl2br w:val="nil"/>
              <w:tr2bl w:val="nil"/>
            </w:tcBorders>
          </w:tcPr>
          <w:p w14:paraId="48F7AC9C">
            <w:pPr>
              <w:ind w:firstLine="420"/>
            </w:pPr>
            <w:r>
              <w:rPr>
                <w:rFonts w:hint="eastAsia"/>
              </w:rPr>
              <w:t>有氧运动</w:t>
            </w:r>
          </w:p>
        </w:tc>
        <w:tc>
          <w:tcPr>
            <w:tcW w:w="2429" w:type="dxa"/>
            <w:tcBorders>
              <w:top w:val="single" w:color="auto" w:sz="12" w:space="0"/>
              <w:bottom w:val="single" w:color="auto" w:sz="4" w:space="0"/>
              <w:tl2br w:val="nil"/>
              <w:tr2bl w:val="nil"/>
            </w:tcBorders>
          </w:tcPr>
          <w:p w14:paraId="60A5BCF4">
            <w:pPr>
              <w:ind w:firstLine="420"/>
            </w:pPr>
            <w:r>
              <w:rPr>
                <w:rFonts w:hint="eastAsia"/>
              </w:rPr>
              <w:t>抗阻运动</w:t>
            </w:r>
          </w:p>
        </w:tc>
        <w:tc>
          <w:tcPr>
            <w:tcW w:w="1851" w:type="dxa"/>
            <w:tcBorders>
              <w:top w:val="single" w:color="auto" w:sz="12" w:space="0"/>
              <w:bottom w:val="single" w:color="auto" w:sz="4" w:space="0"/>
              <w:tl2br w:val="nil"/>
              <w:tr2bl w:val="nil"/>
            </w:tcBorders>
          </w:tcPr>
          <w:p w14:paraId="514EC624">
            <w:pPr>
              <w:ind w:firstLine="420"/>
            </w:pPr>
            <w:r>
              <w:rPr>
                <w:rFonts w:hint="eastAsia"/>
              </w:rPr>
              <w:t>拉伸运动</w:t>
            </w:r>
          </w:p>
        </w:tc>
      </w:tr>
      <w:tr w14:paraId="5E9EAA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75" w:type="dxa"/>
            <w:tcBorders>
              <w:top w:val="single" w:color="auto" w:sz="4" w:space="0"/>
            </w:tcBorders>
          </w:tcPr>
          <w:p w14:paraId="5D9C1598">
            <w:r>
              <w:rPr>
                <w:rFonts w:hint="eastAsia"/>
              </w:rPr>
              <w:t>运动时间</w:t>
            </w:r>
          </w:p>
        </w:tc>
        <w:tc>
          <w:tcPr>
            <w:tcW w:w="3067" w:type="dxa"/>
            <w:tcBorders>
              <w:top w:val="single" w:color="auto" w:sz="4" w:space="0"/>
            </w:tcBorders>
          </w:tcPr>
          <w:p w14:paraId="47F55E61">
            <w:r>
              <w:rPr>
                <w:rFonts w:hint="eastAsia"/>
              </w:rPr>
              <w:t>间歇性训练/持续训练，总时长约20</w:t>
            </w:r>
            <w:r>
              <w:t>—</w:t>
            </w:r>
            <w:r>
              <w:rPr>
                <w:rFonts w:hint="eastAsia"/>
              </w:rPr>
              <w:t>40min</w:t>
            </w:r>
          </w:p>
        </w:tc>
        <w:tc>
          <w:tcPr>
            <w:tcW w:w="2429" w:type="dxa"/>
            <w:tcBorders>
              <w:top w:val="single" w:color="auto" w:sz="4" w:space="0"/>
            </w:tcBorders>
          </w:tcPr>
          <w:p w14:paraId="2B329A3D">
            <w:r>
              <w:rPr>
                <w:rFonts w:hint="eastAsia"/>
              </w:rPr>
              <w:t>每个动作重复1-3组，总时长10</w:t>
            </w:r>
            <w:r>
              <w:t>—</w:t>
            </w:r>
            <w:r>
              <w:rPr>
                <w:rFonts w:hint="eastAsia"/>
              </w:rPr>
              <w:t>15min</w:t>
            </w:r>
          </w:p>
        </w:tc>
        <w:tc>
          <w:tcPr>
            <w:tcW w:w="1851" w:type="dxa"/>
            <w:tcBorders>
              <w:top w:val="single" w:color="auto" w:sz="4" w:space="0"/>
            </w:tcBorders>
          </w:tcPr>
          <w:p w14:paraId="4F53D852">
            <w:r>
              <w:rPr>
                <w:rFonts w:hint="eastAsia"/>
              </w:rPr>
              <w:t>每个动作维持15s，重复≥4次，总时长5</w:t>
            </w:r>
            <w:r>
              <w:t>—</w:t>
            </w:r>
            <w:r>
              <w:rPr>
                <w:rFonts w:hint="eastAsia"/>
              </w:rPr>
              <w:t>10min</w:t>
            </w:r>
          </w:p>
        </w:tc>
      </w:tr>
      <w:tr w14:paraId="606847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175" w:type="dxa"/>
            <w:tcBorders>
              <w:tl2br w:val="nil"/>
              <w:tr2bl w:val="nil"/>
            </w:tcBorders>
          </w:tcPr>
          <w:p w14:paraId="0801476E">
            <w:r>
              <w:rPr>
                <w:rFonts w:hint="eastAsia"/>
              </w:rPr>
              <w:t>运动方式</w:t>
            </w:r>
          </w:p>
        </w:tc>
        <w:tc>
          <w:tcPr>
            <w:tcW w:w="3067" w:type="dxa"/>
            <w:tcBorders>
              <w:tl2br w:val="nil"/>
              <w:tr2bl w:val="nil"/>
            </w:tcBorders>
          </w:tcPr>
          <w:p w14:paraId="341DEB87">
            <w:r>
              <w:rPr>
                <w:rFonts w:hint="eastAsia"/>
              </w:rPr>
              <w:t>上肢或下肢功率自行车、跑步机、慢走或快走、太极拳、五禽戏等</w:t>
            </w:r>
          </w:p>
        </w:tc>
        <w:tc>
          <w:tcPr>
            <w:tcW w:w="2429" w:type="dxa"/>
            <w:tcBorders>
              <w:tl2br w:val="nil"/>
              <w:tr2bl w:val="nil"/>
            </w:tcBorders>
          </w:tcPr>
          <w:p w14:paraId="7AE16618">
            <w:r>
              <w:rPr>
                <w:rFonts w:hint="eastAsia"/>
              </w:rPr>
              <w:t>自身抗重力、哑铃、抗阻运动器械、弹力带等</w:t>
            </w:r>
          </w:p>
        </w:tc>
        <w:tc>
          <w:tcPr>
            <w:tcW w:w="1851" w:type="dxa"/>
            <w:tcBorders>
              <w:tl2br w:val="nil"/>
              <w:tr2bl w:val="nil"/>
            </w:tcBorders>
          </w:tcPr>
          <w:p w14:paraId="34168E92">
            <w:r>
              <w:rPr>
                <w:rFonts w:hint="eastAsia"/>
              </w:rPr>
              <w:t>大关节和主要运动肌肉静态或动态拉伸</w:t>
            </w:r>
          </w:p>
        </w:tc>
      </w:tr>
      <w:tr w14:paraId="41B9A8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175" w:type="dxa"/>
            <w:tcBorders>
              <w:tl2br w:val="nil"/>
              <w:tr2bl w:val="nil"/>
            </w:tcBorders>
          </w:tcPr>
          <w:p w14:paraId="1B8F2973">
            <w:r>
              <w:rPr>
                <w:rFonts w:hint="eastAsia"/>
              </w:rPr>
              <w:t>运动频率</w:t>
            </w:r>
          </w:p>
        </w:tc>
        <w:tc>
          <w:tcPr>
            <w:tcW w:w="3067" w:type="dxa"/>
            <w:tcBorders>
              <w:tl2br w:val="nil"/>
              <w:tr2bl w:val="nil"/>
            </w:tcBorders>
          </w:tcPr>
          <w:p w14:paraId="5E35E017">
            <w:r>
              <w:rPr>
                <w:rFonts w:hint="eastAsia"/>
              </w:rPr>
              <w:t>2d/周基层训练，3d/周居家训练</w:t>
            </w:r>
          </w:p>
        </w:tc>
        <w:tc>
          <w:tcPr>
            <w:tcW w:w="2429" w:type="dxa"/>
            <w:tcBorders>
              <w:tl2br w:val="nil"/>
              <w:tr2bl w:val="nil"/>
            </w:tcBorders>
          </w:tcPr>
          <w:p w14:paraId="53E2BEDA">
            <w:r>
              <w:rPr>
                <w:rFonts w:hint="eastAsia"/>
              </w:rPr>
              <w:t>2</w:t>
            </w:r>
            <w:r>
              <w:t>—</w:t>
            </w:r>
            <w:r>
              <w:rPr>
                <w:rFonts w:hint="eastAsia"/>
              </w:rPr>
              <w:t>3d/周，隔天1次或上下肢交替</w:t>
            </w:r>
          </w:p>
        </w:tc>
        <w:tc>
          <w:tcPr>
            <w:tcW w:w="1851" w:type="dxa"/>
            <w:tcBorders>
              <w:tl2br w:val="nil"/>
              <w:tr2bl w:val="nil"/>
            </w:tcBorders>
          </w:tcPr>
          <w:p w14:paraId="3CC08BA2">
            <w:r>
              <w:rPr>
                <w:rFonts w:hint="eastAsia"/>
              </w:rPr>
              <w:t>每日</w:t>
            </w:r>
          </w:p>
        </w:tc>
      </w:tr>
      <w:tr w14:paraId="4BEAED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175" w:type="dxa"/>
            <w:tcBorders>
              <w:tl2br w:val="nil"/>
              <w:tr2bl w:val="nil"/>
            </w:tcBorders>
          </w:tcPr>
          <w:p w14:paraId="0A91AB12">
            <w:r>
              <w:rPr>
                <w:rFonts w:hint="eastAsia"/>
              </w:rPr>
              <w:t>运动强度</w:t>
            </w:r>
          </w:p>
        </w:tc>
        <w:tc>
          <w:tcPr>
            <w:tcW w:w="3067" w:type="dxa"/>
            <w:tcBorders>
              <w:tl2br w:val="nil"/>
              <w:tr2bl w:val="nil"/>
            </w:tcBorders>
          </w:tcPr>
          <w:p w14:paraId="115C7C67">
            <w:r>
              <w:t>50%—60%</w:t>
            </w:r>
            <w:r>
              <w:rPr>
                <w:rFonts w:hint="eastAsia"/>
              </w:rPr>
              <w:t>HRR/VO</w:t>
            </w:r>
            <w:r>
              <w:rPr>
                <w:rFonts w:hint="eastAsia"/>
                <w:vertAlign w:val="subscript"/>
              </w:rPr>
              <w:t>2</w:t>
            </w:r>
            <w:r>
              <w:rPr>
                <w:rFonts w:hint="eastAsia"/>
              </w:rPr>
              <w:t>max/HRmax作为起始强度，逐渐达到</w:t>
            </w:r>
            <w:r>
              <w:t>70%—90%</w:t>
            </w:r>
            <w:r>
              <w:rPr>
                <w:rFonts w:hint="eastAsia"/>
              </w:rPr>
              <w:t>HRR/VO</w:t>
            </w:r>
            <w:r>
              <w:rPr>
                <w:rFonts w:hint="eastAsia"/>
                <w:vertAlign w:val="subscript"/>
              </w:rPr>
              <w:t>2</w:t>
            </w:r>
            <w:r>
              <w:rPr>
                <w:rFonts w:hint="eastAsia"/>
              </w:rPr>
              <w:t>max/HRmax</w:t>
            </w:r>
          </w:p>
        </w:tc>
        <w:tc>
          <w:tcPr>
            <w:tcW w:w="2429" w:type="dxa"/>
            <w:tcBorders>
              <w:tl2br w:val="nil"/>
              <w:tr2bl w:val="nil"/>
            </w:tcBorders>
          </w:tcPr>
          <w:p w14:paraId="241D2B00">
            <w:r>
              <w:rPr>
                <w:rFonts w:hint="eastAsia"/>
              </w:rPr>
              <w:t>以四肢大肌群和核心肌群训练为主，上肢：</w:t>
            </w:r>
            <w:r>
              <w:t>50%—60%</w:t>
            </w:r>
            <w:r>
              <w:rPr>
                <w:rFonts w:hint="eastAsia"/>
              </w:rPr>
              <w:t>1-RM，下肢：</w:t>
            </w:r>
            <w:r>
              <w:t>60%—70%</w:t>
            </w:r>
            <w:r>
              <w:rPr>
                <w:rFonts w:hint="eastAsia"/>
              </w:rPr>
              <w:t>1-RM，无显著疲劳感</w:t>
            </w:r>
          </w:p>
        </w:tc>
        <w:tc>
          <w:tcPr>
            <w:tcW w:w="1851" w:type="dxa"/>
            <w:tcBorders>
              <w:tl2br w:val="nil"/>
              <w:tr2bl w:val="nil"/>
            </w:tcBorders>
          </w:tcPr>
          <w:p w14:paraId="0E075F97">
            <w:r>
              <w:rPr>
                <w:rFonts w:hint="eastAsia"/>
              </w:rPr>
              <w:t>无显著疼痛感</w:t>
            </w:r>
          </w:p>
        </w:tc>
      </w:tr>
    </w:tbl>
    <w:p w14:paraId="0EA0C388"/>
    <w:p w14:paraId="4879FB78">
      <w:pPr>
        <w:ind w:firstLine="420"/>
      </w:pPr>
      <w:r>
        <w:rPr>
          <w:rFonts w:hint="eastAsia"/>
        </w:rPr>
        <w:t>心脏康复运动处方需遵循FITT-VP原则：①运动频率</w:t>
      </w:r>
      <w:r>
        <w:t>（</w:t>
      </w:r>
      <w:r>
        <w:rPr>
          <w:rFonts w:hint="eastAsia"/>
        </w:rPr>
        <w:t>F</w:t>
      </w:r>
      <w:r>
        <w:t>）：</w:t>
      </w:r>
      <w:r>
        <w:rPr>
          <w:rFonts w:hint="eastAsia"/>
        </w:rPr>
        <w:t>每周3</w:t>
      </w:r>
      <w:r>
        <w:t>—</w:t>
      </w:r>
      <w:r>
        <w:rPr>
          <w:rFonts w:hint="eastAsia"/>
        </w:rPr>
        <w:t>5次最宜；②运动强度</w:t>
      </w:r>
      <w:r>
        <w:t>（</w:t>
      </w:r>
      <w:r>
        <w:rPr>
          <w:rFonts w:hint="eastAsia"/>
        </w:rPr>
        <w:t>I</w:t>
      </w:r>
      <w:r>
        <w:t>）：</w:t>
      </w:r>
      <w:r>
        <w:rPr>
          <w:rFonts w:hint="eastAsia"/>
        </w:rPr>
        <w:t>中等强度，通过心率储备法、无氧阈法、目标心率</w:t>
      </w:r>
      <w:r>
        <w:t>（50%—80%）</w:t>
      </w:r>
      <w:r>
        <w:rPr>
          <w:rFonts w:hint="eastAsia"/>
        </w:rPr>
        <w:t>法、自我感知劳累程度分级法</w:t>
      </w:r>
      <w:r>
        <w:t>（</w:t>
      </w:r>
      <w:r>
        <w:rPr>
          <w:rFonts w:hint="eastAsia"/>
        </w:rPr>
        <w:t>12</w:t>
      </w:r>
      <w:r>
        <w:t>—</w:t>
      </w:r>
      <w:r>
        <w:rPr>
          <w:rFonts w:hint="eastAsia"/>
        </w:rPr>
        <w:t>14分</w:t>
      </w:r>
      <w:r>
        <w:t>）</w:t>
      </w:r>
      <w:r>
        <w:rPr>
          <w:rFonts w:hint="eastAsia"/>
        </w:rPr>
        <w:t>评估运动强度；③运动种类</w:t>
      </w:r>
      <w:r>
        <w:t>（</w:t>
      </w:r>
      <w:r>
        <w:rPr>
          <w:rFonts w:hint="eastAsia"/>
        </w:rPr>
        <w:t>T</w:t>
      </w:r>
      <w:r>
        <w:t>）：</w:t>
      </w:r>
      <w:r>
        <w:rPr>
          <w:rFonts w:hint="eastAsia"/>
        </w:rPr>
        <w:t>有氧运动、抗阻运动、柔韧性运动；④运动时间</w:t>
      </w:r>
      <w:r>
        <w:t>（</w:t>
      </w:r>
      <w:r>
        <w:rPr>
          <w:rFonts w:hint="eastAsia"/>
        </w:rPr>
        <w:t>T</w:t>
      </w:r>
      <w:r>
        <w:t>）</w:t>
      </w:r>
      <w:r>
        <w:rPr>
          <w:rFonts w:hint="eastAsia"/>
        </w:rPr>
        <w:t>:30</w:t>
      </w:r>
      <w:r>
        <w:t>—</w:t>
      </w:r>
      <w:r>
        <w:rPr>
          <w:rFonts w:hint="eastAsia"/>
        </w:rPr>
        <w:t>90分钟/次，包括准备活动、训练阶段和放松运动；⑤运动量（V）：为</w:t>
      </w:r>
      <w:r>
        <w:t>达到</w:t>
      </w:r>
      <w:r>
        <w:rPr>
          <w:rFonts w:hint="eastAsia"/>
        </w:rPr>
        <w:t>最佳运动效果，运动量需根据运动能力、心肺运动耐力和/（或）心肺运动试验结果调整，直至达到预期目标为止；⑥运动进阶（P）：根据心肺功能和耐力的变化，及时进行运动强度的调整。（C级证据，弱推荐）</w:t>
      </w:r>
    </w:p>
    <w:p w14:paraId="371854CD">
      <w:pPr>
        <w:widowControl/>
        <w:ind w:firstLine="420" w:firstLineChars="200"/>
        <w:jc w:val="left"/>
      </w:pPr>
      <w:r>
        <w:rPr>
          <w:rFonts w:hint="eastAsia"/>
        </w:rPr>
        <w:t>心脏康复运动处方的制定与推荐主要参照《冠心病心脏康复基层指南（2020</w:t>
      </w:r>
      <w:r>
        <w:t>年</w:t>
      </w:r>
      <w:r>
        <w:rPr>
          <w:rFonts w:hint="eastAsia"/>
        </w:rPr>
        <w:t>）》</w:t>
      </w:r>
      <w:r>
        <w:rPr>
          <w:rStyle w:val="20"/>
          <w:rFonts w:hint="eastAsia"/>
        </w:rPr>
        <w:t>[</w:t>
      </w:r>
      <w:r>
        <w:rPr>
          <w:rStyle w:val="20"/>
          <w:rFonts w:hint="eastAsia"/>
        </w:rPr>
        <w:endnoteReference w:id="14"/>
      </w:r>
      <w:r>
        <w:rPr>
          <w:rStyle w:val="20"/>
          <w:rFonts w:hint="eastAsia"/>
        </w:rPr>
        <w:t>]</w:t>
      </w:r>
      <w:r>
        <w:rPr>
          <w:rFonts w:hint="eastAsia"/>
        </w:rPr>
        <w:t>、《冠心病患者运动治疗中国专家共识》</w:t>
      </w:r>
      <w:r>
        <w:rPr>
          <w:rStyle w:val="20"/>
          <w:rFonts w:hint="eastAsia"/>
        </w:rPr>
        <w:t>[</w:t>
      </w:r>
      <w:r>
        <w:rPr>
          <w:rStyle w:val="20"/>
          <w:rFonts w:hint="eastAsia"/>
        </w:rPr>
        <w:endnoteReference w:id="15"/>
      </w:r>
      <w:r>
        <w:rPr>
          <w:rStyle w:val="20"/>
          <w:rFonts w:hint="eastAsia"/>
        </w:rPr>
        <w:t>]</w:t>
      </w:r>
      <w:r>
        <w:rPr>
          <w:rFonts w:hint="eastAsia"/>
        </w:rPr>
        <w:t>、《冠心病康复与二级预防中国专家共识》</w:t>
      </w:r>
      <w:r>
        <w:rPr>
          <w:rStyle w:val="20"/>
          <w:rFonts w:hint="eastAsia"/>
        </w:rPr>
        <w:t>[</w:t>
      </w:r>
      <w:r>
        <w:rPr>
          <w:rStyle w:val="20"/>
          <w:rFonts w:hint="eastAsia"/>
        </w:rPr>
        <w:endnoteReference w:id="16"/>
      </w:r>
      <w:r>
        <w:rPr>
          <w:rStyle w:val="20"/>
          <w:rFonts w:hint="eastAsia"/>
        </w:rPr>
        <w:t>]</w:t>
      </w:r>
      <w:r>
        <w:rPr>
          <w:rFonts w:hint="eastAsia"/>
        </w:rPr>
        <w:t>、《慢性心力衰竭心脏康复中国专家共识》</w:t>
      </w:r>
      <w:r>
        <w:rPr>
          <w:rStyle w:val="20"/>
          <w:rFonts w:hint="eastAsia"/>
        </w:rPr>
        <w:t>[</w:t>
      </w:r>
      <w:r>
        <w:rPr>
          <w:rStyle w:val="20"/>
          <w:rFonts w:hint="eastAsia"/>
        </w:rPr>
        <w:endnoteReference w:id="17"/>
      </w:r>
      <w:r>
        <w:rPr>
          <w:rStyle w:val="20"/>
          <w:rFonts w:hint="eastAsia"/>
        </w:rPr>
        <w:t>]</w:t>
      </w:r>
      <w:r>
        <w:rPr>
          <w:rFonts w:hint="eastAsia"/>
        </w:rPr>
        <w:t>、《稳定型心绞痛运动康复中国专家共识》</w:t>
      </w:r>
      <w:r>
        <w:rPr>
          <w:rStyle w:val="20"/>
          <w:rFonts w:hint="eastAsia"/>
        </w:rPr>
        <w:t>[</w:t>
      </w:r>
      <w:r>
        <w:rPr>
          <w:rStyle w:val="20"/>
          <w:rFonts w:hint="eastAsia"/>
        </w:rPr>
        <w:endnoteReference w:id="18"/>
      </w:r>
      <w:r>
        <w:rPr>
          <w:rStyle w:val="20"/>
          <w:rFonts w:hint="eastAsia"/>
        </w:rPr>
        <w:t>]</w:t>
      </w:r>
      <w:r>
        <w:rPr>
          <w:rFonts w:hint="eastAsia"/>
        </w:rPr>
        <w:t>、《稳定性冠心病康复治疗与护理实践中国专家共识》</w:t>
      </w:r>
      <w:r>
        <w:rPr>
          <w:vertAlign w:val="superscript"/>
        </w:rPr>
        <w:t>[</w:t>
      </w:r>
      <w:r>
        <w:rPr>
          <w:rFonts w:hint="eastAsia"/>
          <w:vertAlign w:val="superscript"/>
        </w:rPr>
        <w:t>20</w:t>
      </w:r>
      <w:r>
        <w:rPr>
          <w:vertAlign w:val="superscript"/>
        </w:rPr>
        <w:t>]</w:t>
      </w:r>
      <w:r>
        <w:rPr>
          <w:rFonts w:hint="eastAsia"/>
        </w:rPr>
        <w:t>、《中国心脏康复与二级预防指南2018精要》</w:t>
      </w:r>
      <w:r>
        <w:rPr>
          <w:vertAlign w:val="superscript"/>
        </w:rPr>
        <w:t>[</w:t>
      </w:r>
      <w:r>
        <w:rPr>
          <w:rFonts w:hint="eastAsia"/>
          <w:vertAlign w:val="superscript"/>
        </w:rPr>
        <w:t>21</w:t>
      </w:r>
      <w:r>
        <w:rPr>
          <w:vertAlign w:val="superscript"/>
        </w:rPr>
        <w:t>]</w:t>
      </w:r>
      <w:r>
        <w:rPr>
          <w:rFonts w:hint="eastAsia"/>
        </w:rPr>
        <w:t>等权威指南。</w:t>
      </w:r>
    </w:p>
    <w:p w14:paraId="4188A494">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6.2 中医传统运动</w:t>
      </w:r>
    </w:p>
    <w:p w14:paraId="321E9131">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6.2.1 中医导引方法</w:t>
      </w:r>
    </w:p>
    <w:p w14:paraId="59B4CCF5">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pPr>
      <w:r>
        <w:rPr>
          <w:rFonts w:hint="eastAsia"/>
          <w:b/>
          <w:bCs/>
        </w:rPr>
        <w:t>推荐意见8：</w:t>
      </w:r>
      <w:r>
        <w:rPr>
          <w:rFonts w:hint="eastAsia"/>
        </w:rPr>
        <w:t>在心血管风险分层和运动能力评估基础上，可根据患者康复阶段、运动耐量、功能状态及个人偏好，将八段锦、六字诀、易筋经、太极拳、五禽戏等中医传统运动纳入个体化心脏康复运动处方，可与有氧、抗阻、柔韧和平衡训练组合或交替实施。传统运动的运动强度、持续时间、频率和进阶应纳入整体运动处方管理。（B级证据，强推荐）。</w:t>
      </w:r>
    </w:p>
    <w:p w14:paraId="0827A9C6">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b/>
          <w:bCs/>
        </w:rPr>
      </w:pPr>
      <w:r>
        <w:rPr>
          <w:rFonts w:hint="eastAsia"/>
          <w:b/>
          <w:bCs/>
        </w:rPr>
        <w:t>推荐意见说明：</w:t>
      </w:r>
      <w:r>
        <w:rPr>
          <w:rFonts w:hint="eastAsia"/>
        </w:rPr>
        <w:t>中医传统运动功法以“天人合一、刚柔相济、动静结合”为原则，借助“调身</w:t>
      </w:r>
      <w:r>
        <w:t>”“</w:t>
      </w:r>
      <w:r>
        <w:rPr>
          <w:rFonts w:hint="eastAsia"/>
        </w:rPr>
        <w:t>调息</w:t>
      </w:r>
      <w:r>
        <w:t>”“</w:t>
      </w:r>
      <w:r>
        <w:rPr>
          <w:rFonts w:hint="eastAsia"/>
        </w:rPr>
        <w:t>调神”的优势，疏解脏腑经络，平衡阴阳，提高身体机能。</w:t>
      </w:r>
      <w:r>
        <w:rPr>
          <w:szCs w:val="21"/>
        </w:rPr>
        <w:t>太极拳、八段锦等中医传统运动多属于低至中等强度运动，兼有肢体活动、呼吸调节和身心训练的特点。现有研究主要提示，在规范治疗和心脏康复基础上，中医传统运动可改善患者的运动耐量和日常活动能力，缓解心绞痛、呼吸困难等相关症状，并对焦虑、抑郁及健康相关生活质量具有一定改善作用。部分研究还提示，其有助于提高患者参与康复训练的依从性</w:t>
      </w:r>
      <w:r>
        <w:rPr>
          <w:rFonts w:hint="eastAsia"/>
          <w:szCs w:val="21"/>
          <w:vertAlign w:val="superscript"/>
        </w:rPr>
        <w:t>[22]</w:t>
      </w:r>
      <w:r>
        <w:rPr>
          <w:szCs w:val="21"/>
        </w:rPr>
        <w:t>。</w:t>
      </w:r>
    </w:p>
    <w:p w14:paraId="74A8D171">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6.2.2 不同康复分期适宜的中医导引方法</w:t>
      </w:r>
    </w:p>
    <w:p w14:paraId="0CCB8382">
      <w:pPr>
        <w:pageBreakBefore w:val="0"/>
        <w:widowControl w:val="0"/>
        <w:kinsoku/>
        <w:wordWrap w:val="0"/>
        <w:overflowPunct/>
        <w:topLinePunct w:val="0"/>
        <w:autoSpaceDE w:val="0"/>
        <w:autoSpaceDN/>
        <w:bidi w:val="0"/>
        <w:adjustRightInd/>
        <w:snapToGrid/>
        <w:spacing w:line="360" w:lineRule="exact"/>
        <w:ind w:firstLine="422" w:firstLineChars="200"/>
        <w:jc w:val="left"/>
        <w:textAlignment w:val="auto"/>
        <w:rPr>
          <w:b/>
          <w:bCs/>
        </w:rPr>
      </w:pPr>
      <w:r>
        <w:rPr>
          <w:rFonts w:hint="eastAsia"/>
          <w:b/>
          <w:bCs/>
        </w:rPr>
        <w:t>推荐意见9：</w:t>
      </w:r>
      <w:r>
        <w:rPr>
          <w:rFonts w:hint="eastAsia" w:ascii="宋体" w:hAnsi="宋体"/>
          <w:szCs w:val="21"/>
        </w:rPr>
        <w:t>中医传统运动的选择应与心脏康复分期和运动能力相匹配。Ⅰ期病情稳定、活动能力受限者可选择坐式八段锦、六字诀等低强度形式；Ⅱ期可根据运动耐量选择立式八段锦、易筋经等，并与常规有氧及抗阻训练组合；Ⅲ期可根据长期运动目标和患者偏好选择太极拳、五禽戏等传统运动，作为长期运动处方的组成部分。具体运动强度和进阶应结合心率、RPE及运动能力评估进行调整（B级证据，强推荐）</w:t>
      </w:r>
    </w:p>
    <w:p w14:paraId="4774E1CF">
      <w:pPr>
        <w:pageBreakBefore w:val="0"/>
        <w:widowControl w:val="0"/>
        <w:kinsoku/>
        <w:overflowPunct/>
        <w:topLinePunct w:val="0"/>
        <w:autoSpaceDN/>
        <w:bidi w:val="0"/>
        <w:adjustRightInd/>
        <w:snapToGrid/>
        <w:spacing w:line="360" w:lineRule="exact"/>
        <w:ind w:firstLine="422" w:firstLineChars="200"/>
        <w:textAlignment w:val="auto"/>
        <w:rPr>
          <w:color w:val="000000"/>
        </w:rPr>
      </w:pPr>
      <w:r>
        <w:rPr>
          <w:rFonts w:hint="eastAsia"/>
          <w:b/>
          <w:bCs/>
        </w:rPr>
        <w:t>推荐意见说明：</w:t>
      </w:r>
      <w:r>
        <w:rPr>
          <w:rFonts w:hint="eastAsia"/>
        </w:rPr>
        <w:t>八段锦是中国传统养生功法</w:t>
      </w:r>
      <w:r>
        <w:rPr>
          <w:rFonts w:hint="eastAsia"/>
          <w:color w:val="000000"/>
        </w:rPr>
        <w:t>之一，分为立式与坐式，其动作“柔和缓慢、圆活连贯，松紧结合、动静相兼”，为中低强度的有氧运动，在锻炼过程中追求神、气、形的统一，强调动中求静、动静相兼的内核，</w:t>
      </w:r>
      <w:r>
        <w:rPr>
          <w:color w:val="000000"/>
        </w:rPr>
        <w:t>可根据患者病情稳定程度、运动能力及康复阶段纳入个体化运动处方</w:t>
      </w:r>
      <w:r>
        <w:rPr>
          <w:rFonts w:hint="eastAsia"/>
          <w:color w:val="000000"/>
        </w:rPr>
        <w:t>。</w:t>
      </w:r>
    </w:p>
    <w:p w14:paraId="6A07A314">
      <w:pPr>
        <w:pageBreakBefore w:val="0"/>
        <w:widowControl w:val="0"/>
        <w:kinsoku/>
        <w:overflowPunct/>
        <w:topLinePunct w:val="0"/>
        <w:autoSpaceDN/>
        <w:bidi w:val="0"/>
        <w:adjustRightInd/>
        <w:snapToGrid/>
        <w:spacing w:line="360" w:lineRule="exact"/>
        <w:ind w:firstLine="420" w:firstLineChars="200"/>
        <w:textAlignment w:val="auto"/>
        <w:rPr>
          <w:rFonts w:hint="eastAsia" w:ascii="宋体" w:hAnsi="宋体"/>
          <w:color w:val="000000"/>
          <w:szCs w:val="21"/>
        </w:rPr>
      </w:pPr>
      <w:r>
        <w:rPr>
          <w:rFonts w:ascii="宋体" w:hAnsi="宋体"/>
          <w:color w:val="000000"/>
          <w:szCs w:val="21"/>
        </w:rPr>
        <w:t>I</w:t>
      </w:r>
      <w:r>
        <w:rPr>
          <w:rFonts w:hint="eastAsia" w:ascii="宋体" w:hAnsi="宋体"/>
          <w:color w:val="000000"/>
          <w:szCs w:val="21"/>
        </w:rPr>
        <w:t>期康复推荐使用坐式八段锦、六字诀。</w:t>
      </w:r>
    </w:p>
    <w:p w14:paraId="42083126">
      <w:pPr>
        <w:pageBreakBefore w:val="0"/>
        <w:widowControl w:val="0"/>
        <w:kinsoku/>
        <w:overflowPunct/>
        <w:topLinePunct w:val="0"/>
        <w:autoSpaceDN/>
        <w:bidi w:val="0"/>
        <w:adjustRightInd/>
        <w:snapToGrid/>
        <w:spacing w:line="360" w:lineRule="exact"/>
        <w:ind w:firstLine="420" w:firstLineChars="200"/>
        <w:textAlignment w:val="auto"/>
        <w:rPr>
          <w:color w:val="000000"/>
        </w:rPr>
      </w:pPr>
      <w:r>
        <w:rPr>
          <w:rFonts w:hint="eastAsia"/>
          <w:color w:val="000000"/>
        </w:rPr>
        <w:t>坐式八段锦为传统八段锦的改良版本，强度较低，适用于冠心病康复</w:t>
      </w:r>
      <w:r>
        <w:rPr>
          <w:rFonts w:cs="Times New Roman"/>
          <w:color w:val="000000"/>
          <w:szCs w:val="21"/>
        </w:rPr>
        <w:t>I</w:t>
      </w:r>
      <w:r>
        <w:rPr>
          <w:rFonts w:hint="eastAsia" w:cs="Times New Roman"/>
          <w:color w:val="000000"/>
          <w:szCs w:val="21"/>
        </w:rPr>
        <w:t>期、身体活动受限或无法负担立式八段锦运动强度的患者</w:t>
      </w:r>
      <w:r>
        <w:rPr>
          <w:rFonts w:hint="eastAsia"/>
          <w:color w:val="000000"/>
        </w:rPr>
        <w:t>，动作易学易练</w:t>
      </w:r>
      <w:r>
        <w:rPr>
          <w:color w:val="000000"/>
        </w:rPr>
        <w:t>，</w:t>
      </w:r>
      <w:r>
        <w:rPr>
          <w:rFonts w:hint="eastAsia"/>
          <w:color w:val="000000"/>
        </w:rPr>
        <w:t>柔和、自然</w:t>
      </w:r>
      <w:r>
        <w:rPr>
          <w:color w:val="000000"/>
        </w:rPr>
        <w:t>，</w:t>
      </w:r>
      <w:r>
        <w:rPr>
          <w:rFonts w:hint="eastAsia"/>
          <w:color w:val="000000"/>
        </w:rPr>
        <w:t>顺畅</w:t>
      </w:r>
      <w:r>
        <w:rPr>
          <w:color w:val="000000"/>
        </w:rPr>
        <w:t>，</w:t>
      </w:r>
      <w:r>
        <w:rPr>
          <w:rFonts w:hint="eastAsia"/>
          <w:color w:val="000000"/>
        </w:rPr>
        <w:t>形神兼备</w:t>
      </w:r>
      <w:r>
        <w:rPr>
          <w:color w:val="000000"/>
        </w:rPr>
        <w:t>，坐式八段锦、六字诀运动强度较低，可根据患者活动能力和运动耐量用于Ⅰ期康复，现有研究提示其有助于改善患者活动能力和焦虑状态。</w:t>
      </w:r>
    </w:p>
    <w:p w14:paraId="4F525472">
      <w:pPr>
        <w:pageBreakBefore w:val="0"/>
        <w:widowControl w:val="0"/>
        <w:kinsoku/>
        <w:overflowPunct/>
        <w:topLinePunct w:val="0"/>
        <w:autoSpaceDN/>
        <w:bidi w:val="0"/>
        <w:adjustRightInd/>
        <w:snapToGrid/>
        <w:spacing w:line="360" w:lineRule="exact"/>
        <w:ind w:firstLine="420" w:firstLineChars="200"/>
        <w:textAlignment w:val="auto"/>
        <w:rPr>
          <w:color w:val="000000"/>
        </w:rPr>
      </w:pPr>
      <w:r>
        <w:rPr>
          <w:color w:val="000000"/>
        </w:rPr>
        <w:t>一项纳入120例首次PCI患者的随机对照研究显示，在常规护理基础上联合坐式八段锦后，患者日常生活能力、焦虑状态及住院满意度有所改善，平均住院时间亦缩短（P&lt;0.01）</w:t>
      </w:r>
      <w:r>
        <w:rPr>
          <w:rStyle w:val="20"/>
          <w:color w:val="000000"/>
        </w:rPr>
        <w:t>[</w:t>
      </w:r>
      <w:r>
        <w:rPr>
          <w:rFonts w:hint="eastAsia"/>
          <w:color w:val="000000"/>
          <w:vertAlign w:val="superscript"/>
        </w:rPr>
        <w:t>23</w:t>
      </w:r>
      <w:r>
        <w:rPr>
          <w:rStyle w:val="20"/>
          <w:color w:val="000000"/>
        </w:rPr>
        <w:t>]</w:t>
      </w:r>
      <w:r>
        <w:rPr>
          <w:color w:val="000000"/>
        </w:rPr>
        <w:t>。</w:t>
      </w:r>
    </w:p>
    <w:p w14:paraId="1B5A31FE">
      <w:pPr>
        <w:pageBreakBefore w:val="0"/>
        <w:widowControl w:val="0"/>
        <w:kinsoku/>
        <w:overflowPunct/>
        <w:topLinePunct w:val="0"/>
        <w:autoSpaceDN/>
        <w:bidi w:val="0"/>
        <w:adjustRightInd/>
        <w:snapToGrid/>
        <w:spacing w:line="360" w:lineRule="exact"/>
        <w:ind w:firstLine="420" w:firstLineChars="200"/>
        <w:textAlignment w:val="auto"/>
        <w:rPr>
          <w:color w:val="000000"/>
        </w:rPr>
      </w:pPr>
      <w:r>
        <w:rPr>
          <w:rFonts w:hint="eastAsia"/>
        </w:rPr>
        <w:t xml:space="preserve"> </w:t>
      </w:r>
      <w:r>
        <w:t>另一项纳入110例PCI术后患者的研究亦提示其可改善焦虑、抑郁状态</w:t>
      </w:r>
      <w:r>
        <w:rPr>
          <w:rStyle w:val="20"/>
        </w:rPr>
        <w:t>[</w:t>
      </w:r>
      <w:r>
        <w:rPr>
          <w:rFonts w:hint="eastAsia"/>
          <w:vertAlign w:val="superscript"/>
        </w:rPr>
        <w:t>24</w:t>
      </w:r>
      <w:r>
        <w:rPr>
          <w:rStyle w:val="20"/>
        </w:rPr>
        <w:t>]</w:t>
      </w:r>
      <w:r>
        <w:rPr>
          <w:rFonts w:hint="eastAsia"/>
        </w:rPr>
        <w:t>。</w:t>
      </w:r>
    </w:p>
    <w:p w14:paraId="7029F3BD">
      <w:pPr>
        <w:pageBreakBefore w:val="0"/>
        <w:widowControl w:val="0"/>
        <w:kinsoku/>
        <w:overflowPunct/>
        <w:topLinePunct w:val="0"/>
        <w:autoSpaceDN/>
        <w:bidi w:val="0"/>
        <w:adjustRightInd/>
        <w:snapToGrid/>
        <w:spacing w:line="360" w:lineRule="exact"/>
        <w:ind w:firstLine="420" w:firstLineChars="200"/>
        <w:textAlignment w:val="auto"/>
        <w:rPr>
          <w:rFonts w:hint="eastAsia" w:ascii="宋体" w:hAnsi="宋体"/>
          <w:szCs w:val="21"/>
        </w:rPr>
      </w:pPr>
      <w:r>
        <w:rPr>
          <w:rFonts w:hint="eastAsia"/>
          <w:color w:val="000000"/>
        </w:rPr>
        <w:t>六字诀通过特定的呼吸吐纳方法，结合“嘘、呵、呼、呬、吹、嘻”六个字的发音来刺激对应的脏腑，使各脏器协调运转</w:t>
      </w:r>
      <w:r>
        <w:rPr>
          <w:color w:val="000000"/>
        </w:rPr>
        <w:t>，</w:t>
      </w:r>
      <w:r>
        <w:rPr>
          <w:rFonts w:hint="eastAsia"/>
          <w:color w:val="000000"/>
        </w:rPr>
        <w:t>调和气血、平衡阴阳。</w:t>
      </w:r>
      <w:r>
        <w:rPr>
          <w:rFonts w:ascii="宋体" w:hAnsi="宋体"/>
          <w:color w:val="000000"/>
          <w:szCs w:val="21"/>
        </w:rPr>
        <w:t>六字</w:t>
      </w:r>
      <w:r>
        <w:rPr>
          <w:rFonts w:ascii="宋体" w:hAnsi="宋体"/>
          <w:szCs w:val="21"/>
        </w:rPr>
        <w:t>诀联合抗阻训练能够显著改善患者的心肺功能、运动耐力、生活质量以及心理健康。一项纳入134例老年稳定期冠心病患者的随机对照研究显示，与常规功能锻炼相比，六字诀联合抗阻训练可改善心肺功能，并提高峰值摄氧量（VO</w:t>
      </w:r>
      <w:r>
        <w:rPr>
          <w:rFonts w:ascii="Cambria Math" w:hAnsi="Cambria Math" w:cs="Cambria Math"/>
          <w:szCs w:val="21"/>
        </w:rPr>
        <w:t>₂</w:t>
      </w:r>
      <w:r>
        <w:rPr>
          <w:rFonts w:ascii="宋体" w:hAnsi="宋体"/>
          <w:szCs w:val="21"/>
        </w:rPr>
        <w:t>peak）和无氧代谢阈值摄氧量（VO</w:t>
      </w:r>
      <w:r>
        <w:rPr>
          <w:rFonts w:ascii="Cambria Math" w:hAnsi="Cambria Math" w:cs="Cambria Math"/>
          <w:szCs w:val="21"/>
        </w:rPr>
        <w:t>₂</w:t>
      </w:r>
      <w:r>
        <w:rPr>
          <w:rFonts w:ascii="宋体" w:hAnsi="宋体"/>
          <w:szCs w:val="21"/>
        </w:rPr>
        <w:t>AT）（P&lt;0.05）</w:t>
      </w:r>
      <w:r>
        <w:rPr>
          <w:rFonts w:hint="eastAsia" w:ascii="宋体" w:hAnsi="宋体"/>
          <w:szCs w:val="21"/>
          <w:vertAlign w:val="superscript"/>
        </w:rPr>
        <w:t>[25]</w:t>
      </w:r>
      <w:r>
        <w:rPr>
          <w:rFonts w:hint="eastAsia" w:ascii="宋体" w:hAnsi="宋体"/>
          <w:szCs w:val="21"/>
        </w:rPr>
        <w:t>。</w:t>
      </w:r>
    </w:p>
    <w:p w14:paraId="7459186B">
      <w:pPr>
        <w:pageBreakBefore w:val="0"/>
        <w:widowControl w:val="0"/>
        <w:kinsoku/>
        <w:overflowPunct/>
        <w:topLinePunct w:val="0"/>
        <w:autoSpaceDN/>
        <w:bidi w:val="0"/>
        <w:adjustRightInd/>
        <w:snapToGrid/>
        <w:spacing w:line="360" w:lineRule="exact"/>
        <w:ind w:firstLine="420" w:firstLineChars="200"/>
        <w:textAlignment w:val="auto"/>
        <w:rPr>
          <w:rFonts w:hint="eastAsia" w:ascii="宋体" w:hAnsi="宋体"/>
          <w:szCs w:val="21"/>
        </w:rPr>
      </w:pPr>
      <w:r>
        <w:rPr>
          <w:rFonts w:ascii="宋体" w:hAnsi="宋体"/>
          <w:szCs w:val="21"/>
        </w:rPr>
        <w:t>另一项纳入70例稳定型心绞痛患者的研究显示，该方案可延长6 min步行距离，改善SAQ及生活质量评分，减少心绞痛发作时间和频率，并改善呼吸困难及焦虑症状（均P&lt;0.05）</w:t>
      </w:r>
    </w:p>
    <w:p w14:paraId="14788F00">
      <w:pPr>
        <w:pageBreakBefore w:val="0"/>
        <w:widowControl w:val="0"/>
        <w:kinsoku/>
        <w:overflowPunct/>
        <w:topLinePunct w:val="0"/>
        <w:autoSpaceDN/>
        <w:bidi w:val="0"/>
        <w:adjustRightInd/>
        <w:snapToGrid/>
        <w:spacing w:line="360" w:lineRule="exact"/>
        <w:ind w:firstLine="420" w:firstLineChars="200"/>
        <w:textAlignment w:val="auto"/>
        <w:rPr>
          <w:rFonts w:hint="eastAsia" w:ascii="宋体" w:hAnsi="宋体"/>
          <w:szCs w:val="21"/>
        </w:rPr>
      </w:pPr>
      <w:r>
        <w:t xml:space="preserve"> 此外，一项纳入68例冠心病合并抑郁状态患者的随机对照研究显示，在常规治疗和护理基础上进行2周六字诀锻炼后，患者HAMD评分低于对照组（9.56±3.96 vs. 13.43±4.37，P&lt;0.05），SAQ中躯体活动受限、心绞痛稳定状态、发作情况及治疗满意度等维度亦有所改善</w:t>
      </w:r>
      <w:r>
        <w:rPr>
          <w:rFonts w:hint="eastAsia"/>
          <w:vertAlign w:val="superscript"/>
        </w:rPr>
        <w:t>[26]</w:t>
      </w:r>
      <w:r>
        <w:t>。</w:t>
      </w:r>
    </w:p>
    <w:p w14:paraId="7012B7DB">
      <w:pPr>
        <w:pageBreakBefore w:val="0"/>
        <w:widowControl w:val="0"/>
        <w:kinsoku/>
        <w:overflowPunct/>
        <w:topLinePunct w:val="0"/>
        <w:autoSpaceDN/>
        <w:bidi w:val="0"/>
        <w:adjustRightInd/>
        <w:snapToGrid/>
        <w:spacing w:line="360" w:lineRule="exact"/>
        <w:ind w:firstLine="420" w:firstLineChars="200"/>
        <w:textAlignment w:val="auto"/>
        <w:rPr>
          <w:rFonts w:hint="eastAsia" w:ascii="宋体" w:hAnsi="宋体"/>
          <w:szCs w:val="21"/>
        </w:rPr>
      </w:pPr>
      <w:r>
        <w:rPr>
          <w:rFonts w:cs="Times New Roman"/>
          <w:szCs w:val="21"/>
        </w:rPr>
        <w:t>Ⅱ期</w:t>
      </w:r>
      <w:r>
        <w:rPr>
          <w:rFonts w:hint="eastAsia" w:ascii="宋体" w:hAnsi="宋体"/>
          <w:szCs w:val="21"/>
        </w:rPr>
        <w:t>康复推荐使用立式八段锦、易筋经十二式。</w:t>
      </w:r>
    </w:p>
    <w:p w14:paraId="192449FE">
      <w:pPr>
        <w:pageBreakBefore w:val="0"/>
        <w:widowControl w:val="0"/>
        <w:kinsoku/>
        <w:overflowPunct/>
        <w:topLinePunct w:val="0"/>
        <w:autoSpaceDN/>
        <w:bidi w:val="0"/>
        <w:adjustRightInd/>
        <w:snapToGrid/>
        <w:spacing w:line="360" w:lineRule="exact"/>
        <w:ind w:firstLine="420" w:firstLineChars="200"/>
        <w:textAlignment w:val="auto"/>
      </w:pPr>
      <w:r>
        <w:rPr>
          <w:rFonts w:ascii="宋体" w:hAnsi="宋体"/>
          <w:szCs w:val="21"/>
        </w:rPr>
        <w:t>一项纳入11项随机对照试验、共994例患者的Meta分析显示，在常规康复基础上联合八段锦可改善PCI术后部分心功能指标，其中急性心肌梗死PCI术后患者LVEF提高3.32个百分点（MD=3.32，95%CI 1.60～5.04）</w:t>
      </w:r>
      <w:r>
        <w:rPr>
          <w:rStyle w:val="20"/>
          <w:rFonts w:ascii="宋体" w:hAnsi="宋体"/>
          <w:szCs w:val="21"/>
        </w:rPr>
        <w:t>[</w:t>
      </w:r>
      <w:r>
        <w:rPr>
          <w:rFonts w:hint="eastAsia" w:ascii="宋体" w:hAnsi="宋体"/>
          <w:szCs w:val="21"/>
          <w:vertAlign w:val="superscript"/>
        </w:rPr>
        <w:t>27</w:t>
      </w:r>
      <w:r>
        <w:rPr>
          <w:rStyle w:val="20"/>
          <w:rFonts w:ascii="宋体" w:hAnsi="宋体"/>
          <w:szCs w:val="21"/>
        </w:rPr>
        <w:t>]</w:t>
      </w:r>
      <w:r>
        <w:rPr>
          <w:rFonts w:ascii="宋体" w:hAnsi="宋体"/>
          <w:szCs w:val="21"/>
        </w:rPr>
        <w:t>。</w:t>
      </w:r>
      <w:r>
        <w:t>但由于纳入研究样本量、随访时间及方法学质量的限制，目前对MACE、再住院和死亡等硬终点的影响尚不能作出确定判断。</w:t>
      </w:r>
    </w:p>
    <w:p w14:paraId="20374B73">
      <w:pPr>
        <w:pageBreakBefore w:val="0"/>
        <w:widowControl w:val="0"/>
        <w:kinsoku/>
        <w:overflowPunct/>
        <w:topLinePunct w:val="0"/>
        <w:autoSpaceDN/>
        <w:bidi w:val="0"/>
        <w:adjustRightInd/>
        <w:snapToGrid/>
        <w:spacing w:line="360" w:lineRule="exact"/>
        <w:ind w:firstLine="420" w:firstLineChars="200"/>
        <w:textAlignment w:val="auto"/>
        <w:rPr>
          <w:rFonts w:hint="eastAsia" w:ascii="宋体" w:hAnsi="宋体"/>
          <w:szCs w:val="21"/>
        </w:rPr>
      </w:pPr>
      <w:r>
        <w:rPr>
          <w:rFonts w:cs="Times New Roman"/>
          <w:szCs w:val="21"/>
        </w:rPr>
        <w:t>Ⅲ期</w:t>
      </w:r>
      <w:r>
        <w:rPr>
          <w:rFonts w:hint="eastAsia" w:ascii="宋体" w:hAnsi="宋体"/>
          <w:szCs w:val="21"/>
        </w:rPr>
        <w:t>康复推荐使用太极拳、五禽戏。</w:t>
      </w:r>
    </w:p>
    <w:p w14:paraId="04563AC5">
      <w:pPr>
        <w:pageBreakBefore w:val="0"/>
        <w:widowControl w:val="0"/>
        <w:kinsoku/>
        <w:overflowPunct/>
        <w:topLinePunct w:val="0"/>
        <w:autoSpaceDN/>
        <w:bidi w:val="0"/>
        <w:adjustRightInd/>
        <w:snapToGrid/>
        <w:spacing w:line="360" w:lineRule="exact"/>
        <w:ind w:firstLine="420" w:firstLineChars="200"/>
        <w:textAlignment w:val="auto"/>
      </w:pPr>
      <w:r>
        <w:t>Ⅲ期康复强调长期运动维持，可根据患者运动能力和个人偏好选择太极拳、五禽戏等传统运动。</w:t>
      </w:r>
      <w:r>
        <w:rPr>
          <w:rFonts w:hint="eastAsia"/>
        </w:rPr>
        <w:t>太极拳是一种以身体意识、冥想以及控制呼吸相结合的低强度的有氧运动，能够有效作用于脏腑，疏通经络、调和气血、濡养筋骨，活动强度比其他功法略高，能有效</w:t>
      </w:r>
      <w:r>
        <w:t>地</w:t>
      </w:r>
      <w:r>
        <w:rPr>
          <w:rFonts w:hint="eastAsia"/>
        </w:rPr>
        <w:t>提升患者的运动能力。</w:t>
      </w:r>
    </w:p>
    <w:p w14:paraId="1512EEA7">
      <w:pPr>
        <w:pageBreakBefore w:val="0"/>
        <w:widowControl w:val="0"/>
        <w:kinsoku/>
        <w:overflowPunct/>
        <w:topLinePunct w:val="0"/>
        <w:autoSpaceDN/>
        <w:bidi w:val="0"/>
        <w:adjustRightInd/>
        <w:snapToGrid/>
        <w:spacing w:line="360" w:lineRule="exact"/>
        <w:ind w:firstLine="420" w:firstLineChars="200"/>
        <w:textAlignment w:val="auto"/>
      </w:pPr>
      <w:r>
        <w:rPr>
          <w:rFonts w:hint="eastAsia"/>
        </w:rPr>
        <w:t xml:space="preserve"> </w:t>
      </w:r>
      <w:r>
        <w:t>一项纳入20项随机对照试验、2095例冠心病患者的Meta分析显示，太极拳可改善运动能力，其中6 min步行距离增加56.40 m（MD=56.40，95%CI 38.50～74.29），VO₂max亦有所提高（SMD=0.57，95%CI 0.12～1.03</w:t>
      </w:r>
      <w:r>
        <w:rPr>
          <w:rStyle w:val="20"/>
          <w:vertAlign w:val="baseline"/>
        </w:rPr>
        <w:t xml:space="preserve"> </w:t>
      </w:r>
      <w:r>
        <w:rPr>
          <w:rStyle w:val="20"/>
        </w:rPr>
        <w:t>[</w:t>
      </w:r>
      <w:r>
        <w:rPr>
          <w:rFonts w:hint="eastAsia"/>
          <w:vertAlign w:val="superscript"/>
        </w:rPr>
        <w:t>28</w:t>
      </w:r>
      <w:r>
        <w:rPr>
          <w:rStyle w:val="20"/>
        </w:rPr>
        <w:t>]</w:t>
      </w:r>
      <w:r>
        <w:rPr>
          <w:rFonts w:hint="eastAsia"/>
        </w:rPr>
        <w:t>。</w:t>
      </w:r>
      <w:r>
        <w:t>另一项系统评价和Meta分析提示，太极拳还可改善焦虑、抑郁状态及健康相关生活质量现有研究提示，太极拳</w:t>
      </w:r>
      <w:r>
        <w:rPr>
          <w:rFonts w:hint="eastAsia"/>
        </w:rPr>
        <w:t>能提升患者</w:t>
      </w:r>
      <w:r>
        <w:t>运动耐量</w:t>
      </w:r>
      <w:r>
        <w:rPr>
          <w:rFonts w:hint="eastAsia"/>
        </w:rPr>
        <w:t>，降低患者的焦虑水平</w:t>
      </w:r>
      <w:r>
        <w:t>（</w:t>
      </w:r>
      <w:r>
        <w:rPr>
          <w:rFonts w:hint="eastAsia"/>
        </w:rPr>
        <w:t>SMD-9.28:95%CI:17.46-1.10;P-0.03</w:t>
      </w:r>
      <w:r>
        <w:t>）</w:t>
      </w:r>
      <w:r>
        <w:rPr>
          <w:rFonts w:hint="eastAsia"/>
        </w:rPr>
        <w:t>和抑郁水平</w:t>
      </w:r>
      <w:r>
        <w:t>（</w:t>
      </w:r>
      <w:r>
        <w:rPr>
          <w:rFonts w:hint="eastAsia"/>
        </w:rPr>
        <w:t>SMD-9.42;95%CI:13.59-5.26;P&lt;0.001</w:t>
      </w:r>
      <w:r>
        <w:t>）</w:t>
      </w:r>
      <w:r>
        <w:rPr>
          <w:rFonts w:hint="eastAsia"/>
        </w:rPr>
        <w:t>，还</w:t>
      </w:r>
      <w:r>
        <w:t>能为</w:t>
      </w:r>
      <w:r>
        <w:rPr>
          <w:rFonts w:hint="eastAsia"/>
        </w:rPr>
        <w:t>患者</w:t>
      </w:r>
      <w:r>
        <w:t>提高生活质量</w:t>
      </w:r>
      <w:r>
        <w:rPr>
          <w:rFonts w:hint="eastAsia"/>
        </w:rPr>
        <w:t>。</w:t>
      </w:r>
      <w:r>
        <w:rPr>
          <w:rStyle w:val="20"/>
        </w:rPr>
        <w:t>[</w:t>
      </w:r>
      <w:r>
        <w:rPr>
          <w:rFonts w:hint="eastAsia"/>
          <w:vertAlign w:val="superscript"/>
        </w:rPr>
        <w:t>29]</w:t>
      </w:r>
    </w:p>
    <w:p w14:paraId="125A3CBC">
      <w:pPr>
        <w:pageBreakBefore w:val="0"/>
        <w:widowControl w:val="0"/>
        <w:kinsoku/>
        <w:overflowPunct/>
        <w:topLinePunct w:val="0"/>
        <w:autoSpaceDN/>
        <w:bidi w:val="0"/>
        <w:adjustRightInd/>
        <w:snapToGrid/>
        <w:spacing w:line="360" w:lineRule="exact"/>
        <w:ind w:firstLine="420" w:firstLineChars="200"/>
        <w:textAlignment w:val="auto"/>
      </w:pPr>
      <w:r>
        <w:t>一项纳入144例冠心病PCI术后患者的研究显示，与单纯Ⅱ期心脏康复相比，联合五禽戏后患者6MWD、LVEF、焦虑抑郁评分及SF-36评分有所改善，心脏康复依从率亦有所提高</w:t>
      </w:r>
      <w:r>
        <w:rPr>
          <w:rStyle w:val="20"/>
        </w:rPr>
        <w:t>[</w:t>
      </w:r>
      <w:r>
        <w:rPr>
          <w:rFonts w:hint="eastAsia"/>
          <w:vertAlign w:val="superscript"/>
        </w:rPr>
        <w:t>30</w:t>
      </w:r>
      <w:r>
        <w:rPr>
          <w:rStyle w:val="20"/>
        </w:rPr>
        <w:t>]</w:t>
      </w:r>
      <w:r>
        <w:rPr>
          <w:rFonts w:hint="eastAsia"/>
        </w:rPr>
        <w:t>。</w:t>
      </w:r>
      <w:r>
        <w:t>总体来看，现有研究对中医传统运动的支持主要集中在运动能力、症状、心理状态和生活质量等康复相关结局，部分研究还提示可提高康复依从性。由于现有研究样本量和随访时间总体有限，其对主要心血管不良事件、再住院和死亡等远期结局的影响仍需进一步研究。</w:t>
      </w:r>
    </w:p>
    <w:p w14:paraId="6C283C27">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6.3运动安全监测与不良事件处理</w:t>
      </w:r>
    </w:p>
    <w:p w14:paraId="2FF4E4FD">
      <w:pPr>
        <w:pageBreakBefore w:val="0"/>
        <w:widowControl w:val="0"/>
        <w:kinsoku/>
        <w:overflowPunct/>
        <w:topLinePunct w:val="0"/>
        <w:autoSpaceDN/>
        <w:bidi w:val="0"/>
        <w:adjustRightInd/>
        <w:snapToGrid/>
        <w:spacing w:line="360" w:lineRule="exact"/>
        <w:ind w:firstLine="420" w:firstLineChars="200"/>
        <w:textAlignment w:val="auto"/>
      </w:pPr>
      <w:r>
        <w:t>运动训练前应评估患者症状、静息心率和心律、血压，必要时监测血氧饱和度；运动过程中根据危险分层监测心率、血压、血氧饱和度、自感劳累程度（RPE）及相关症状。中危患者根据临床情况实施医学监护，高危患者应加强心电、血压及血氧等监测。运动结束后应观察心率、血压及症状的恢复情况。</w:t>
      </w:r>
    </w:p>
    <w:p w14:paraId="1A9DC29B">
      <w:pPr>
        <w:pageBreakBefore w:val="0"/>
        <w:widowControl w:val="0"/>
        <w:kinsoku/>
        <w:overflowPunct/>
        <w:topLinePunct w:val="0"/>
        <w:autoSpaceDN/>
        <w:bidi w:val="0"/>
        <w:adjustRightInd/>
        <w:snapToGrid/>
        <w:spacing w:line="360" w:lineRule="exact"/>
        <w:ind w:firstLine="420" w:firstLineChars="200"/>
        <w:textAlignment w:val="auto"/>
      </w:pPr>
      <w:r>
        <w:t>运动过程中如出现胸痛、明显呼吸困难、头晕或近晕厥、严重心律失常、异常血压反应或心肌缺血相关心电改变，应立即停止训练并进行医学评估，必要时给予急救处理。运动相关不良事件应记录运动内容及强度、主要症状、相关监测结果、处理经过和转归，并按医疗机构有关规定报告。患者病情稳定后应重新评估危险分层和运动耐量，根据评估结果调整运动处方及监护方式后再恢复训练。</w:t>
      </w:r>
    </w:p>
    <w:p w14:paraId="2AD8B763">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7.中医药辅助干预</w:t>
      </w:r>
    </w:p>
    <w:p w14:paraId="3C20B663">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7.1 冠心病的中医证型及推荐用药</w:t>
      </w:r>
    </w:p>
    <w:p w14:paraId="4E01D5E5">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 xml:space="preserve">7.1.1 慢性冠脉综合征的中医证型及推荐用药 </w:t>
      </w:r>
    </w:p>
    <w:p w14:paraId="3CD50268">
      <w:pPr>
        <w:pStyle w:val="2"/>
        <w:keepNext/>
        <w:keepLines/>
        <w:pageBreakBefore w:val="0"/>
        <w:widowControl w:val="0"/>
        <w:numPr>
          <w:ilvl w:val="0"/>
          <w:numId w:val="0"/>
        </w:numPr>
        <w:kinsoku/>
        <w:wordWrap/>
        <w:overflowPunct/>
        <w:topLinePunct w:val="0"/>
        <w:autoSpaceDE/>
        <w:autoSpaceDN/>
        <w:bidi w:val="0"/>
        <w:adjustRightInd/>
        <w:snapToGrid/>
        <w:spacing w:before="0" w:after="0" w:line="360" w:lineRule="exact"/>
        <w:ind w:leftChars="0"/>
        <w:textAlignment w:val="auto"/>
        <w:rPr>
          <w:rFonts w:hint="eastAsia" w:ascii="Times New Roman" w:hAnsi="Times New Roman" w:eastAsia="宋体" w:cs="宋体"/>
          <w:b w:val="0"/>
          <w:bCs w:val="0"/>
          <w:kern w:val="2"/>
          <w:sz w:val="21"/>
          <w:szCs w:val="22"/>
          <w:lang w:val="en-US" w:eastAsia="zh-CN" w:bidi="ar-SA"/>
        </w:rPr>
      </w:pPr>
      <w:r>
        <w:rPr>
          <w:rFonts w:hint="eastAsia" w:ascii="Times New Roman" w:hAnsi="Times New Roman" w:eastAsia="宋体" w:cs="宋体"/>
          <w:b w:val="0"/>
          <w:bCs w:val="0"/>
          <w:kern w:val="2"/>
          <w:sz w:val="21"/>
          <w:szCs w:val="22"/>
          <w:lang w:val="en-US" w:eastAsia="zh-CN" w:bidi="ar-SA"/>
        </w:rPr>
        <w:t xml:space="preserve">    临床问题3在规范冠心病治疗基础上，心脏康复期患者如何进行中医辨证并合理选择中药辅助康复？</w:t>
      </w:r>
    </w:p>
    <w:p w14:paraId="0296E5D0">
      <w:pPr>
        <w:pageBreakBefore w:val="0"/>
        <w:widowControl w:val="0"/>
        <w:kinsoku/>
        <w:wordWrap/>
        <w:overflowPunct/>
        <w:topLinePunct w:val="0"/>
        <w:autoSpaceDE/>
        <w:autoSpaceDN/>
        <w:bidi w:val="0"/>
        <w:adjustRightInd/>
        <w:snapToGrid/>
        <w:spacing w:line="360" w:lineRule="exact"/>
        <w:ind w:firstLine="420" w:firstLineChars="200"/>
        <w:textAlignment w:val="auto"/>
        <w:rPr>
          <w:rFonts w:eastAsia="宋体" w:cs="宋体"/>
        </w:rPr>
      </w:pPr>
      <w:r>
        <w:rPr>
          <w:rFonts w:hint="eastAsia" w:eastAsia="宋体" w:cs="宋体"/>
        </w:rPr>
        <w:t>推荐意见1：本文根据既往冠心病中医治疗指南、中西医结合诊疗指南以及临床实际应用情况，确立了冠心病的中医证型分类。基于冠心病患者气血脏腑失衡特点，中医康复辨证以血瘀为病理基础，常兼夹气虚、阳虚、痰浊、气滞、气阴两虚。推荐根据不同中医证型，采取辨证中药调理的康复策略：</w:t>
      </w:r>
    </w:p>
    <w:p w14:paraId="71FB0685">
      <w:pPr>
        <w:spacing w:line="360" w:lineRule="auto"/>
      </w:pPr>
      <w:r>
        <w:rPr>
          <w:rFonts w:cs="Times New Roman"/>
          <w:b/>
          <w:bCs/>
        </w:rPr>
        <w:drawing>
          <wp:anchor distT="0" distB="0" distL="0" distR="0" simplePos="0" relativeHeight="251662336" behindDoc="0" locked="0" layoutInCell="1" allowOverlap="1">
            <wp:simplePos x="0" y="0"/>
            <wp:positionH relativeFrom="margin">
              <wp:posOffset>187325</wp:posOffset>
            </wp:positionH>
            <wp:positionV relativeFrom="paragraph">
              <wp:posOffset>52705</wp:posOffset>
            </wp:positionV>
            <wp:extent cx="4870450" cy="2157095"/>
            <wp:effectExtent l="0" t="0" r="6350" b="5080"/>
            <wp:wrapTopAndBottom/>
            <wp:docPr id="484647397" name="图片 1"/>
            <wp:cNvGraphicFramePr/>
            <a:graphic xmlns:a="http://schemas.openxmlformats.org/drawingml/2006/main">
              <a:graphicData uri="http://schemas.openxmlformats.org/drawingml/2006/picture">
                <pic:pic xmlns:pic="http://schemas.openxmlformats.org/drawingml/2006/picture">
                  <pic:nvPicPr>
                    <pic:cNvPr id="484647397" name="图片 1"/>
                    <pic:cNvPicPr/>
                  </pic:nvPicPr>
                  <pic:blipFill>
                    <a:blip r:embed="rId15" cstate="print"/>
                    <a:srcRect/>
                    <a:stretch>
                      <a:fillRect/>
                    </a:stretch>
                  </pic:blipFill>
                  <pic:spPr>
                    <a:xfrm>
                      <a:off x="0" y="0"/>
                      <a:ext cx="4870450" cy="2157095"/>
                    </a:xfrm>
                    <a:prstGeom prst="rect">
                      <a:avLst/>
                    </a:prstGeom>
                  </pic:spPr>
                </pic:pic>
              </a:graphicData>
            </a:graphic>
          </wp:anchor>
        </w:drawing>
      </w:r>
    </w:p>
    <w:p w14:paraId="463611BB">
      <w:pPr>
        <w:pStyle w:val="7"/>
        <w:spacing w:line="360" w:lineRule="auto"/>
        <w:ind w:firstLine="420"/>
        <w:jc w:val="center"/>
        <w:rPr>
          <w:rFonts w:eastAsia="宋体"/>
          <w:sz w:val="21"/>
          <w:szCs w:val="22"/>
        </w:rPr>
      </w:pPr>
      <w:r>
        <w:rPr>
          <w:rFonts w:hint="eastAsia" w:eastAsia="宋体"/>
          <w:sz w:val="21"/>
          <w:szCs w:val="22"/>
        </w:rPr>
        <w:t xml:space="preserve">图 </w:t>
      </w:r>
      <w:r>
        <w:rPr>
          <w:rFonts w:eastAsia="宋体"/>
          <w:sz w:val="21"/>
          <w:szCs w:val="22"/>
        </w:rPr>
        <w:fldChar w:fldCharType="begin"/>
      </w:r>
      <w:r>
        <w:rPr>
          <w:rFonts w:eastAsia="宋体"/>
          <w:sz w:val="21"/>
          <w:szCs w:val="22"/>
        </w:rPr>
        <w:instrText xml:space="preserve"> </w:instrText>
      </w:r>
      <w:r>
        <w:rPr>
          <w:rFonts w:hint="eastAsia" w:eastAsia="宋体"/>
          <w:sz w:val="21"/>
          <w:szCs w:val="22"/>
        </w:rPr>
        <w:instrText xml:space="preserve">SEQ 图 \* ARABIC</w:instrText>
      </w:r>
      <w:r>
        <w:rPr>
          <w:rFonts w:eastAsia="宋体"/>
          <w:sz w:val="21"/>
          <w:szCs w:val="22"/>
        </w:rPr>
        <w:instrText xml:space="preserve"> </w:instrText>
      </w:r>
      <w:r>
        <w:rPr>
          <w:rFonts w:eastAsia="宋体"/>
          <w:sz w:val="21"/>
          <w:szCs w:val="22"/>
        </w:rPr>
        <w:fldChar w:fldCharType="separate"/>
      </w:r>
      <w:r>
        <w:rPr>
          <w:rFonts w:eastAsia="宋体"/>
          <w:sz w:val="21"/>
          <w:szCs w:val="22"/>
        </w:rPr>
        <w:t>1</w:t>
      </w:r>
      <w:r>
        <w:rPr>
          <w:rFonts w:eastAsia="宋体"/>
          <w:sz w:val="21"/>
          <w:szCs w:val="22"/>
        </w:rPr>
        <w:fldChar w:fldCharType="end"/>
      </w:r>
      <w:r>
        <w:rPr>
          <w:rFonts w:hint="eastAsia" w:eastAsia="宋体"/>
          <w:sz w:val="21"/>
          <w:szCs w:val="22"/>
        </w:rPr>
        <w:t>冠心病中医病因及证型转归</w:t>
      </w:r>
    </w:p>
    <w:p w14:paraId="2353159E">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①气虚血瘀证：</w:t>
      </w:r>
    </w:p>
    <w:p w14:paraId="45710A57">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症状：心胸隐痛，心悸气短，倦怠乏力，面色淡黯。</w:t>
      </w:r>
    </w:p>
    <w:p w14:paraId="1CA6916F">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舌脉：舌质淡黯，苔薄白，脉沉弱或涩。</w:t>
      </w:r>
    </w:p>
    <w:p w14:paraId="3D262365">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rPr>
        <w:t>治宜益气活血，化瘀通络。方选枳实薤白桂枝汤</w:t>
      </w:r>
      <w:r>
        <w:rPr>
          <w:rFonts w:hint="eastAsia"/>
          <w:color w:val="000000"/>
        </w:rPr>
        <w:t>合丹参饮加减。（B级证据，强推荐）</w:t>
      </w:r>
    </w:p>
    <w:p w14:paraId="7B28ABE2">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color w:val="000000" w:themeColor="text1"/>
          <w14:textFill>
            <w14:solidFill>
              <w14:schemeClr w14:val="tx1"/>
            </w14:solidFill>
          </w14:textFill>
        </w:rPr>
        <w:t>中成药推荐使用芪丹通脉片、</w:t>
      </w:r>
      <w:r>
        <w:rPr>
          <w:rFonts w:hint="eastAsia"/>
          <w:color w:val="000000" w:themeColor="text1"/>
          <w14:textFill>
            <w14:solidFill>
              <w14:schemeClr w14:val="tx1"/>
            </w14:solidFill>
          </w14:textFill>
        </w:rPr>
        <w:t>血栓心脉宁片</w:t>
      </w:r>
      <w:r>
        <w:rPr>
          <w:color w:val="000000" w:themeColor="text1"/>
          <w14:textFill>
            <w14:solidFill>
              <w14:schemeClr w14:val="tx1"/>
            </w14:solidFill>
          </w14:textFill>
        </w:rPr>
        <w:t>、血塞通软胶囊（B级证据，强推荐）。</w:t>
      </w:r>
    </w:p>
    <w:p w14:paraId="62570744">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②阳虚血瘀证：</w:t>
      </w:r>
    </w:p>
    <w:p w14:paraId="3FBEB9CF">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症状：心胸绞痛或心悸，可因气候骤冷或骤然感受风寒而发病或加重，神倦畏寒，腰膝酸冷，四肢欠温或肿胀，或心悸气短，倦怠乏力，面色㿠白。</w:t>
      </w:r>
    </w:p>
    <w:p w14:paraId="12EB0894">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舌脉：舌淡黯，苔薄白或白腻或水滑，脉沉弱或结代。</w:t>
      </w:r>
    </w:p>
    <w:p w14:paraId="5DB4C917">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治宜温通心阳，活血通络。方选四逆汤合桂枝甘草汤加减。（B级证据，强推荐）</w:t>
      </w:r>
    </w:p>
    <w:p w14:paraId="7B936173">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rPr>
        <w:t>中成药推荐选用心宝丸、活心丸（浓缩丸）、</w:t>
      </w:r>
      <w:r>
        <w:rPr>
          <w:color w:val="000000" w:themeColor="text1"/>
          <w14:textFill>
            <w14:solidFill>
              <w14:schemeClr w14:val="tx1"/>
            </w14:solidFill>
          </w14:textFill>
        </w:rPr>
        <w:t>养心氏片、参芍胶囊、</w:t>
      </w:r>
      <w:r>
        <w:rPr>
          <w:rFonts w:hint="eastAsia"/>
        </w:rPr>
        <w:t>（B级证据，强推荐）。</w:t>
      </w:r>
    </w:p>
    <w:p w14:paraId="600E80C5">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③痰浊血瘀证：</w:t>
      </w:r>
    </w:p>
    <w:p w14:paraId="276EF97B">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症状：心胸闷痛，痰多气短，体重身胖，头重身困，纳呆便溏。</w:t>
      </w:r>
    </w:p>
    <w:p w14:paraId="6765BD72">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舌脉：舌底紫黯，苔浊腻或白滑，舌下脉络瘀阻，脉弦滑。</w:t>
      </w:r>
    </w:p>
    <w:p w14:paraId="4521AF7B">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治宜活血化痰，化瘀通络。方选瓜蒌薤白半夏汤合血府逐瘀汤加减。</w:t>
      </w:r>
    </w:p>
    <w:p w14:paraId="3855DF32">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若痰浊郁而化热，可见黄痰，口干、口苦，苔黄腻，脉弦滑，治宜清热化痰，活血通络。方选小陷胸汤合瓜蒌薤白半夏汤加减。（B级证据，强推荐）</w:t>
      </w:r>
    </w:p>
    <w:p w14:paraId="51604F04">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rPr>
        <w:t>中成药推荐选用救心丸（B级证据，强推荐）、脑心清片（C级证据，弱推荐）。</w:t>
      </w:r>
    </w:p>
    <w:p w14:paraId="76C41BB9">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④气滞血瘀证：</w:t>
      </w:r>
    </w:p>
    <w:p w14:paraId="5C688F27">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症状：胸闷心痛，隐痛时作，胸胁胀满，情志不遂，或兼有脘腹胀满，矢气频作。</w:t>
      </w:r>
    </w:p>
    <w:p w14:paraId="3248AA41">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舌脉：舌质黯，舌苔薄白或腻，可见舌边两侧5mm处线条状唾液泡沫堆积而成的白线，即舌缨线，脉弦或涩。</w:t>
      </w:r>
    </w:p>
    <w:p w14:paraId="28B84659">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治宜疏肝理气，化瘀通络。方选柴胡疏肝散合血府逐瘀汤加减。（C级证据，强推荐）</w:t>
      </w:r>
    </w:p>
    <w:p w14:paraId="406F89CA">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rPr>
        <w:t>中成药推荐选用理气活血滴丸、愈心痛胶囊、冠心宁片、养心达瓦依米西克蜜膏（B级证据，强推荐）。</w:t>
      </w:r>
    </w:p>
    <w:p w14:paraId="1205F2D6">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⑤气阴两虚伴血瘀证：</w:t>
      </w:r>
    </w:p>
    <w:p w14:paraId="0941B72A">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症状：心胸隐痛，时作时休，心悸气短，动则尤甚，或伴有倦怠乏力，失眠多梦，心烦口干口渴，或面色颧红，易汗出。</w:t>
      </w:r>
    </w:p>
    <w:p w14:paraId="391C7B4F">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舌脉：舌质红或淡红，舌薄白或干，有裂纹，脉弱而数或结代。</w:t>
      </w:r>
    </w:p>
    <w:p w14:paraId="14B35041">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治宜益气养阴，活血通络。方选生脉饮合血府逐瘀汤加减。（C级证据，强推荐）</w:t>
      </w:r>
    </w:p>
    <w:p w14:paraId="3E1A9D30">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rPr>
        <w:t>气阴两虚伴血瘀证：中成药可选用养心生脉颗粒、心通口服液。（C级证据，弱推荐）</w:t>
      </w:r>
    </w:p>
    <w:p w14:paraId="1E0D1088">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说明：胸痹的病机可归纳为“阳微阴弦”。《医宗金鉴》指出，“阳微，寸口脉微也，阳得阴脉为阳不及”，指寸脉沉细，脏腑阳气衰弱。“阴弦，尺中脉弦也，阴得阴脉为阴太过”，指尺脉弦紧，阴邪乘袭，如寒凝、血瘀、痰浊等相兼为病。其病位在心，与肝、脾、肾等脏器关系密切。胸痹的发生与年老体虚、饮食、情志及劳逸失调等多种因素有关，其主要病机为血瘀。心主血脉，心阳虚衰，血液推动无力，则血行瘀滞；肝气郁结，失于疏泄，则气滞血瘀；脾失健运、聚湿生痰，或阴虚失于濡养等因素均可导致血瘀的产生，从而发生胸痹，其中，津液耗伤，常伴气随液脱，导致气阴两伤。故血瘀证为最主要的证型，根据已有研究统计</w:t>
      </w:r>
      <w:r>
        <w:rPr>
          <w:vertAlign w:val="superscript"/>
        </w:rPr>
        <w:t>[</w:t>
      </w:r>
      <w:r>
        <w:rPr>
          <w:rFonts w:hint="eastAsia"/>
          <w:vertAlign w:val="superscript"/>
        </w:rPr>
        <w:t>30</w:t>
      </w:r>
      <w:r>
        <w:rPr>
          <w:vertAlign w:val="superscript"/>
        </w:rPr>
        <w:t>]</w:t>
      </w:r>
      <w:r>
        <w:rPr>
          <w:rFonts w:hint="eastAsia"/>
        </w:rPr>
        <w:t>，冠心病的中医证候特征分类中，气虚血瘀证型最多，占52.2%；阳虚血瘀证型占比34.17%；气滞血瘀证型占比34.39%；痰浊血瘀证型占比42.79%；气阴两虚伴血瘀证型占比42.4%。中医辨证时推荐以血瘀证为主，可与气虚、阳虚、痰浊、气滞、气阴两虚等相兼为病。</w:t>
      </w:r>
    </w:p>
    <w:p w14:paraId="763FFFE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气虚血瘀型方选枳实薤白桂枝汤合丹参饮加减。一项共涉及788例患者的Meta分析结果表明，枳实薤白桂枝汤加减治疗组在减少心绞痛发作次数（OR=2.87,95%CI(1.92,4.30</w:t>
      </w:r>
      <w:r>
        <w:t>）</w:t>
      </w:r>
      <w:r>
        <w:rPr>
          <w:rFonts w:hint="eastAsia"/>
        </w:rPr>
        <w:t>），以及改善心电图的ST-T段压低情况（</w:t>
      </w:r>
      <w:r>
        <w:t>OR=2.29,95%CI(1.60,3.27）</w:t>
      </w:r>
      <w:r>
        <w:rPr>
          <w:rFonts w:hint="eastAsia"/>
        </w:rPr>
        <w:t>），优于常规西药组，差异具有统计学意义（</w:t>
      </w:r>
      <w:r>
        <w:t>P&lt;0.00001</w:t>
      </w:r>
      <w:r>
        <w:rPr>
          <w:rFonts w:hint="eastAsia"/>
        </w:rPr>
        <w:t>）</w:t>
      </w:r>
      <w:r>
        <w:rPr>
          <w:rStyle w:val="20"/>
        </w:rPr>
        <w:t>[</w:t>
      </w:r>
      <w:r>
        <w:rPr>
          <w:rFonts w:hint="eastAsia"/>
          <w:vertAlign w:val="superscript"/>
        </w:rPr>
        <w:t>31</w:t>
      </w:r>
      <w:r>
        <w:rPr>
          <w:rStyle w:val="20"/>
        </w:rPr>
        <w:t>]</w:t>
      </w:r>
      <w:r>
        <w:rPr>
          <w:rFonts w:hint="eastAsia"/>
        </w:rPr>
        <w:t>。一项共涉及933例患者的Meta分析结果表明，加味丹参饮联合常规西药治疗组能够有效提升临床治疗有效率（OR=5.35,95%CI(3.56,8.03), P&lt;0.000 01），提高心电图改善总有效率（OR=3.53,95%CI</w:t>
      </w:r>
      <w:r>
        <w:t>（</w:t>
      </w:r>
      <w:r>
        <w:rPr>
          <w:rFonts w:hint="eastAsia"/>
        </w:rPr>
        <w:t>2.34,5.33），P&lt;0.000 01）</w:t>
      </w:r>
      <w:r>
        <w:rPr>
          <w:rStyle w:val="20"/>
        </w:rPr>
        <w:t>[</w:t>
      </w:r>
      <w:r>
        <w:rPr>
          <w:rFonts w:hint="eastAsia"/>
          <w:vertAlign w:val="superscript"/>
        </w:rPr>
        <w:t>32</w:t>
      </w:r>
      <w:r>
        <w:rPr>
          <w:rStyle w:val="20"/>
        </w:rPr>
        <w:t>]</w:t>
      </w:r>
      <w:r>
        <w:rPr>
          <w:rFonts w:hint="eastAsia"/>
        </w:rPr>
        <w:t>。针对气虚血瘀证的中成药研究主要涉及养心氏片</w:t>
      </w:r>
      <w:r>
        <w:rPr>
          <w:rStyle w:val="20"/>
          <w:rFonts w:cs="Times New Roman"/>
        </w:rPr>
        <w:t>[</w:t>
      </w:r>
      <w:r>
        <w:rPr>
          <w:rFonts w:hint="eastAsia" w:cs="Times New Roman"/>
          <w:vertAlign w:val="superscript"/>
        </w:rPr>
        <w:t>33</w:t>
      </w:r>
      <w:r>
        <w:rPr>
          <w:rStyle w:val="20"/>
          <w:rFonts w:cs="Times New Roman"/>
        </w:rPr>
        <w:t>]</w:t>
      </w:r>
      <w:r>
        <w:rPr>
          <w:rFonts w:hint="eastAsia"/>
        </w:rPr>
        <w:t>、参芍胶囊</w:t>
      </w:r>
      <w:r>
        <w:rPr>
          <w:rStyle w:val="20"/>
        </w:rPr>
        <w:t>[</w:t>
      </w:r>
      <w:r>
        <w:rPr>
          <w:rFonts w:hint="eastAsia"/>
          <w:vertAlign w:val="superscript"/>
        </w:rPr>
        <w:t>34</w:t>
      </w:r>
      <w:r>
        <w:rPr>
          <w:rStyle w:val="20"/>
        </w:rPr>
        <w:t>]</w:t>
      </w:r>
      <w:r>
        <w:rPr>
          <w:rFonts w:hint="eastAsia"/>
        </w:rPr>
        <w:t>、芪丹通脉片</w:t>
      </w:r>
      <w:r>
        <w:rPr>
          <w:rFonts w:hint="eastAsia"/>
          <w:vertAlign w:val="superscript"/>
        </w:rPr>
        <w:t>[35]</w:t>
      </w:r>
      <w:r>
        <w:rPr>
          <w:rFonts w:hint="eastAsia"/>
        </w:rPr>
        <w:t>、血栓心脉宁片</w:t>
      </w:r>
      <w:r>
        <w:rPr>
          <w:rFonts w:hint="eastAsia"/>
          <w:vertAlign w:val="superscript"/>
        </w:rPr>
        <w:t>[36]</w:t>
      </w:r>
      <w:r>
        <w:rPr>
          <w:rFonts w:hint="eastAsia"/>
        </w:rPr>
        <w:t>及血塞通软胶囊</w:t>
      </w:r>
      <w:r>
        <w:rPr>
          <w:rStyle w:val="20"/>
        </w:rPr>
        <w:t>[</w:t>
      </w:r>
      <w:r>
        <w:rPr>
          <w:rFonts w:hint="eastAsia"/>
          <w:vertAlign w:val="superscript"/>
        </w:rPr>
        <w:t>37</w:t>
      </w:r>
      <w:r>
        <w:rPr>
          <w:rStyle w:val="20"/>
        </w:rPr>
        <w:t>][</w:t>
      </w:r>
      <w:r>
        <w:rPr>
          <w:rFonts w:hint="eastAsia"/>
          <w:vertAlign w:val="superscript"/>
        </w:rPr>
        <w:t>38</w:t>
      </w:r>
      <w:r>
        <w:rPr>
          <w:rStyle w:val="20"/>
        </w:rPr>
        <w:t>]</w:t>
      </w:r>
      <w:r>
        <w:rPr>
          <w:rFonts w:hint="eastAsia"/>
        </w:rPr>
        <w:t>，现有研究总体提示，在常规治疗基础上联合应用上述中成药可能改善心绞痛症状、中医证候及部分心电图相关指标。</w:t>
      </w:r>
    </w:p>
    <w:p w14:paraId="104A3517">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阳虚血瘀型方选四逆汤合桂枝</w:t>
      </w:r>
      <w:r>
        <w:t>甘草</w:t>
      </w:r>
      <w:r>
        <w:rPr>
          <w:rFonts w:hint="eastAsia"/>
        </w:rPr>
        <w:t>汤加减。四逆汤温中祛寒、回阳救逆，合桂枝甘草汤补益心阳，生阳化气。一项涉及71例患者的临床研究显示</w:t>
      </w:r>
      <w:r>
        <w:rPr>
          <w:rFonts w:hint="eastAsia"/>
          <w:vertAlign w:val="superscript"/>
        </w:rPr>
        <w:t>[39]</w:t>
      </w:r>
      <w:r>
        <w:rPr>
          <w:rFonts w:hint="eastAsia"/>
        </w:rPr>
        <w:t>，在冠心病西药常规基础上联用四逆汤加减，可有效缓解心绞痛发作频率及心绞痛持续时间 。针对阳虚血瘀证的中成药研究主要涉及心宝丸</w:t>
      </w:r>
      <w:r>
        <w:rPr>
          <w:rFonts w:hint="eastAsia"/>
          <w:vertAlign w:val="superscript"/>
        </w:rPr>
        <w:t xml:space="preserve"> [40]</w:t>
      </w:r>
      <w:r>
        <w:rPr>
          <w:rFonts w:hint="eastAsia"/>
        </w:rPr>
        <w:t xml:space="preserve"> 和活心丸（浓缩丸）</w:t>
      </w:r>
      <w:r>
        <w:rPr>
          <w:rFonts w:hint="eastAsia"/>
          <w:vertAlign w:val="superscript"/>
        </w:rPr>
        <w:t>[41][42][43][44]</w:t>
      </w:r>
      <w:r>
        <w:rPr>
          <w:rFonts w:hint="eastAsia"/>
        </w:rPr>
        <w:t>，现有研究提示，两者在常规治疗基础上应用可能进一步改善心绞痛症状、中医证候及生活质量等结局。</w:t>
      </w:r>
    </w:p>
    <w:p w14:paraId="09E36EED">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t>针对阳虚血瘀证的中成药研究主要涉及心宝丸</w:t>
      </w:r>
      <w:r>
        <w:rPr>
          <w:rFonts w:hint="eastAsia"/>
          <w:vertAlign w:val="superscript"/>
        </w:rPr>
        <w:t>[40]</w:t>
      </w:r>
      <w:r>
        <w:t>和活心丸（浓缩丸）</w:t>
      </w:r>
      <w:r>
        <w:rPr>
          <w:rFonts w:hint="eastAsia"/>
          <w:vertAlign w:val="superscript"/>
        </w:rPr>
        <w:t>[41][42][43][44]</w:t>
      </w:r>
      <w:r>
        <w:t>，现有研究提示，两者在常规治疗基础上应用可能进一步改善心绞痛症状、中医证候及生活质量等结局</w:t>
      </w:r>
      <w:r>
        <w:rPr>
          <w:rFonts w:hint="eastAsia"/>
        </w:rPr>
        <w:t>。</w:t>
      </w:r>
    </w:p>
    <w:p w14:paraId="75233D1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痰浊血瘀证方选瓜蒌薤白半夏汤合血府逐瘀汤加减。瓜蒌薤白半夏汤是《金匮要略》治疗痰浊壅盛型胸痹的经典名方，一项共涉及1859例患者的Meta分析显示</w:t>
      </w:r>
      <w:r>
        <w:rPr>
          <w:rFonts w:hint="eastAsia"/>
          <w:vertAlign w:val="superscript"/>
        </w:rPr>
        <w:t>[45]</w:t>
      </w:r>
      <w:r>
        <w:rPr>
          <w:vertAlign w:val="superscript"/>
        </w:rPr>
        <w:t>，在</w:t>
      </w:r>
      <w:r>
        <w:rPr>
          <w:rFonts w:hint="eastAsia"/>
        </w:rPr>
        <w:t>常规西药基础上加用瓜蒌薤白半夏汤，可提高冠心病治疗总有效率（OR=4.07，95%CI（3.08—5.37），P&lt;0.01）并改善患者心电图情况（OR=3.35，95% CI（2. 52—4. 45），P&lt;0. 01），血府逐瘀汤为胸中血瘀证的代表方，一项纳入13项随机对照研究的Meta分析表明</w:t>
      </w:r>
      <w:r>
        <w:rPr>
          <w:rStyle w:val="20"/>
        </w:rPr>
        <w:t>[</w:t>
      </w:r>
      <w:r>
        <w:rPr>
          <w:rFonts w:hint="eastAsia"/>
          <w:vertAlign w:val="superscript"/>
        </w:rPr>
        <w:t>46</w:t>
      </w:r>
      <w:r>
        <w:rPr>
          <w:rStyle w:val="20"/>
        </w:rPr>
        <w:t>]</w:t>
      </w:r>
      <w:r>
        <w:rPr>
          <w:rFonts w:hint="eastAsia"/>
        </w:rPr>
        <w:t>，血府逐瘀汤联合常规西药治疗可有效缓解冠心病心绞痛发作频率[MD=-2.09,95%CI(-2.78—1.41),P&lt;0.01]和持续时间[MD=-151.20，95%CI(-210.08—-92.33</w:t>
      </w:r>
      <w:r>
        <w:t>）</w:t>
      </w:r>
      <w:r>
        <w:rPr>
          <w:rFonts w:hint="eastAsia"/>
        </w:rPr>
        <w:t>，P&lt;0.01]。</w:t>
      </w:r>
    </w:p>
    <w:p w14:paraId="63EB374D">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郁而化火者，方选小陷胸汤合瓜蒌薤白半夏汤，以加强清热化痰之功效。一项纳入925例患者的系统评价表明</w:t>
      </w:r>
      <w:r>
        <w:rPr>
          <w:rStyle w:val="20"/>
        </w:rPr>
        <w:t>[</w:t>
      </w:r>
      <w:r>
        <w:rPr>
          <w:rFonts w:hint="eastAsia"/>
          <w:vertAlign w:val="superscript"/>
        </w:rPr>
        <w:t>47]</w:t>
      </w:r>
      <w:r>
        <w:rPr>
          <w:rFonts w:hint="eastAsia"/>
        </w:rPr>
        <w:t>，西药基础治疗联合小陷胸汤能够显著改善心绞痛治疗总有效率[RR=1.209,95%CI:1.129-1.295,P&lt;0.001]及心电图总有效率[RR=1.223,95%CI（1.104-1.354）</w:t>
      </w:r>
      <w:r>
        <w:t>，</w:t>
      </w:r>
      <w:r>
        <w:rPr>
          <w:rFonts w:hint="eastAsia"/>
        </w:rPr>
        <w:t>P&lt;0.001]。</w:t>
      </w:r>
      <w:r>
        <w:t>针对痰浊血瘀证的中成药研究主要涉及救心丸</w:t>
      </w:r>
      <w:r>
        <w:rPr>
          <w:vertAlign w:val="superscript"/>
        </w:rPr>
        <w:t>[</w:t>
      </w:r>
      <w:r>
        <w:rPr>
          <w:rFonts w:hint="eastAsia"/>
          <w:vertAlign w:val="superscript"/>
        </w:rPr>
        <w:t>48</w:t>
      </w:r>
      <w:r>
        <w:rPr>
          <w:vertAlign w:val="superscript"/>
        </w:rPr>
        <w:t>]</w:t>
      </w:r>
      <w:r>
        <w:t>和脑心清片</w:t>
      </w:r>
      <w:r>
        <w:rPr>
          <w:rStyle w:val="20"/>
        </w:rPr>
        <w:t>[</w:t>
      </w:r>
      <w:r>
        <w:rPr>
          <w:rFonts w:hint="eastAsia"/>
          <w:vertAlign w:val="superscript"/>
        </w:rPr>
        <w:t>49]</w:t>
      </w:r>
      <w:r>
        <w:t>，其中救心丸相关研究提示其可能改善心绞痛发作、运动耐量及生活质量等结局，脑心清片的临床证据相对有限。总体而言，现有证据主要支持症状和功能相关获益，对于长期心血管结局的影响仍需进一步研究</w:t>
      </w:r>
      <w:r>
        <w:rPr>
          <w:rFonts w:hint="eastAsia"/>
        </w:rPr>
        <w:t>。</w:t>
      </w:r>
    </w:p>
    <w:p w14:paraId="51B57BBC">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气滞血瘀型方选柴胡疏肝散合失笑散加减，在疏肝理气的基础上加用蒲黄、五灵脂活血通络止痛。1项纳入12 篇随机对照试验涉及940例患者的Meta分析证实，</w:t>
      </w:r>
      <w:r>
        <w:t>柴胡疏肝散</w:t>
      </w:r>
      <w:r>
        <w:rPr>
          <w:rFonts w:hint="eastAsia"/>
        </w:rPr>
        <w:t>能有效改善治疗有效率[OR=4.55，95%Cl(3.02—6.84</w:t>
      </w:r>
      <w:r>
        <w:t>）</w:t>
      </w:r>
      <w:r>
        <w:rPr>
          <w:rFonts w:hint="eastAsia"/>
        </w:rPr>
        <w:t>，P＜0.000 01]，改善心电图的变化率[OR=3.27，95%Cl(2.22—4.82</w:t>
      </w:r>
      <w:r>
        <w:t>）</w:t>
      </w:r>
      <w:r>
        <w:rPr>
          <w:rFonts w:hint="eastAsia"/>
        </w:rPr>
        <w:t>，P＜0.000 01]</w:t>
      </w:r>
      <w:r>
        <w:rPr>
          <w:rStyle w:val="20"/>
        </w:rPr>
        <w:t>[</w:t>
      </w:r>
      <w:r>
        <w:rPr>
          <w:rFonts w:hint="eastAsia"/>
          <w:vertAlign w:val="superscript"/>
        </w:rPr>
        <w:t>50</w:t>
      </w:r>
      <w:r>
        <w:rPr>
          <w:rStyle w:val="20"/>
        </w:rPr>
        <w:t>]</w:t>
      </w:r>
      <w:r>
        <w:rPr>
          <w:rFonts w:hint="eastAsia"/>
        </w:rPr>
        <w:t>。</w:t>
      </w:r>
      <w:r>
        <w:t>针对气滞血瘀证的中成药研究涉及理气活血滴丸、愈心痛胶囊</w:t>
      </w:r>
      <w:r>
        <w:rPr>
          <w:rFonts w:hint="eastAsia"/>
          <w:vertAlign w:val="superscript"/>
        </w:rPr>
        <w:t>[51</w:t>
      </w:r>
      <w:r>
        <w:rPr>
          <w:rStyle w:val="20"/>
        </w:rPr>
        <w:t>]</w:t>
      </w:r>
      <w:r>
        <w:t>、冠心宁片</w:t>
      </w:r>
      <w:r>
        <w:rPr>
          <w:rFonts w:hint="eastAsia"/>
          <w:vertAlign w:val="superscript"/>
        </w:rPr>
        <w:t>[52]</w:t>
      </w:r>
      <w:r>
        <w:t>及养心达瓦依米西克蜜膏</w:t>
      </w:r>
      <w:r>
        <w:rPr>
          <w:rStyle w:val="20"/>
        </w:rPr>
        <w:t>[</w:t>
      </w:r>
      <w:r>
        <w:rPr>
          <w:rFonts w:hint="eastAsia"/>
          <w:vertAlign w:val="superscript"/>
        </w:rPr>
        <w:t>53]</w:t>
      </w:r>
      <w:r>
        <w:t>，现有研究主要提示其可能改善心绞痛症状、中医证候、运动耐量及部分心电图相关指标</w:t>
      </w:r>
      <w:r>
        <w:rPr>
          <w:rFonts w:hint="eastAsia"/>
        </w:rPr>
        <w:t>，</w:t>
      </w:r>
      <w:r>
        <w:t>部分研究报告了心血管事件等结局</w:t>
      </w:r>
      <w:r>
        <w:rPr>
          <w:rFonts w:hint="eastAsia"/>
        </w:rPr>
        <w:t>。</w:t>
      </w:r>
    </w:p>
    <w:p w14:paraId="779737FB">
      <w:pPr>
        <w:keepNext w:val="0"/>
        <w:keepLines w:val="0"/>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气阴两虚血瘀型方选生脉散合血府逐瘀汤加减，生脉散加减联合西药常规组治疗冠心病心绞痛的心绞痛疗效优于对照组</w:t>
      </w:r>
      <w:r>
        <w:t>（</w:t>
      </w:r>
      <w:r>
        <w:rPr>
          <w:rFonts w:hint="eastAsia"/>
        </w:rPr>
        <w:t>OR=4.09,95%CI（3.20—5.52）</w:t>
      </w:r>
      <w:r>
        <w:t>，</w:t>
      </w:r>
      <w:r>
        <w:rPr>
          <w:rFonts w:hint="eastAsia"/>
        </w:rPr>
        <w:t>P&lt;0.000 01)</w:t>
      </w:r>
      <w:r>
        <w:t>，</w:t>
      </w:r>
      <w:r>
        <w:rPr>
          <w:rFonts w:hint="eastAsia"/>
        </w:rPr>
        <w:t>心电图疗效优于对照组</w:t>
      </w:r>
      <w:r>
        <w:t>（</w:t>
      </w:r>
      <w:r>
        <w:rPr>
          <w:rFonts w:hint="eastAsia"/>
        </w:rPr>
        <w:t>OR=2.41,95%CI（1.84—3.17）</w:t>
      </w:r>
      <w:r>
        <w:t>，</w:t>
      </w:r>
      <w:r>
        <w:rPr>
          <w:rFonts w:hint="eastAsia"/>
        </w:rPr>
        <w:t>P&lt;0.000 01)</w:t>
      </w:r>
      <w:r>
        <w:rPr>
          <w:rStyle w:val="20"/>
        </w:rPr>
        <w:t>[</w:t>
      </w:r>
      <w:r>
        <w:rPr>
          <w:rFonts w:hint="eastAsia"/>
          <w:vertAlign w:val="superscript"/>
        </w:rPr>
        <w:t>54</w:t>
      </w:r>
      <w:r>
        <w:rPr>
          <w:rStyle w:val="20"/>
        </w:rPr>
        <w:t>]</w:t>
      </w:r>
      <w:r>
        <w:rPr>
          <w:rFonts w:hint="eastAsia"/>
        </w:rPr>
        <w:t>，联合血府逐瘀汤增强活血通络、行气止痛之效。</w:t>
      </w:r>
      <w:r>
        <w:t>针对气阴两虚伴血瘀证的中成药研究主要涉及养心生脉颗粒</w:t>
      </w:r>
      <w:r>
        <w:rPr>
          <w:rFonts w:hint="eastAsia"/>
          <w:vertAlign w:val="superscript"/>
        </w:rPr>
        <w:t>[55</w:t>
      </w:r>
      <w:r>
        <w:rPr>
          <w:rStyle w:val="20"/>
        </w:rPr>
        <w:t>]</w:t>
      </w:r>
      <w:r>
        <w:t>和心通口服液</w:t>
      </w:r>
      <w:r>
        <w:rPr>
          <w:rFonts w:hint="eastAsia"/>
          <w:vertAlign w:val="superscript"/>
        </w:rPr>
        <w:t>[56</w:t>
      </w:r>
      <w:r>
        <w:rPr>
          <w:rStyle w:val="20"/>
        </w:rPr>
        <w:t>]</w:t>
      </w:r>
      <w:r>
        <w:t>，现有临床研究提示，两者联合常规治疗可能进一步改善心绞痛发作频率、持续时间及相关症状。现有证据主要来自症状、证候及心电图等结局，且部分研究样本量较小</w:t>
      </w:r>
      <w:r>
        <w:rPr>
          <w:rFonts w:hint="eastAsia"/>
        </w:rPr>
        <w:t>。</w:t>
      </w:r>
    </w:p>
    <w:p w14:paraId="7F4B83ED">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7.1.2 急性冠脉综合征的中医证型及推荐用药</w:t>
      </w:r>
    </w:p>
    <w:p w14:paraId="479B39BB">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pPr>
      <w:r>
        <w:rPr>
          <w:rFonts w:hint="eastAsia"/>
          <w:b/>
          <w:bCs/>
        </w:rPr>
        <w:t>推荐意见2：</w:t>
      </w:r>
      <w:r>
        <w:rPr>
          <w:rFonts w:hint="eastAsia"/>
        </w:rPr>
        <w:t>不稳定型心绞痛的中医证型及推荐用药可参考7.1及7.2部分。冠心病急性心肌梗死属中医“真心痛”范畴。参照急性冠脉综合征GRACE风险评分</w:t>
      </w:r>
      <w:r>
        <w:rPr>
          <w:rStyle w:val="20"/>
        </w:rPr>
        <w:t>[</w:t>
      </w:r>
      <w:r>
        <w:rPr>
          <w:rFonts w:hint="eastAsia"/>
          <w:vertAlign w:val="superscript"/>
        </w:rPr>
        <w:t>57</w:t>
      </w:r>
      <w:r>
        <w:rPr>
          <w:rStyle w:val="20"/>
        </w:rPr>
        <w:t>]</w:t>
      </w:r>
      <w:r>
        <w:rPr>
          <w:rFonts w:hint="eastAsia"/>
          <w:color w:val="FF0000"/>
        </w:rPr>
        <w:t>，</w:t>
      </w:r>
      <w:r>
        <w:rPr>
          <w:rFonts w:hint="eastAsia"/>
        </w:rPr>
        <w:t>对于GRACE危险分级为低危的患者，中医辨证及推荐用药可参考7.1及7.2部分，GRACE危险分级为中高危的患者（包括评分大于109分的NSTEMI患者，以及评分大于126分的STEMI患者），</w:t>
      </w:r>
    </w:p>
    <w:p w14:paraId="2B8A34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rPr>
      </w:pPr>
      <w:r>
        <w:t>对于病情危重且经中医辨证属阳气暴脱、阴寒内盛等证候者，可由具备中医心血管急危重症诊疗能力的医师，在严密医学监护条件下辨证选用参附汤、四逆汤或破格救心汤加减作为辅助治疗。</w:t>
      </w:r>
    </w:p>
    <w:p w14:paraId="1D8CDDD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highlight w:val="yellow"/>
        </w:rPr>
      </w:pPr>
      <w:r>
        <w:rPr>
          <w:rFonts w:hint="eastAsia"/>
        </w:rPr>
        <w:t>在积极血运重建</w:t>
      </w:r>
      <w:r>
        <w:t>治疗</w:t>
      </w:r>
      <w:r>
        <w:rPr>
          <w:rFonts w:hint="eastAsia"/>
        </w:rPr>
        <w:t>中加上中医药治疗，中药推荐使用独参汤、参附汤、四逆汤加减、</w:t>
      </w:r>
      <w:r>
        <w:rPr>
          <w:rFonts w:hint="eastAsia"/>
          <w:color w:val="000000" w:themeColor="text1"/>
          <w14:textFill>
            <w14:solidFill>
              <w14:schemeClr w14:val="tx1"/>
            </w14:solidFill>
          </w14:textFill>
        </w:rPr>
        <w:t>（C级证据，强推荐）</w:t>
      </w:r>
    </w:p>
    <w:p w14:paraId="1F7C1D4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推荐意见说明：</w:t>
      </w:r>
    </w:p>
    <w:p w14:paraId="777BB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真心痛是胸痹进一步发展的严重病证。胸痹日久，心阳虚衰，阴寒闭阻血络，可发生真心痛危象。心肾阳虚，水饮凌心射肺，或亡阳</w:t>
      </w:r>
      <w:r>
        <w:t>、或</w:t>
      </w:r>
      <w:r>
        <w:rPr>
          <w:rFonts w:hint="eastAsia"/>
        </w:rPr>
        <w:t>亡阴，或阴阳俱损，最终导致阴阳离决，其特点为突发剧烈而持久的胸骨后疼痛，伴有喘促、心悸、四肢逆冷、大汗出等征象，死亡风险极高。中医治疗心血管危急重症，重视阳气在人体中的作用，多采用回阳益气之法。</w:t>
      </w:r>
    </w:p>
    <w:p w14:paraId="6094EB1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一项纳入150例患者的随机对照研究中，对照组给予早期静脉溶栓治疗，观察组在此基础上给予独参汤治疗，能有效改善心肌再灌注（</w:t>
      </w:r>
      <w:r>
        <w:t>OR = 3.50</w:t>
      </w:r>
      <w:r>
        <w:rPr>
          <w:rFonts w:hint="eastAsia"/>
        </w:rPr>
        <w:t>，</w:t>
      </w:r>
      <w:r>
        <w:t>95% CI</w:t>
      </w:r>
      <w:r>
        <w:rPr>
          <w:rFonts w:hint="eastAsia"/>
        </w:rPr>
        <w:t>[</w:t>
      </w:r>
      <w:r>
        <w:t xml:space="preserve"> 1.20 </w:t>
      </w:r>
      <w:r>
        <w:rPr>
          <w:rFonts w:hint="eastAsia"/>
        </w:rPr>
        <w:t>-</w:t>
      </w:r>
      <w:r>
        <w:t xml:space="preserve"> 10.20</w:t>
      </w:r>
      <w:r>
        <w:rPr>
          <w:rFonts w:hint="eastAsia"/>
        </w:rPr>
        <w:t>]，P＜0.01）</w:t>
      </w:r>
      <w:r>
        <w:rPr>
          <w:rStyle w:val="20"/>
        </w:rPr>
        <w:t>[</w:t>
      </w:r>
      <w:r>
        <w:rPr>
          <w:rFonts w:hint="eastAsia"/>
          <w:vertAlign w:val="superscript"/>
        </w:rPr>
        <w:t>58</w:t>
      </w:r>
      <w:r>
        <w:rPr>
          <w:rStyle w:val="20"/>
        </w:rPr>
        <w:t>]</w:t>
      </w:r>
      <w:r>
        <w:rPr>
          <w:rFonts w:hint="eastAsia"/>
        </w:rPr>
        <w:t>。</w:t>
      </w:r>
    </w:p>
    <w:p w14:paraId="4C0B623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color w:val="FF0000"/>
        </w:rPr>
      </w:pPr>
      <w:r>
        <w:rPr>
          <w:rFonts w:hint="eastAsia"/>
        </w:rPr>
        <w:t>一项参附汤治疗急性心肌梗死合并心源性休克的临床研究中，对照组采用西医常规治疗，观察组在对照组基础上给予参附汤治疗，能显著提升临床治疗有效率（</w:t>
      </w:r>
      <w:r>
        <w:t>OR = 3.32</w:t>
      </w:r>
      <w:r>
        <w:rPr>
          <w:rFonts w:hint="eastAsia"/>
        </w:rPr>
        <w:t>，</w:t>
      </w:r>
      <w:r>
        <w:t>95% CI</w:t>
      </w:r>
      <w:r>
        <w:rPr>
          <w:rFonts w:hint="eastAsia"/>
        </w:rPr>
        <w:t>[</w:t>
      </w:r>
      <w:r>
        <w:t xml:space="preserve"> 0.97</w:t>
      </w:r>
      <w:r>
        <w:rPr>
          <w:rFonts w:hint="eastAsia"/>
        </w:rPr>
        <w:t>-</w:t>
      </w:r>
      <w:r>
        <w:t>11.36</w:t>
      </w:r>
      <w:r>
        <w:rPr>
          <w:rFonts w:hint="eastAsia"/>
        </w:rPr>
        <w:t>] ，P＜0.01）</w:t>
      </w:r>
      <w:r>
        <w:rPr>
          <w:rStyle w:val="20"/>
        </w:rPr>
        <w:t>[</w:t>
      </w:r>
      <w:r>
        <w:rPr>
          <w:rFonts w:hint="eastAsia"/>
          <w:vertAlign w:val="superscript"/>
        </w:rPr>
        <w:t>59</w:t>
      </w:r>
      <w:r>
        <w:rPr>
          <w:rStyle w:val="20"/>
        </w:rPr>
        <w:t>]</w:t>
      </w:r>
      <w:r>
        <w:rPr>
          <w:rFonts w:hint="eastAsia"/>
        </w:rPr>
        <w:t>。</w:t>
      </w:r>
      <w:r>
        <w:rPr>
          <w:color w:val="FF0000"/>
        </w:rPr>
        <w:t xml:space="preserve"> </w:t>
      </w:r>
    </w:p>
    <w:p w14:paraId="6BC3ACC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在一项涉及92例患者，使用四逆汤联合主动脉球囊反搏治疗心肌梗死合并心源性休克患者的临床研究中证实，在常规西药及主动脉球囊反搏治疗的基础上加用四逆汤，能有效改善患者心功能的临床有效率（</w:t>
      </w:r>
      <w:r>
        <w:t>OR = 6.11</w:t>
      </w:r>
      <w:r>
        <w:rPr>
          <w:rFonts w:hint="eastAsia"/>
        </w:rPr>
        <w:t>，</w:t>
      </w:r>
      <w:r>
        <w:t>95% CI</w:t>
      </w:r>
      <w:r>
        <w:rPr>
          <w:rFonts w:hint="eastAsia"/>
        </w:rPr>
        <w:t>[</w:t>
      </w:r>
      <w:r>
        <w:t xml:space="preserve"> 1.26 </w:t>
      </w:r>
      <w:r>
        <w:rPr>
          <w:rFonts w:hint="eastAsia"/>
        </w:rPr>
        <w:t>-</w:t>
      </w:r>
      <w:r>
        <w:t>29.69</w:t>
      </w:r>
      <w:r>
        <w:rPr>
          <w:rFonts w:hint="eastAsia"/>
        </w:rPr>
        <w:t>] ，P＜0.01）降低心源性猝死、严重心力衰竭、非致死性心肌梗死等不良事件的发生风险（</w:t>
      </w:r>
      <w:r>
        <w:t>OR = 0.13</w:t>
      </w:r>
      <w:r>
        <w:rPr>
          <w:rFonts w:hint="eastAsia"/>
        </w:rPr>
        <w:t>，</w:t>
      </w:r>
      <w:r>
        <w:t>95% CI</w:t>
      </w:r>
      <w:r>
        <w:rPr>
          <w:rFonts w:hint="eastAsia"/>
        </w:rPr>
        <w:t>[</w:t>
      </w:r>
      <w:r>
        <w:t xml:space="preserve"> 0.03 </w:t>
      </w:r>
      <w:r>
        <w:rPr>
          <w:rFonts w:hint="eastAsia"/>
        </w:rPr>
        <w:t>-</w:t>
      </w:r>
      <w:r>
        <w:t>0.61</w:t>
      </w:r>
      <w:r>
        <w:rPr>
          <w:rFonts w:hint="eastAsia"/>
        </w:rPr>
        <w:t>] ，P＜0.01）</w:t>
      </w:r>
      <w:r>
        <w:rPr>
          <w:rStyle w:val="20"/>
        </w:rPr>
        <w:t>[</w:t>
      </w:r>
      <w:r>
        <w:rPr>
          <w:rFonts w:hint="eastAsia"/>
          <w:vertAlign w:val="superscript"/>
        </w:rPr>
        <w:t>60</w:t>
      </w:r>
      <w:r>
        <w:rPr>
          <w:rStyle w:val="20"/>
        </w:rPr>
        <w:t>]</w:t>
      </w:r>
      <w:r>
        <w:rPr>
          <w:rFonts w:hint="eastAsia"/>
        </w:rPr>
        <w:t>。</w:t>
      </w:r>
    </w:p>
    <w:p w14:paraId="67996DB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r>
        <w:t>破格救心汤为回阳救逆类经验方，基本方由附子炮制品、干姜、炙甘草、人参、山茱萸、龙骨、牡蛎、磁石、麝香等组成，主要用于阳气暴脱、阴寒内盛等危重证候。鉴于现有证据主要来源于临床经验，且方中附子具有明确的剂量相关安全风险，本指南仅将其作为规范急性期救治基础上的辨证辅助治疗选择，不作为冠心病患者的常规康复用药。含附子方剂应严格按照现行《中华人民共和国药典》有关要求选择炮制品并规范用量和煎煮。</w:t>
      </w:r>
    </w:p>
    <w:p w14:paraId="5F0BA6FC">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8 中医外治技术</w:t>
      </w:r>
    </w:p>
    <w:p w14:paraId="04D2812A">
      <w:pPr>
        <w:pStyle w:val="5"/>
        <w:pageBreakBefore w:val="0"/>
        <w:widowControl w:val="0"/>
        <w:kinsoku/>
        <w:wordWrap/>
        <w:overflowPunct/>
        <w:topLinePunct w:val="0"/>
        <w:autoSpaceDE/>
        <w:autoSpaceDN/>
        <w:bidi w:val="0"/>
        <w:adjustRightInd/>
        <w:snapToGrid/>
        <w:spacing w:before="0" w:after="0" w:line="360" w:lineRule="exact"/>
        <w:textAlignment w:val="auto"/>
        <w:rPr>
          <w:b w:val="0"/>
          <w:bCs w:val="0"/>
        </w:rPr>
      </w:pPr>
      <w:r>
        <w:rPr>
          <w:rFonts w:hint="eastAsia"/>
          <w:b w:val="0"/>
          <w:bCs w:val="0"/>
          <w:lang w:val="en-US" w:eastAsia="zh-CN"/>
        </w:rPr>
        <w:t xml:space="preserve">    </w:t>
      </w:r>
      <w:r>
        <w:rPr>
          <w:rFonts w:hint="eastAsia"/>
          <w:b w:val="0"/>
          <w:bCs w:val="0"/>
        </w:rPr>
        <w:t>临床问题4：</w:t>
      </w:r>
      <w:r>
        <w:rPr>
          <w:b w:val="0"/>
          <w:bCs w:val="0"/>
        </w:rPr>
        <w:t>在规范冠心病治疗和综合心脏康复基础上，中医外治技术如何纳入心脏康复方案？</w:t>
      </w:r>
    </w:p>
    <w:p w14:paraId="3CB692C6">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b/>
          <w:bCs/>
        </w:rPr>
        <w:t>推荐意见10：</w:t>
      </w:r>
      <w:r>
        <w:rPr>
          <w:rFonts w:hint="eastAsia"/>
        </w:rPr>
        <w:t>对于临床状态稳定、经综合评估和风险分层后适合接受相关操作的冠心病患者，可在规范药物治疗、运动康复、危险因素管理、心理及生活方式干预等综合心脏康复基础上，根据患者的康复阶段、症状负担、中医证候、个体偏好及安全风险，选择针刺、艾灸、穴位贴敷、耳穴等中医外治技术作为辅助干预，并与整体心脏康复方案协同实施。</w:t>
      </w:r>
    </w:p>
    <w:p w14:paraId="432992B1">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（1）针刺疗法（A级证据，强推荐）</w:t>
      </w:r>
      <w:r>
        <w:rPr>
          <w:rStyle w:val="20"/>
          <w:color w:val="000000"/>
        </w:rPr>
        <w:t>[</w:t>
      </w:r>
      <w:r>
        <w:rPr>
          <w:rFonts w:hint="eastAsia"/>
          <w:color w:val="000000"/>
          <w:vertAlign w:val="superscript"/>
        </w:rPr>
        <w:t>61</w:t>
      </w:r>
      <w:r>
        <w:rPr>
          <w:rStyle w:val="20"/>
          <w:color w:val="000000"/>
        </w:rPr>
        <w:t>]</w:t>
      </w:r>
    </w:p>
    <w:p w14:paraId="2CED6532">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推荐穴位：主穴：内关、神门、心俞、厥阴俞。</w:t>
      </w:r>
    </w:p>
    <w:p w14:paraId="2A50014A">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配穴：气虚血瘀证加肺俞、脾俞、足三里，阳虚血瘀证加内关、涌泉</w:t>
      </w:r>
      <w:r>
        <w:rPr>
          <w:rStyle w:val="20"/>
          <w:color w:val="000000"/>
        </w:rPr>
        <w:t>[</w:t>
      </w:r>
      <w:r>
        <w:rPr>
          <w:rFonts w:hint="eastAsia"/>
          <w:color w:val="000000"/>
          <w:vertAlign w:val="superscript"/>
        </w:rPr>
        <w:t>62]</w:t>
      </w:r>
      <w:r>
        <w:rPr>
          <w:rFonts w:hint="eastAsia"/>
          <w:color w:val="000000"/>
        </w:rPr>
        <w:t>，痰浊血瘀证加丰隆、阴陵泉、气海</w:t>
      </w:r>
      <w:r>
        <w:rPr>
          <w:rStyle w:val="20"/>
          <w:color w:val="000000"/>
        </w:rPr>
        <w:t>[</w:t>
      </w:r>
      <w:r>
        <w:rPr>
          <w:rFonts w:hint="eastAsia"/>
          <w:color w:val="000000"/>
          <w:vertAlign w:val="superscript"/>
        </w:rPr>
        <w:t>63</w:t>
      </w:r>
      <w:r>
        <w:rPr>
          <w:rStyle w:val="20"/>
          <w:color w:val="000000"/>
        </w:rPr>
        <w:t>]</w:t>
      </w:r>
      <w:r>
        <w:rPr>
          <w:rFonts w:hint="eastAsia"/>
          <w:color w:val="000000"/>
        </w:rPr>
        <w:t>，气滞血瘀证加太冲</w:t>
      </w:r>
      <w:r>
        <w:rPr>
          <w:rStyle w:val="20"/>
          <w:color w:val="000000"/>
        </w:rPr>
        <w:t>[</w:t>
      </w:r>
      <w:r>
        <w:rPr>
          <w:rFonts w:hint="eastAsia"/>
          <w:color w:val="000000"/>
          <w:vertAlign w:val="superscript"/>
        </w:rPr>
        <w:t>64</w:t>
      </w:r>
      <w:r>
        <w:rPr>
          <w:rStyle w:val="20"/>
          <w:color w:val="000000"/>
        </w:rPr>
        <w:t>]</w:t>
      </w:r>
      <w:r>
        <w:rPr>
          <w:rFonts w:hint="eastAsia"/>
          <w:color w:val="000000"/>
        </w:rPr>
        <w:t>，气阴两虚证加日月、太溪、三阴交</w:t>
      </w:r>
      <w:r>
        <w:rPr>
          <w:rStyle w:val="20"/>
          <w:color w:val="000000"/>
        </w:rPr>
        <w:t>[</w:t>
      </w:r>
      <w:r>
        <w:rPr>
          <w:rFonts w:hint="eastAsia"/>
          <w:color w:val="000000"/>
          <w:vertAlign w:val="superscript"/>
        </w:rPr>
        <w:t>65]</w:t>
      </w:r>
    </w:p>
    <w:p w14:paraId="5A4E2A5B">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头针：取带：额中带 额旁1带</w:t>
      </w:r>
      <w:r>
        <w:rPr>
          <w:color w:val="000000"/>
        </w:rPr>
        <w:t>（</w:t>
      </w:r>
      <w:r>
        <w:rPr>
          <w:rFonts w:hint="eastAsia"/>
          <w:color w:val="000000"/>
        </w:rPr>
        <w:t>右</w:t>
      </w:r>
      <w:r>
        <w:rPr>
          <w:color w:val="000000"/>
        </w:rPr>
        <w:t>）</w:t>
      </w:r>
      <w:r>
        <w:rPr>
          <w:rFonts w:hint="eastAsia"/>
          <w:color w:val="000000"/>
        </w:rPr>
        <w:t>顶中带。气滞血瘀证加额顶带中1/3排刺，用泻法。气虚血瘀证</w:t>
      </w:r>
      <w:r>
        <w:rPr>
          <w:color w:val="000000"/>
        </w:rPr>
        <w:t>：</w:t>
      </w:r>
      <w:r>
        <w:rPr>
          <w:rFonts w:hint="eastAsia"/>
          <w:color w:val="000000"/>
        </w:rPr>
        <w:t>加额顶带前1/3</w:t>
      </w:r>
      <w:r>
        <w:rPr>
          <w:color w:val="000000"/>
        </w:rPr>
        <w:t>（</w:t>
      </w:r>
      <w:r>
        <w:rPr>
          <w:rFonts w:hint="eastAsia"/>
          <w:color w:val="000000"/>
        </w:rPr>
        <w:t>右</w:t>
      </w:r>
      <w:r>
        <w:rPr>
          <w:color w:val="000000"/>
        </w:rPr>
        <w:t>）</w:t>
      </w:r>
      <w:r>
        <w:rPr>
          <w:rFonts w:hint="eastAsia"/>
          <w:color w:val="000000"/>
        </w:rPr>
        <w:t>，用补法。阳虚血瘀证</w:t>
      </w:r>
      <w:r>
        <w:rPr>
          <w:color w:val="000000"/>
        </w:rPr>
        <w:t>：</w:t>
      </w:r>
      <w:r>
        <w:rPr>
          <w:rFonts w:hint="eastAsia"/>
          <w:color w:val="000000"/>
        </w:rPr>
        <w:t>加额顶带后1/3 排刺，用补法</w:t>
      </w:r>
      <w:r>
        <w:rPr>
          <w:rStyle w:val="20"/>
          <w:color w:val="000000"/>
        </w:rPr>
        <w:t>[</w:t>
      </w:r>
      <w:r>
        <w:rPr>
          <w:rFonts w:hint="eastAsia"/>
          <w:color w:val="000000"/>
          <w:vertAlign w:val="superscript"/>
        </w:rPr>
        <w:t>66</w:t>
      </w:r>
      <w:r>
        <w:rPr>
          <w:rStyle w:val="20"/>
          <w:color w:val="000000"/>
        </w:rPr>
        <w:t>]</w:t>
      </w:r>
      <w:r>
        <w:rPr>
          <w:rFonts w:hint="eastAsia"/>
          <w:color w:val="000000"/>
        </w:rPr>
        <w:t>。</w:t>
      </w:r>
    </w:p>
    <w:p w14:paraId="43C8A3C6">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操作方法：</w:t>
      </w:r>
      <w:r>
        <w:rPr>
          <w:color w:val="000000"/>
        </w:rPr>
        <w:t>根据患者体型、腧穴部位及治疗需要选择一次性无菌毫针，常规消毒后进针。针刺方向和深度应根据腧穴所在部位及解剖结构确定，得气后根据证候虚实采用相应补泻手法。胸背部腧穴应严格控制针刺方向和深度，避免深刺。一般留针10～20 min，每日1次，5次为1个疗程；可根据患者康复阶段、症状变化及耐受情况调整治疗频次和疗程。</w:t>
      </w:r>
    </w:p>
    <w:p w14:paraId="12D2394F">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针灸操作安全提示：冠心病患者多长期服用抗血小板或抗凝药物，针灸操作应选用细毫针（0.25 mm×25 mm或更细），避免深刺、重提插和电针强刺激，出针后须延长按压时间至3~5 min。Ⅰ期住院患者针灸操作应由高年资中医师在床边实施，并密切观察有无皮下血肿或晕针反应。</w:t>
      </w:r>
    </w:p>
    <w:p w14:paraId="6D346881">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（2）艾灸疗法（C级证据，弱推荐）</w:t>
      </w:r>
    </w:p>
    <w:p w14:paraId="0E9A1B92">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推荐穴位：主穴：内关、膻中、心俞、至阳</w:t>
      </w:r>
      <w:r>
        <w:rPr>
          <w:rStyle w:val="20"/>
          <w:color w:val="000000"/>
        </w:rPr>
        <w:t>[</w:t>
      </w:r>
      <w:r>
        <w:rPr>
          <w:rFonts w:hint="eastAsia"/>
          <w:color w:val="000000"/>
          <w:vertAlign w:val="superscript"/>
        </w:rPr>
        <w:t>67</w:t>
      </w:r>
      <w:r>
        <w:rPr>
          <w:rStyle w:val="20"/>
          <w:color w:val="000000"/>
        </w:rPr>
        <w:t>]</w:t>
      </w:r>
    </w:p>
    <w:p w14:paraId="49206982">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配穴：气虚血瘀证加气海、足三里</w:t>
      </w:r>
      <w:r>
        <w:rPr>
          <w:rStyle w:val="20"/>
          <w:color w:val="000000"/>
        </w:rPr>
        <w:t>[</w:t>
      </w:r>
      <w:r>
        <w:rPr>
          <w:rFonts w:hint="eastAsia"/>
          <w:color w:val="000000"/>
          <w:vertAlign w:val="superscript"/>
        </w:rPr>
        <w:t>68][69</w:t>
      </w:r>
      <w:r>
        <w:rPr>
          <w:rStyle w:val="20"/>
          <w:color w:val="000000"/>
        </w:rPr>
        <w:t>]</w:t>
      </w:r>
      <w:r>
        <w:rPr>
          <w:rFonts w:hint="eastAsia"/>
          <w:color w:val="000000"/>
        </w:rPr>
        <w:t>，痰浊血瘀证加丰隆、足三里</w:t>
      </w:r>
      <w:r>
        <w:rPr>
          <w:rStyle w:val="20"/>
          <w:color w:val="000000"/>
        </w:rPr>
        <w:t>[</w:t>
      </w:r>
      <w:r>
        <w:rPr>
          <w:rFonts w:hint="eastAsia"/>
          <w:color w:val="000000"/>
          <w:vertAlign w:val="superscript"/>
        </w:rPr>
        <w:t>70]</w:t>
      </w:r>
      <w:r>
        <w:rPr>
          <w:rFonts w:hint="eastAsia"/>
          <w:color w:val="000000"/>
        </w:rPr>
        <w:t>。</w:t>
      </w:r>
    </w:p>
    <w:p w14:paraId="7B7C8647">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（3）穴位贴敷（C级证据，弱推荐）</w:t>
      </w:r>
    </w:p>
    <w:p w14:paraId="73383AC4">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推荐穴位：内关、膻中、心俞</w:t>
      </w:r>
      <w:r>
        <w:rPr>
          <w:rStyle w:val="20"/>
          <w:color w:val="000000"/>
        </w:rPr>
        <w:t>[</w:t>
      </w:r>
      <w:r>
        <w:rPr>
          <w:rFonts w:hint="eastAsia"/>
          <w:color w:val="000000"/>
          <w:vertAlign w:val="superscript"/>
        </w:rPr>
        <w:t>71</w:t>
      </w:r>
      <w:r>
        <w:rPr>
          <w:rStyle w:val="20"/>
          <w:color w:val="000000"/>
        </w:rPr>
        <w:t>]</w:t>
      </w:r>
      <w:r>
        <w:rPr>
          <w:rFonts w:hint="eastAsia"/>
          <w:color w:val="000000"/>
        </w:rPr>
        <w:t>。</w:t>
      </w:r>
    </w:p>
    <w:p w14:paraId="4F335D79">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推荐中药配方：根据病情辨证选用活血化瘀、芳香开窍等药。参考方：黄芪、丹参各30g、川芎20g、细辛、肉桂各6g、冰片0.3g。上药共研细末，每次取药粉3~5 g，以姜汁或醋调成糊状，制成直径约1.5~2 cm的药饼，贴敷于选定穴位，外用医用敷料固定，每日1次，每次贴敷4~6 h。（注：敷药后若出现红疹、瘙痒、水疱等现象应暂停使用。对药物或敷料成分过敏者或贴敷部位有创伤、溃疡者禁用）</w:t>
      </w:r>
      <w:r>
        <w:rPr>
          <w:rStyle w:val="20"/>
          <w:color w:val="000000"/>
        </w:rPr>
        <w:t>[</w:t>
      </w:r>
      <w:r>
        <w:rPr>
          <w:rFonts w:hint="eastAsia"/>
          <w:color w:val="000000"/>
          <w:vertAlign w:val="superscript"/>
        </w:rPr>
        <w:t>72]</w:t>
      </w:r>
      <w:r>
        <w:rPr>
          <w:rFonts w:hint="eastAsia"/>
          <w:color w:val="000000"/>
        </w:rPr>
        <w:t>。</w:t>
      </w:r>
    </w:p>
    <w:p w14:paraId="0095D6EF">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（4）耳穴疗法 （</w:t>
      </w:r>
      <w:r>
        <w:rPr>
          <w:color w:val="000000"/>
        </w:rPr>
        <w:t>C</w:t>
      </w:r>
      <w:r>
        <w:rPr>
          <w:rFonts w:hint="eastAsia"/>
          <w:color w:val="000000"/>
        </w:rPr>
        <w:t>级证据，弱推荐）</w:t>
      </w:r>
    </w:p>
    <w:p w14:paraId="0F63387D">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推荐穴位：主穴：心、小肠、皮质下、神门、交感，配穴：气虚血瘀证加心脏点、胸、肝、肾</w:t>
      </w:r>
      <w:r>
        <w:rPr>
          <w:rStyle w:val="20"/>
          <w:color w:val="000000"/>
        </w:rPr>
        <w:t>[</w:t>
      </w:r>
      <w:r>
        <w:rPr>
          <w:rFonts w:hint="eastAsia"/>
          <w:color w:val="000000"/>
          <w:vertAlign w:val="superscript"/>
        </w:rPr>
        <w:t>73]</w:t>
      </w:r>
      <w:r>
        <w:rPr>
          <w:rFonts w:hint="eastAsia"/>
          <w:color w:val="000000"/>
        </w:rPr>
        <w:t>，气滞血瘀证加肝、脾</w:t>
      </w:r>
      <w:r>
        <w:rPr>
          <w:rStyle w:val="20"/>
          <w:color w:val="000000"/>
        </w:rPr>
        <w:t>[</w:t>
      </w:r>
      <w:r>
        <w:rPr>
          <w:rFonts w:hint="eastAsia"/>
          <w:color w:val="000000"/>
          <w:vertAlign w:val="superscript"/>
        </w:rPr>
        <w:t>74]</w:t>
      </w:r>
      <w:r>
        <w:rPr>
          <w:rFonts w:hint="eastAsia"/>
          <w:color w:val="000000"/>
        </w:rPr>
        <w:t>；痰浊血瘀证加肾上腺、内分泌、胸、肝</w:t>
      </w:r>
      <w:r>
        <w:rPr>
          <w:rStyle w:val="20"/>
          <w:color w:val="000000"/>
        </w:rPr>
        <w:t>[</w:t>
      </w:r>
      <w:r>
        <w:rPr>
          <w:rFonts w:hint="eastAsia"/>
          <w:color w:val="000000"/>
          <w:vertAlign w:val="superscript"/>
        </w:rPr>
        <w:t>75]</w:t>
      </w:r>
      <w:r>
        <w:rPr>
          <w:rFonts w:hint="eastAsia"/>
          <w:color w:val="000000"/>
        </w:rPr>
        <w:t>。</w:t>
      </w:r>
    </w:p>
    <w:p w14:paraId="6C7AC696">
      <w:pPr>
        <w:pageBreakBefore w:val="0"/>
        <w:widowControl w:val="0"/>
        <w:kinsoku/>
        <w:wordWrap/>
        <w:overflowPunct/>
        <w:topLinePunct w:val="0"/>
        <w:autoSpaceDE/>
        <w:autoSpaceDN/>
        <w:bidi w:val="0"/>
        <w:adjustRightInd/>
        <w:snapToGrid/>
        <w:spacing w:line="360" w:lineRule="exact"/>
        <w:ind w:firstLine="420"/>
        <w:textAlignment w:val="auto"/>
        <w:rPr>
          <w:color w:val="000000"/>
        </w:rPr>
      </w:pPr>
      <w:r>
        <w:rPr>
          <w:rFonts w:hint="eastAsia"/>
          <w:color w:val="000000"/>
        </w:rPr>
        <w:t>耳穴疗法在康复分期中的应用建议：Ⅰ期住院患者以心、神门、交感为主，重点缓解早期活动恐惧和失眠；Ⅱ期及Ⅲ期以心、皮质下、交感、胸为主，重点改善运动训练中的胸闷不适和训练后心理疲劳。各期均采用王不留行籽贴压，每次按压1~2 min，每日按压3</w:t>
      </w:r>
      <w:r>
        <w:rPr>
          <w:color w:val="000000"/>
        </w:rPr>
        <w:t>～</w:t>
      </w:r>
      <w:r>
        <w:rPr>
          <w:rFonts w:hint="eastAsia"/>
          <w:color w:val="000000"/>
        </w:rPr>
        <w:t>5次，双耳交替，每3</w:t>
      </w:r>
      <w:r>
        <w:rPr>
          <w:color w:val="000000"/>
        </w:rPr>
        <w:t>～</w:t>
      </w:r>
      <w:r>
        <w:rPr>
          <w:rFonts w:hint="eastAsia"/>
          <w:color w:val="000000"/>
        </w:rPr>
        <w:t>5日更换一次。</w:t>
      </w:r>
    </w:p>
    <w:p w14:paraId="3D215028">
      <w:pPr>
        <w:pageBreakBefore w:val="0"/>
        <w:widowControl w:val="0"/>
        <w:kinsoku/>
        <w:wordWrap/>
        <w:overflowPunct/>
        <w:topLinePunct w:val="0"/>
        <w:autoSpaceDE/>
        <w:autoSpaceDN/>
        <w:bidi w:val="0"/>
        <w:adjustRightInd/>
        <w:snapToGrid/>
        <w:spacing w:line="360" w:lineRule="exact"/>
        <w:ind w:firstLine="420"/>
        <w:textAlignment w:val="auto"/>
        <w:rPr>
          <w:b/>
          <w:bCs/>
        </w:rPr>
      </w:pPr>
      <w:r>
        <w:rPr>
          <w:rFonts w:hint="eastAsia"/>
          <w:b/>
          <w:bCs/>
        </w:rPr>
        <w:t>推荐意见说明：</w:t>
      </w:r>
    </w:p>
    <w:p w14:paraId="420CE0BA">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针刺、艾灸、穴位贴敷和耳穴等中医外治技术，可作为冠心病综合心脏康复中的非药物辅助干预。其应用应建立在规范冠心病治疗、运动康复、危险因素管理及其他二级预防措施基础上，根据患者临床稳定性、康复阶段、症状负担、中医证候、心理状态及安全条件进行个体化选择。现有研究主要关注心绞痛症状、运动耐量、焦虑抑郁、生活质量及部分心电图相关指标，因此其主要定位为辅助症状管理和康复支持，不应替代运动康复、循证药物治疗及其他标准心脏康复措施。</w:t>
      </w:r>
    </w:p>
    <w:p w14:paraId="5FE96AEC">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针灸作为一种传统的中医治疗方法，在冠心病患者的康复过程中表现出一定的疗效。</w:t>
      </w:r>
    </w:p>
    <w:p w14:paraId="03162361">
      <w:pPr>
        <w:pageBreakBefore w:val="0"/>
        <w:widowControl w:val="0"/>
        <w:kinsoku/>
        <w:wordWrap/>
        <w:overflowPunct/>
        <w:topLinePunct w:val="0"/>
        <w:autoSpaceDE/>
        <w:autoSpaceDN/>
        <w:bidi w:val="0"/>
        <w:adjustRightInd/>
        <w:snapToGrid/>
        <w:spacing w:line="360" w:lineRule="exact"/>
        <w:ind w:firstLine="420" w:firstLineChars="200"/>
        <w:textAlignment w:val="auto"/>
      </w:pPr>
      <w:r>
        <w:t>针刺可作为规范抗心绞痛治疗基础上的辅助干预。一项纳入404例慢性稳定型心绞痛患者的多中心随机临床试验显示，采用内关、通里等穴位针刺，每周3次、连续4周，可进一步减少心绞痛发作；与假针刺组相比，随访16周时心绞痛发作减少5.18次/4周（95%CI 3.54～6.81）。一项纳入17项随机对照试验的系统评价和Meta分析亦显示，针刺可减少心绞痛发作，并对焦虑、抑郁等结局具有一定改善作用</w:t>
      </w:r>
      <w:r>
        <w:rPr>
          <w:rStyle w:val="20"/>
        </w:rPr>
        <w:t xml:space="preserve"> [</w:t>
      </w:r>
      <w:r>
        <w:rPr>
          <w:rFonts w:hint="eastAsia"/>
          <w:color w:val="000000"/>
          <w:vertAlign w:val="superscript"/>
        </w:rPr>
        <w:t>76]</w:t>
      </w:r>
      <w:r>
        <w:rPr>
          <w:rFonts w:hint="eastAsia"/>
        </w:rPr>
        <w:t>。</w:t>
      </w:r>
    </w:p>
    <w:p w14:paraId="0357F19F">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艾灸是治疗冠心病心绞痛有效的中医特色外治疗法，</w:t>
      </w:r>
      <w:r>
        <w:t>一项系统评价纳入了13项临床试验，共计1,318例患者</w:t>
      </w:r>
      <w:r>
        <w:rPr>
          <w:rFonts w:hint="eastAsia"/>
        </w:rPr>
        <w:t>的</w:t>
      </w:r>
      <w:r>
        <w:t>Meta分析结果显示，与对照组相比，艾灸组在改善心绞痛症状方面具有显著优势，与西药组（RR=1.22，95%CI［1.11, 1.33］</w:t>
      </w:r>
      <w:r>
        <w:rPr>
          <w:rFonts w:hint="eastAsia"/>
        </w:rPr>
        <w:t>，P＜0.01</w:t>
      </w:r>
      <w:r>
        <w:t>）和针刺组（RR=1.50，95%CI［1.23, 1.83］</w:t>
      </w:r>
      <w:r>
        <w:rPr>
          <w:rFonts w:hint="eastAsia"/>
        </w:rPr>
        <w:t>，P＜0.01</w:t>
      </w:r>
      <w:r>
        <w:t>）相比疗效更佳，差异具有统计学意义；在心电图改善方面，艾灸组亦表现出显著疗效（RR=1.23，95%CI［1.14, 1.33］</w:t>
      </w:r>
      <w:r>
        <w:rPr>
          <w:rFonts w:hint="eastAsia"/>
        </w:rPr>
        <w:t>，P＜0.01</w:t>
      </w:r>
      <w:r>
        <w:t>）</w:t>
      </w:r>
      <w:r>
        <w:rPr>
          <w:rStyle w:val="20"/>
        </w:rPr>
        <w:t>[</w:t>
      </w:r>
      <w:r>
        <w:rPr>
          <w:rFonts w:hint="eastAsia"/>
          <w:color w:val="000000"/>
          <w:vertAlign w:val="superscript"/>
        </w:rPr>
        <w:t>78</w:t>
      </w:r>
      <w:r>
        <w:rPr>
          <w:rStyle w:val="20"/>
        </w:rPr>
        <w:t>]</w:t>
      </w:r>
      <w:r>
        <w:t>。</w:t>
      </w:r>
    </w:p>
    <w:p w14:paraId="5FDD08C6">
      <w:pPr>
        <w:pageBreakBefore w:val="0"/>
        <w:widowControl w:val="0"/>
        <w:kinsoku/>
        <w:wordWrap/>
        <w:overflowPunct/>
        <w:topLinePunct w:val="0"/>
        <w:autoSpaceDE/>
        <w:autoSpaceDN/>
        <w:bidi w:val="0"/>
        <w:adjustRightInd/>
        <w:snapToGrid/>
        <w:spacing w:line="360" w:lineRule="exact"/>
        <w:ind w:firstLine="420" w:firstLineChars="200"/>
        <w:textAlignment w:val="auto"/>
      </w:pPr>
      <w:r>
        <w:t>一项系统评价纳入16项随机对照试验，共计1081例患者。结果显示，在常规西药治疗基础上联合中药穴位贴敷，可进一步改善不稳定型心绞痛患者的心绞痛症状（RR=1.23，95%CI［1.15, 1.32］，P＜0.01）心电图缺血表现（RR=1.23，95%CI［1.12, 1.36］，P＜0.01）硝酸甘油使用情况（RR=1.34，95%CI［1.19, 1.51］，P＜0.01）及中医症状（RR=1.29，95%CI［1.19, 1.41］，P＜0.01），并可能改善SAQ评分。该研究提示，中药穴位贴敷可作为规范治疗基础上的辅助干预措施。穴位贴敷可能引起皮肤瘙痒、红疹和水疱等局部不良反应，临床应用时应注意规范操作及患者个体耐受性</w:t>
      </w:r>
      <w:r>
        <w:rPr>
          <w:rStyle w:val="20"/>
        </w:rPr>
        <w:t>[</w:t>
      </w:r>
      <w:r>
        <w:rPr>
          <w:rFonts w:hint="eastAsia"/>
          <w:color w:val="000000"/>
          <w:vertAlign w:val="superscript"/>
        </w:rPr>
        <w:t>79]</w:t>
      </w:r>
      <w:r>
        <w:rPr>
          <w:rFonts w:hint="eastAsia"/>
          <w:color w:val="000000"/>
        </w:rPr>
        <w:t>。</w:t>
      </w:r>
    </w:p>
    <w:p w14:paraId="3DA6849D">
      <w:pPr>
        <w:pageBreakBefore w:val="0"/>
        <w:widowControl w:val="0"/>
        <w:kinsoku/>
        <w:wordWrap/>
        <w:overflowPunct/>
        <w:topLinePunct w:val="0"/>
        <w:autoSpaceDE/>
        <w:autoSpaceDN/>
        <w:bidi w:val="0"/>
        <w:adjustRightInd/>
        <w:snapToGrid/>
        <w:spacing w:line="360" w:lineRule="exact"/>
        <w:ind w:firstLine="420" w:firstLineChars="200"/>
        <w:textAlignment w:val="auto"/>
      </w:pPr>
      <w:r>
        <w:t>一项随机对照研究纳入82例冠心病心绞痛气虚血瘀证患者，评价在增强型体外反搏（EECP）康复干预基础上联合耳穴压豆的效果。与单纯EECP相比，联合耳穴压豆后患者心绞痛发作次数、持续时间、疼痛程度及SAQ相关维度进一步改善。该研究提示，耳穴压豆可作为EECP等现代康复措施的辅助干预</w:t>
      </w:r>
      <w:r>
        <w:rPr>
          <w:rStyle w:val="20"/>
        </w:rPr>
        <w:t>[</w:t>
      </w:r>
      <w:r>
        <w:rPr>
          <w:rFonts w:hint="eastAsia"/>
          <w:vertAlign w:val="superscript"/>
        </w:rPr>
        <w:t>80</w:t>
      </w:r>
      <w:r>
        <w:rPr>
          <w:rStyle w:val="20"/>
        </w:rPr>
        <w:t>]</w:t>
      </w:r>
      <w:r>
        <w:t>。</w:t>
      </w:r>
    </w:p>
    <w:p w14:paraId="383A4CC8">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 中西医结合心理干预</w:t>
      </w:r>
    </w:p>
    <w:p w14:paraId="2FA07504">
      <w:pPr>
        <w:pStyle w:val="5"/>
        <w:pageBreakBefore w:val="0"/>
        <w:widowControl w:val="0"/>
        <w:kinsoku/>
        <w:wordWrap/>
        <w:overflowPunct/>
        <w:topLinePunct w:val="0"/>
        <w:autoSpaceDE/>
        <w:autoSpaceDN/>
        <w:bidi w:val="0"/>
        <w:adjustRightInd/>
        <w:snapToGrid/>
        <w:spacing w:line="360" w:lineRule="exact"/>
        <w:ind w:firstLine="420" w:firstLineChars="200"/>
        <w:textAlignment w:val="auto"/>
        <w:rPr>
          <w:b w:val="0"/>
          <w:bCs w:val="0"/>
        </w:rPr>
      </w:pPr>
      <w:r>
        <w:rPr>
          <w:rFonts w:hint="eastAsia"/>
          <w:b w:val="0"/>
          <w:bCs w:val="0"/>
        </w:rPr>
        <w:t>临床问题5：</w:t>
      </w:r>
      <w:r>
        <w:rPr>
          <w:b w:val="0"/>
          <w:bCs w:val="0"/>
        </w:rPr>
        <w:t xml:space="preserve">冠心病患者在心脏康复过程中如何进行心理评估，并实施中西医结合的个体化心理康复干预？ </w:t>
      </w:r>
    </w:p>
    <w:p w14:paraId="39B5E48F">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9.1 心理状态评估与风险分层</w:t>
      </w:r>
    </w:p>
    <w:p w14:paraId="745CC7E4">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b/>
          <w:bCs/>
        </w:rPr>
        <w:t>推荐意见11：</w:t>
      </w:r>
    </w:p>
    <w:p w14:paraId="120E0E14">
      <w:pPr>
        <w:pageBreakBefore w:val="0"/>
        <w:widowControl w:val="0"/>
        <w:kinsoku/>
        <w:wordWrap/>
        <w:overflowPunct/>
        <w:topLinePunct w:val="0"/>
        <w:autoSpaceDE/>
        <w:autoSpaceDN/>
        <w:bidi w:val="0"/>
        <w:adjustRightInd/>
        <w:snapToGrid/>
        <w:spacing w:line="360" w:lineRule="exact"/>
        <w:ind w:firstLine="420"/>
        <w:textAlignment w:val="auto"/>
      </w:pPr>
      <w:r>
        <w:t>建议在冠心病心脏康复过程中采用患者健康问卷-9项（PHQ-9）和广泛性焦虑量表-7项（GAD-7）进行抑郁和焦虑症状筛查及随访评估；筛查阳性者应结合临床症状和功能影响进一步评估，必要时转诊精神心理专科。</w:t>
      </w:r>
      <w:r>
        <w:rPr>
          <w:rFonts w:hint="eastAsia"/>
        </w:rPr>
        <w:t>（B级证据，强推荐）</w:t>
      </w:r>
    </w:p>
    <w:p w14:paraId="403EDDB9">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9.2 分层心理康复与中西医协同干预</w:t>
      </w:r>
    </w:p>
    <w:p w14:paraId="46CCCE7C">
      <w:pPr>
        <w:pageBreakBefore w:val="0"/>
        <w:widowControl w:val="0"/>
        <w:kinsoku/>
        <w:wordWrap/>
        <w:overflowPunct/>
        <w:topLinePunct w:val="0"/>
        <w:autoSpaceDE/>
        <w:autoSpaceDN/>
        <w:bidi w:val="0"/>
        <w:adjustRightInd/>
        <w:snapToGrid/>
        <w:spacing w:line="360" w:lineRule="exact"/>
        <w:ind w:firstLine="420"/>
        <w:textAlignment w:val="auto"/>
        <w:rPr>
          <w:b/>
          <w:bCs/>
        </w:rPr>
      </w:pPr>
      <w:r>
        <w:rPr>
          <w:rFonts w:hint="eastAsia"/>
          <w:b/>
          <w:bCs/>
        </w:rPr>
        <w:t>推荐意见12：</w:t>
      </w:r>
    </w:p>
    <w:p w14:paraId="3A1A4171">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1）轻度症状患者：建议提供健康教育和心理支持，以提升心理适应能力，缓解症状。（B级证据，强推荐）</w:t>
      </w:r>
    </w:p>
    <w:p w14:paraId="1C4D5017">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2）中重度症状患者：</w:t>
      </w:r>
      <w:r>
        <w:t>对于症状持续、存在显著精神痛苦、明显影响疾病治疗或心脏康复，或既往有精神心理疾病史的患者，应进一步进行临床评估，必要时转诊精神心理专科；经专业评估需要药物治疗者，可在规范药物治疗基础上联合个体化心理干预。</w:t>
      </w:r>
      <w:r>
        <w:rPr>
          <w:rFonts w:hint="eastAsia"/>
        </w:rPr>
        <w:t>（B级证据，强推荐）</w:t>
      </w:r>
    </w:p>
    <w:p w14:paraId="5D063322">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3）认知行为疗法（CBT）：推荐采用CBT帮助患者识别和调整负性认知和行为模式，减轻焦虑和抑郁，</w:t>
      </w:r>
      <w:r>
        <w:t>提高生活质量</w:t>
      </w:r>
      <w:r>
        <w:rPr>
          <w:rFonts w:hint="eastAsia"/>
        </w:rPr>
        <w:t>。（B级证据，强推荐）</w:t>
      </w:r>
    </w:p>
    <w:p w14:paraId="51E482B5">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4）基于移动健康技术的心理干预：建议将移动健康技术作为传统心理干预的辅助工具，用于监测心理状态、促进健康行为并提供实时心理支持。（C级证据，强推荐）</w:t>
      </w:r>
    </w:p>
    <w:p w14:paraId="46772E0C">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推荐意见说明：</w:t>
      </w:r>
    </w:p>
    <w:p w14:paraId="652E6975">
      <w:pPr>
        <w:pageBreakBefore w:val="0"/>
        <w:widowControl w:val="0"/>
        <w:kinsoku/>
        <w:wordWrap/>
        <w:overflowPunct/>
        <w:topLinePunct w:val="0"/>
        <w:autoSpaceDE/>
        <w:autoSpaceDN/>
        <w:bidi w:val="0"/>
        <w:adjustRightInd/>
        <w:snapToGrid/>
        <w:spacing w:line="360" w:lineRule="exact"/>
        <w:ind w:firstLine="420" w:firstLineChars="200"/>
        <w:textAlignment w:val="auto"/>
      </w:pPr>
      <w:r>
        <w:t>抑郁和焦虑在冠心病及其他心血管疾病（CVD）患者中高度共病，并与心血管事件和死亡风险显著相关，成为影响疾病发生、发展及预后的</w:t>
      </w:r>
      <w:r>
        <w:rPr>
          <w:rFonts w:hint="eastAsia"/>
        </w:rPr>
        <w:t>重要</w:t>
      </w:r>
      <w:r>
        <w:t>因素。队列研究显示，在1,024名</w:t>
      </w:r>
      <w:r>
        <w:rPr>
          <w:rStyle w:val="20"/>
        </w:rPr>
        <w:t>[</w:t>
      </w:r>
      <w:r>
        <w:rPr>
          <w:rFonts w:hint="eastAsia"/>
          <w:vertAlign w:val="superscript"/>
        </w:rPr>
        <w:t>81</w:t>
      </w:r>
      <w:r>
        <w:rPr>
          <w:rStyle w:val="20"/>
        </w:rPr>
        <w:t>]</w:t>
      </w:r>
      <w:r>
        <w:t>冠心病患者中，12%患有临床抑郁症，45%患有亚临床抑郁症（PHQ-9评分≥5），其中29%在1年内需针对抑郁状态进行干预，反映出抑郁在冠心病患者中的高患病率及其临床干预需求。2016年一项大型荟萃分析</w:t>
      </w:r>
      <w:r>
        <w:rPr>
          <w:rStyle w:val="20"/>
        </w:rPr>
        <w:t>[</w:t>
      </w:r>
      <w:r>
        <w:rPr>
          <w:rStyle w:val="20"/>
          <w:rFonts w:hint="eastAsia" w:cs="Times New Roman"/>
        </w:rPr>
        <w:t>82</w:t>
      </w:r>
      <w:r>
        <w:rPr>
          <w:rStyle w:val="20"/>
        </w:rPr>
        <w:t>]</w:t>
      </w:r>
      <w:r>
        <w:t>纳入46个队列研究（共2,017,276名参与者），结果显示焦虑显著增加CVD死亡风险（RR=1.41，95% CI［1.13, 1.76］），并与冠心病（RR=1.41，95% CI［1.23, 1.61］）、中风（RR=1.71，95% CI［1.18, 2.50］）及心力衰竭（RR=1.35，95% CI［1.11, 1.64］）密切相关。抑郁作为CVD的独立危险因素也具有显著关联。一项2014</w:t>
      </w:r>
      <w:r>
        <w:rPr>
          <w:rStyle w:val="20"/>
        </w:rPr>
        <w:t>[</w:t>
      </w:r>
      <w:r>
        <w:rPr>
          <w:rStyle w:val="20"/>
          <w:rFonts w:hint="eastAsia" w:cs="Times New Roman"/>
        </w:rPr>
        <w:t>83]</w:t>
      </w:r>
      <w:r>
        <w:t>年的荟萃分析纳入30项前瞻性队列研究（共893,850名参与者），结果表明抑郁症与心肌梗死（RR=1.30，95% CI［1.22, 1.40］）及冠心病发病率（RR=1.30，95% CI［1.18, 1.44］）显著相关，</w:t>
      </w:r>
      <w:r>
        <w:rPr>
          <w:rFonts w:hint="eastAsia"/>
        </w:rPr>
        <w:t>因此临床康复综合管理中，需要重视患者心理健康的评估及干预</w:t>
      </w:r>
      <w:r>
        <w:t>。</w:t>
      </w:r>
    </w:p>
    <w:p w14:paraId="4090AB4F">
      <w:pPr>
        <w:pageBreakBefore w:val="0"/>
        <w:widowControl w:val="0"/>
        <w:kinsoku/>
        <w:wordWrap/>
        <w:overflowPunct/>
        <w:topLinePunct w:val="0"/>
        <w:autoSpaceDE/>
        <w:autoSpaceDN/>
        <w:bidi w:val="0"/>
        <w:adjustRightInd/>
        <w:snapToGrid/>
        <w:spacing w:line="360" w:lineRule="exact"/>
        <w:ind w:firstLine="420" w:firstLineChars="200"/>
        <w:textAlignment w:val="auto"/>
      </w:pPr>
      <w:r>
        <w:t>建议在冠心病及其他CVD患者管理中，应常规开展心理健康筛查，特别是针对抑郁和焦虑状态的评估（如采用PHQ-9或GAD-7量表），并早期识别患者的心理健康问题。心理问题不仅影响冠心病患者的情绪状态，还可能降低运动训练、药物依从性、生活方式改变及长期随访的参与程度。因此，心理评估和干预应作为综合心脏康复的重要组成部分。对于筛查阳性的患者，应结合症状严重程度、功能影响及患者偏好制定分层干预方案，包括健康教育、心理支持、运动与压力管理、CBT及必要的精神心理专科诊疗；具有相应中医证候者，可联合中医药和中医非药物技术进行个体化辅助干预。</w:t>
      </w:r>
    </w:p>
    <w:p w14:paraId="485CD5C6">
      <w:pPr>
        <w:pageBreakBefore w:val="0"/>
        <w:widowControl w:val="0"/>
        <w:kinsoku/>
        <w:wordWrap/>
        <w:overflowPunct/>
        <w:topLinePunct w:val="0"/>
        <w:autoSpaceDE/>
        <w:autoSpaceDN/>
        <w:bidi w:val="0"/>
        <w:adjustRightInd/>
        <w:snapToGrid/>
        <w:spacing w:line="360" w:lineRule="exact"/>
        <w:ind w:firstLine="420" w:firstLineChars="200"/>
        <w:textAlignment w:val="auto"/>
      </w:pPr>
      <w:r>
        <w:t>PHQ-9和GAD-7均为简短的自评量表，完成时间较短，便于在住院、门诊及心脏康复随访中使用，并可用于症状严重程度评价和动态监测。两种量表已在心血管疾病人群中得到应用和验证。中国心血管门诊患者研究显示，以10分作为筛查界值时，PHQ-9筛查抑郁的敏感度为87.1%、特异度为83.5%，GAD-7筛查焦虑的敏感度为86.4%、特异度为85.8%</w:t>
      </w:r>
      <w:r>
        <w:rPr>
          <w:rFonts w:hint="eastAsia"/>
        </w:rPr>
        <w:t>（</w:t>
      </w:r>
      <w:r>
        <w:t>GW25-e4488 The value of Chinese version GAD-7 and PHQ-9 to screen anxiety and depression in cardiovascular outpatients</w:t>
      </w:r>
      <w:r>
        <w:rPr>
          <w:rFonts w:hint="eastAsia"/>
        </w:rPr>
        <w:t>）</w:t>
      </w:r>
      <w:r>
        <w:t>。因此，本指南选择PHQ-9和GAD-7作为冠心病心脏康复过程中抑郁和焦虑症状的主要筛查工具。</w:t>
      </w:r>
    </w:p>
    <w:p w14:paraId="31E9547D">
      <w:pPr>
        <w:pageBreakBefore w:val="0"/>
        <w:widowControl w:val="0"/>
        <w:kinsoku/>
        <w:wordWrap/>
        <w:overflowPunct/>
        <w:topLinePunct w:val="0"/>
        <w:autoSpaceDE/>
        <w:autoSpaceDN/>
        <w:bidi w:val="0"/>
        <w:adjustRightInd/>
        <w:snapToGrid/>
        <w:spacing w:line="360" w:lineRule="exact"/>
        <w:ind w:firstLine="420" w:firstLineChars="200"/>
        <w:textAlignment w:val="auto"/>
        <w:rPr>
          <w:color w:val="FF0000"/>
        </w:rPr>
      </w:pPr>
      <w:r>
        <w:rPr>
          <w:rFonts w:hint="eastAsia"/>
        </w:rPr>
        <w:t>个性化心理干预结合老年患者特有的生理和心理特点，通过制定针对性的干预计划，显著减轻心理压力，提升康复效果。一项纳入3项随机对照试验（RCT，涉及276例患者）的研究</w:t>
      </w:r>
      <w:r>
        <w:rPr>
          <w:rStyle w:val="20"/>
        </w:rPr>
        <w:t>[</w:t>
      </w:r>
      <w:r>
        <w:rPr>
          <w:rFonts w:hint="eastAsia" w:cs="Times New Roman"/>
          <w:vertAlign w:val="superscript"/>
        </w:rPr>
        <w:t>84</w:t>
      </w:r>
      <w:r>
        <w:rPr>
          <w:rStyle w:val="20"/>
        </w:rPr>
        <w:t>][</w:t>
      </w:r>
      <w:r>
        <w:rPr>
          <w:rFonts w:hint="eastAsia" w:cs="Times New Roman"/>
          <w:vertAlign w:val="superscript"/>
        </w:rPr>
        <w:t>85][86]</w:t>
      </w:r>
      <w:r>
        <w:rPr>
          <w:rFonts w:hint="eastAsia"/>
        </w:rPr>
        <w:t>显示，与仅接受常规护理的对照组相比，联合心理护理干预的观察组在干预后其情绪评分、睡眠质量评分及生活质量评分均显著改善（P＜0.05），且优于对照组。认知行为疗法（CBT）作为一种有效的心理干预方式，通过调整患者的负性认知和行为模式，进一步减轻焦虑和抑郁等负面情绪。纳入5项RCT研究</w:t>
      </w:r>
      <w:r>
        <w:rPr>
          <w:rFonts w:hint="eastAsia" w:cs="Times New Roman"/>
          <w:vertAlign w:val="superscript"/>
        </w:rPr>
        <w:t>[87[88][89][90][91</w:t>
      </w:r>
      <w:r>
        <w:rPr>
          <w:rStyle w:val="20"/>
        </w:rPr>
        <w:t>]</w:t>
      </w:r>
      <w:r>
        <w:rPr>
          <w:rFonts w:hint="eastAsia"/>
        </w:rPr>
        <w:t>（464例冠心病患者）的分析表明，与接受常规护理的对照组相比，实施CBT的研究组在焦虑自评量表（SAS）和抑郁自评量表（SDS）评分上显著降低（P＜0.05），心血管事件发生率显著减少（P＜0.05），生活质量评分显著提高（P＜0.05）。此外，随着移动健康技术的快速发展，相关应用程序和设备能够通过实时监测患者心理状态与行为数据，提供即时的心理支持并促进健康行为。一项研究</w:t>
      </w:r>
      <w:r>
        <w:rPr>
          <w:rStyle w:val="20"/>
        </w:rPr>
        <w:t>[</w:t>
      </w:r>
      <w:r>
        <w:rPr>
          <w:rFonts w:hint="eastAsia" w:cs="Times New Roman"/>
          <w:vertAlign w:val="superscript"/>
        </w:rPr>
        <w:t>92]</w:t>
      </w:r>
      <w:r>
        <w:rPr>
          <w:rFonts w:hint="eastAsia"/>
        </w:rPr>
        <w:t>（60例患者）显示，基于移动医疗的心理干预方案在改善患者正性情绪得分和幸福感指数（P＜0.05）以及降低负性情绪评分（P＜0.05）方面显著优于常规健康教育。综上所述，</w:t>
      </w:r>
      <w:r>
        <w:t>现有证据总体支持心理支持、CBT及移动健康等干预改善冠心病患者的焦虑、抑郁及生活质量，并可能提高健康行为和心脏康复参与度。</w:t>
      </w:r>
    </w:p>
    <w:p w14:paraId="5F5B01A5">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9.3冠心病合并焦虑抑郁状态的中药治疗基于证候的中医药辅助心理康复</w:t>
      </w:r>
    </w:p>
    <w:p w14:paraId="415B06A9">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b/>
          <w:bCs/>
        </w:rPr>
        <w:t>推荐意见13：</w:t>
      </w:r>
      <w:r>
        <w:t>对于心脏康复过程中存在持续焦虑、抑郁、睡眠障碍等心理相关症状，且经中医辨证存在相应证候的冠心病患者，可在规范心脏康复及必要的心理干预基础上，辨证选择中药方剂作为辅助干预，不替代规范心理治疗及必要的精神心理专科诊疗。</w:t>
      </w:r>
    </w:p>
    <w:p w14:paraId="5C1B5490">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（1）合并肝郁气滞。症见：胸闷，胸痛，气促，精神抑郁，胁肋胀痛，腹胀，嗳气，善太息，不思饮食，苔薄或薄腻，可见舌缨线，脉弦细。合用柴胡疏肝散；（B级证据，强推荐）</w:t>
      </w:r>
    </w:p>
    <w:p w14:paraId="1F8809FB">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（2）合并肝郁化火。症见：</w:t>
      </w:r>
      <w:r>
        <w:t>急躁易怒，胸闷胁胀，头痛，目赤，耳鸣，嘈杂吞酸，口干口苦，大便秘结，舌质淡红、舌苔黄，</w:t>
      </w:r>
      <w:r>
        <w:rPr>
          <w:rFonts w:hint="eastAsia"/>
        </w:rPr>
        <w:t>可见舌缨线，</w:t>
      </w:r>
      <w:r>
        <w:t>脉弦数。</w:t>
      </w:r>
      <w:r>
        <w:rPr>
          <w:rFonts w:hint="eastAsia"/>
        </w:rPr>
        <w:t>合用柴胡加龙骨牡蛎汤；（B级证据，强推荐）</w:t>
      </w:r>
    </w:p>
    <w:p w14:paraId="40F3AAB7">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（3）合并痰火扰心。症见：</w:t>
      </w:r>
      <w:r>
        <w:t>心悸，胸闷，烦躁，失眠，多梦，口干苦，大便秘结，小便短赤，急躁易怒，舌红，苔黄腻，</w:t>
      </w:r>
      <w:r>
        <w:rPr>
          <w:rFonts w:hint="eastAsia"/>
        </w:rPr>
        <w:t>可见舌缨线，</w:t>
      </w:r>
      <w:r>
        <w:t>脉弦</w:t>
      </w:r>
      <w:r>
        <w:rPr>
          <w:rFonts w:hint="eastAsia"/>
        </w:rPr>
        <w:t>数或弦</w:t>
      </w:r>
      <w:r>
        <w:t>滑。</w:t>
      </w:r>
      <w:r>
        <w:rPr>
          <w:rFonts w:hint="eastAsia"/>
        </w:rPr>
        <w:t>合用黄连温胆汤；（B级证据，强推荐）</w:t>
      </w:r>
    </w:p>
    <w:p w14:paraId="5EE901B9">
      <w:pPr>
        <w:pageBreakBefore w:val="0"/>
        <w:widowControl w:val="0"/>
        <w:kinsoku/>
        <w:wordWrap/>
        <w:overflowPunct/>
        <w:topLinePunct w:val="0"/>
        <w:autoSpaceDE/>
        <w:autoSpaceDN/>
        <w:bidi w:val="0"/>
        <w:adjustRightInd/>
        <w:snapToGrid/>
        <w:spacing w:line="360" w:lineRule="exact"/>
        <w:ind w:firstLine="420"/>
        <w:textAlignment w:val="auto"/>
        <w:rPr>
          <w:strike/>
        </w:rPr>
      </w:pPr>
      <w:r>
        <w:rPr>
          <w:rFonts w:hint="eastAsia"/>
        </w:rPr>
        <w:t>（4）合并心胆气虚。症见：</w:t>
      </w:r>
      <w:r>
        <w:t>善惊易恐，稍惊即发，自卑绝望，悲伤欲哭，面色晄白，难以决断，心悸不宁，劳则加重，胸闷气短，坐卧不安，恶闻声响，失眠多梦，舌质淡或暗，舌苔薄白，脉细弦而动数，</w:t>
      </w:r>
      <w:r>
        <w:rPr>
          <w:rFonts w:hint="eastAsia"/>
        </w:rPr>
        <w:t>可见舌缨线，</w:t>
      </w:r>
      <w:r>
        <w:t>或沉细，或细而无力</w:t>
      </w:r>
      <w:r>
        <w:rPr>
          <w:rFonts w:hint="eastAsia"/>
        </w:rPr>
        <w:t>，合用桂枝加龙骨牡蛎汤（Ia，强推荐）。</w:t>
      </w:r>
    </w:p>
    <w:p w14:paraId="2BF40ED8">
      <w:pPr>
        <w:spacing w:line="360" w:lineRule="auto"/>
        <w:ind w:firstLine="420"/>
      </w:pPr>
      <w:r>
        <w:drawing>
          <wp:anchor distT="0" distB="0" distL="114300" distR="114300" simplePos="0" relativeHeight="251661312" behindDoc="0" locked="0" layoutInCell="1" allowOverlap="1">
            <wp:simplePos x="0" y="0"/>
            <wp:positionH relativeFrom="column">
              <wp:posOffset>0</wp:posOffset>
            </wp:positionH>
            <wp:positionV relativeFrom="paragraph">
              <wp:posOffset>196850</wp:posOffset>
            </wp:positionV>
            <wp:extent cx="5274310" cy="2454910"/>
            <wp:effectExtent l="0" t="0" r="13970" b="13970"/>
            <wp:wrapTopAndBottom/>
            <wp:docPr id="16291863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86335" name="图片 1"/>
                    <pic:cNvPicPr>
                      <a:picLocks noChangeAspect="1"/>
                    </pic:cNvPicPr>
                  </pic:nvPicPr>
                  <pic:blipFill>
                    <a:blip r:embed="rId16"/>
                    <a:stretch>
                      <a:fillRect/>
                    </a:stretch>
                  </pic:blipFill>
                  <pic:spPr>
                    <a:xfrm>
                      <a:off x="0" y="0"/>
                      <a:ext cx="5274310" cy="2454910"/>
                    </a:xfrm>
                    <a:prstGeom prst="rect">
                      <a:avLst/>
                    </a:prstGeom>
                  </pic:spPr>
                </pic:pic>
              </a:graphicData>
            </a:graphic>
          </wp:anchor>
        </w:drawing>
      </w:r>
    </w:p>
    <w:p w14:paraId="4CEA38E1">
      <w:pPr>
        <w:spacing w:line="360" w:lineRule="auto"/>
        <w:ind w:firstLine="420"/>
        <w:jc w:val="center"/>
      </w:pPr>
    </w:p>
    <w:p w14:paraId="5094E35C">
      <w:pPr>
        <w:spacing w:line="360" w:lineRule="auto"/>
        <w:ind w:firstLine="420"/>
        <w:jc w:val="center"/>
      </w:pPr>
      <w:r>
        <w:rPr>
          <w:rFonts w:hint="eastAsia"/>
        </w:rPr>
        <w:t>图 2冠心病合并焦虑抑郁证型转归及合并用药</w:t>
      </w:r>
    </w:p>
    <w:p w14:paraId="7AE30F2B">
      <w:pPr>
        <w:spacing w:line="360" w:lineRule="auto"/>
        <w:ind w:firstLine="420"/>
        <w:rPr>
          <w:b/>
          <w:bCs/>
        </w:rPr>
      </w:pPr>
      <w:r>
        <w:rPr>
          <w:rFonts w:hint="eastAsia"/>
          <w:b/>
          <w:bCs/>
        </w:rPr>
        <w:t>推荐意见说明：</w:t>
      </w:r>
    </w:p>
    <w:p w14:paraId="73C9E126">
      <w:pPr>
        <w:spacing w:line="360" w:lineRule="auto"/>
        <w:ind w:firstLine="420" w:firstLineChars="200"/>
      </w:pPr>
      <w:r>
        <w:rPr>
          <w:rFonts w:hint="eastAsia"/>
        </w:rPr>
        <w:t>中医认为心可影响人的意识、思维等精神活动，如《素问·</w:t>
      </w:r>
      <w:r>
        <w:t>灵兰秘典论》</w:t>
      </w:r>
      <w:r>
        <w:rPr>
          <w:rFonts w:hint="eastAsia"/>
        </w:rPr>
        <w:t>言：</w:t>
      </w:r>
      <w:r>
        <w:t>“心者，君主之官，神明出焉”</w:t>
      </w:r>
      <w:r>
        <w:rPr>
          <w:rFonts w:hint="eastAsia"/>
        </w:rPr>
        <w:t>，</w:t>
      </w:r>
      <w:r>
        <w:t>《血证论脏腑病机论》</w:t>
      </w:r>
      <w:r>
        <w:rPr>
          <w:rFonts w:hint="eastAsia"/>
        </w:rPr>
        <w:t>提出</w:t>
      </w:r>
      <w:r>
        <w:t>： “心为火脏，烛照事物，故司神明”</w:t>
      </w:r>
      <w:r>
        <w:rPr>
          <w:rFonts w:hint="eastAsia"/>
        </w:rPr>
        <w:t>等。冠心病合并焦虑抑郁病位在心，与肝脾肾有关，病性为虚、实两方面，虚者多为</w:t>
      </w:r>
      <w:r>
        <w:t>心</w:t>
      </w:r>
      <w:r>
        <w:rPr>
          <w:rFonts w:hint="eastAsia"/>
        </w:rPr>
        <w:t>气不足，心胆气虚</w:t>
      </w:r>
      <w:r>
        <w:t>导致</w:t>
      </w:r>
      <w:r>
        <w:rPr>
          <w:rFonts w:hint="eastAsia"/>
        </w:rPr>
        <w:t>心脉失濡养、</w:t>
      </w:r>
      <w:r>
        <w:t>心神失养</w:t>
      </w:r>
      <w:r>
        <w:rPr>
          <w:rFonts w:hint="eastAsia"/>
        </w:rPr>
        <w:t>；实者为</w:t>
      </w:r>
      <w:r>
        <w:t>肝</w:t>
      </w:r>
      <w:r>
        <w:rPr>
          <w:rFonts w:hint="eastAsia"/>
        </w:rPr>
        <w:t>郁气滞</w:t>
      </w:r>
      <w:r>
        <w:t>、</w:t>
      </w:r>
      <w:r>
        <w:rPr>
          <w:rFonts w:hint="eastAsia"/>
        </w:rPr>
        <w:t>肝郁化火、</w:t>
      </w:r>
      <w:r>
        <w:t>痰火扰心导致</w:t>
      </w:r>
      <w:r>
        <w:rPr>
          <w:rFonts w:hint="eastAsia"/>
        </w:rPr>
        <w:t>心脉痹阻、心神不安。其合并的症候参照《</w:t>
      </w:r>
      <w:r>
        <w:t>双心疾病中西医结合诊治专家共识》《经皮冠状动脉介入治疗（PCI）手术前后抑郁和（或）焦虑中医诊疗专家共识</w:t>
      </w:r>
      <w:r>
        <w:rPr>
          <w:rFonts w:hint="eastAsia"/>
        </w:rPr>
        <w:t>》。</w:t>
      </w:r>
    </w:p>
    <w:p w14:paraId="22CF6AD0">
      <w:pPr>
        <w:spacing w:line="360" w:lineRule="auto"/>
        <w:ind w:firstLine="420" w:firstLineChars="200"/>
      </w:pPr>
      <w:r>
        <w:rPr>
          <w:rFonts w:hint="eastAsia"/>
        </w:rPr>
        <w:t>对于肝郁气滞型冠心病合并焦虑抑郁的患者，建议合用柴胡疏肝散。根据一项纳入12篇文献的网状Meta分析</w:t>
      </w:r>
      <w:r>
        <w:rPr>
          <w:rFonts w:hint="eastAsia" w:cs="Times New Roman"/>
          <w:vertAlign w:val="superscript"/>
        </w:rPr>
        <w:t>[51</w:t>
      </w:r>
      <w:r>
        <w:rPr>
          <w:rStyle w:val="20"/>
        </w:rPr>
        <w:t>]</w:t>
      </w:r>
      <w:r>
        <w:rPr>
          <w:rFonts w:hint="eastAsia"/>
        </w:rPr>
        <w:t>，与常规西药治疗相比，在冠心病西医治疗基础上应用柴胡疏肝散可显著改善患者的临床症状（MD = -10.82，95% CI [-18.75, -2.89]）。</w:t>
      </w:r>
    </w:p>
    <w:p w14:paraId="0A4178B8">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 xml:space="preserve"> 对于合并肝郁化火的冠心病合并焦虑抑郁状态的患者，建议合用柴胡加龙骨牡蛎汤。</w:t>
      </w:r>
      <w:r>
        <w:t>一项系统评价和Meta分析纳入了22项随机对照研究，共计1528例冠心病合并焦虑抑郁状态的患者，研究结果显示，与对照组相比，柴胡加龙骨牡蛎汤试验组</w:t>
      </w:r>
      <w:r>
        <w:rPr>
          <w:rFonts w:hint="eastAsia"/>
        </w:rPr>
        <w:t>不仅能改善患者</w:t>
      </w:r>
      <w:r>
        <w:t>心绞痛疗效（RR=1.29，95%CI［1.21, 1.38］，P&lt;0.00001）、心电图疗效（RR=1.27，95%CI［1.11, 1.46］，P&lt;0.00001）、中医症状疗效（RR=1.32，95%CI［1.17, 1.48］，P&lt;0.00001）。</w:t>
      </w:r>
      <w:r>
        <w:rPr>
          <w:rFonts w:hint="eastAsia"/>
        </w:rPr>
        <w:t>更能</w:t>
      </w:r>
      <w:r>
        <w:t>显著降低</w:t>
      </w:r>
      <w:r>
        <w:rPr>
          <w:rFonts w:hint="eastAsia"/>
        </w:rPr>
        <w:t>患者</w:t>
      </w:r>
      <w:r>
        <w:t>汉密尔顿焦虑量表（HAMA）评分（MD=-5.17，95%CI［-6.41, -3.94］，P&lt;0.00001）和汉密尔顿抑郁量表（HAMD）评分（MD=-3.46，95%CI［-4.14, -2.77］，P&lt;0.00001）。</w:t>
      </w:r>
      <w:r>
        <w:rPr>
          <w:rFonts w:hint="eastAsia"/>
        </w:rPr>
        <w:t>同时</w:t>
      </w:r>
      <w:r>
        <w:t>亚组分析提示，柴胡加龙骨牡蛎汤联合抗焦虑抑郁药在降低HAMA评分方面效果更加显著，且安全性较好</w:t>
      </w:r>
      <w:r>
        <w:rPr>
          <w:rStyle w:val="20"/>
        </w:rPr>
        <w:t>[</w:t>
      </w:r>
      <w:r>
        <w:rPr>
          <w:rFonts w:hint="eastAsia" w:cs="Times New Roman"/>
          <w:vertAlign w:val="superscript"/>
        </w:rPr>
        <w:t>93</w:t>
      </w:r>
      <w:r>
        <w:rPr>
          <w:rStyle w:val="20"/>
        </w:rPr>
        <w:t>]</w:t>
      </w:r>
      <w:r>
        <w:t>。</w:t>
      </w:r>
    </w:p>
    <w:p w14:paraId="0CC0E571">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对于合并痰火扰心的冠心病合并焦虑抑郁状态的患者，建议合用黄连温胆汤</w:t>
      </w:r>
      <w:r>
        <w:rPr>
          <w:rStyle w:val="20"/>
        </w:rPr>
        <w:t>[</w:t>
      </w:r>
      <w:r>
        <w:rPr>
          <w:rFonts w:hint="eastAsia" w:cs="Times New Roman"/>
          <w:vertAlign w:val="superscript"/>
        </w:rPr>
        <w:t>94</w:t>
      </w:r>
      <w:r>
        <w:rPr>
          <w:rStyle w:val="20"/>
        </w:rPr>
        <w:t>]</w:t>
      </w:r>
      <w:r>
        <w:rPr>
          <w:rFonts w:hint="eastAsia"/>
        </w:rPr>
        <w:t>以增强清热化痰之功，一项纳入12篇文献、924例患者的Meta分析显示，与单独使用黛力新相比，加味温胆汤联合黛力新显著改善焦虑有效率（OR=2.71，95%CI［1.52，4.83］，P=0.0007）、抑郁有效率（OR=3.33，95%CI［1.51，7.35］，P=0.003），该联合治疗显著降低汉密顿焦虑量表（HAMA评分，MD=-3.86，P&lt;0.00001）、汉密顿抑郁量表（HAMD评分，MD=-4.90，P&lt;0.00001）、焦虑自评量表（SAS评分，MD=-3.53，P&lt;0.00001）及中医症候积分（MD=-4.02，P&lt;0.00001），并提升西雅图心绞痛量表（SAQ）各维度评分（P&lt;0.00001），且安全性良好。</w:t>
      </w:r>
    </w:p>
    <w:p w14:paraId="5F2ED52C">
      <w:pPr>
        <w:pageBreakBefore w:val="0"/>
        <w:widowControl w:val="0"/>
        <w:kinsoku/>
        <w:wordWrap/>
        <w:overflowPunct/>
        <w:topLinePunct w:val="0"/>
        <w:autoSpaceDE/>
        <w:autoSpaceDN/>
        <w:bidi w:val="0"/>
        <w:adjustRightInd/>
        <w:snapToGrid/>
        <w:spacing w:line="360" w:lineRule="exact"/>
        <w:ind w:firstLine="420" w:firstLineChars="200"/>
        <w:textAlignment w:val="auto"/>
        <w:rPr>
          <w:color w:val="000000" w:themeColor="text1"/>
          <w14:textFill>
            <w14:solidFill>
              <w14:schemeClr w14:val="tx1"/>
            </w14:solidFill>
          </w14:textFill>
        </w:rPr>
      </w:pPr>
      <w:r>
        <w:rPr>
          <w:rFonts w:hint="eastAsia"/>
        </w:rPr>
        <w:t>对于合并心胆气虚的冠心病合并焦虑抑郁状态的患者，建议合用</w:t>
      </w:r>
      <w:r>
        <w:rPr>
          <w:rFonts w:hint="eastAsia"/>
          <w:color w:val="000000" w:themeColor="text1"/>
          <w14:textFill>
            <w14:solidFill>
              <w14:schemeClr w14:val="tx1"/>
            </w14:solidFill>
          </w14:textFill>
        </w:rPr>
        <w:t>桂枝加龙骨牡蛎汤养心安神，桂枝加龙骨牡蛎汤出自《金匮要略·血痹虚劳病脉证治第五》，以桂枝汤补虚调阴阳，加龙骨牡蛎收敛心神浮越，镇静安神。桂枝加龙骨牡蛎汤证为情志失调、心失所养。心神失养，其治疗需宗“损其心者，调其营卫”之法，临床适用于冠心病合并焦虑抑郁心胆气虚证的患者。</w:t>
      </w:r>
    </w:p>
    <w:p w14:paraId="22B4F0DF">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9.4冠心病合并焦虑抑郁状态的中医外治法</w:t>
      </w:r>
    </w:p>
    <w:p w14:paraId="12896678">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b/>
          <w:bCs/>
        </w:rPr>
        <w:t>推荐意见14：</w:t>
      </w:r>
      <w:r>
        <w:t>对于心脏康复过程中伴有焦虑、抑郁、睡眠障碍或明显心理应激的冠心病患者，可在综合心理康复基础上，根据患者临床稳定性、康复阶段、运动能力、中医证候及个体偏好，选择针刺、耳穴、穴位按摩、穴位贴敷及中医传统运动等作为辅助性身心干预，以改善焦虑、抑郁等心理症状及生活质量。</w:t>
      </w:r>
    </w:p>
    <w:p w14:paraId="3C2CB9B3">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9.4.1针灸疗法</w:t>
      </w:r>
    </w:p>
    <w:p w14:paraId="1ADCD308">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lang w:val="zh-TW"/>
        </w:rPr>
      </w:pPr>
      <w:r>
        <w:rPr>
          <w:rFonts w:hint="eastAsia" w:ascii="宋体" w:hAnsi="宋体"/>
          <w:lang w:val="zh-TW" w:eastAsia="zh-TW"/>
        </w:rPr>
        <w:t>针灸穴位推荐：主穴：</w:t>
      </w:r>
      <w:r>
        <w:rPr>
          <w:rFonts w:hint="eastAsia" w:ascii="宋体" w:hAnsi="宋体"/>
        </w:rPr>
        <w:t>神门、膻中、太冲、内关、</w:t>
      </w:r>
      <w:r>
        <w:rPr>
          <w:rFonts w:hint="eastAsia" w:ascii="宋体" w:hAnsi="宋体"/>
          <w:lang w:val="zh-TW" w:eastAsia="zh-TW"/>
        </w:rPr>
        <w:t>心俞、膈俞、肾俞</w:t>
      </w:r>
      <w:r>
        <w:rPr>
          <w:rFonts w:ascii="宋体" w:hAnsi="宋体"/>
          <w:lang w:eastAsia="zh-TW"/>
        </w:rPr>
        <w:t>；</w:t>
      </w:r>
      <w:r>
        <w:rPr>
          <w:rFonts w:hint="eastAsia" w:ascii="宋体" w:hAnsi="宋体"/>
          <w:lang w:val="zh-TW" w:eastAsia="zh-TW"/>
        </w:rPr>
        <w:t xml:space="preserve"> </w:t>
      </w:r>
    </w:p>
    <w:p w14:paraId="2498ACEE">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lang w:val="zh-TW"/>
        </w:rPr>
      </w:pPr>
      <w:r>
        <w:rPr>
          <w:rFonts w:hint="eastAsia" w:ascii="宋体" w:hAnsi="宋体"/>
          <w:lang w:val="zh-TW" w:eastAsia="zh-TW"/>
        </w:rPr>
        <w:t>配穴：</w:t>
      </w:r>
      <w:r>
        <w:rPr>
          <w:rFonts w:hint="eastAsia" w:ascii="宋体" w:hAnsi="宋体"/>
        </w:rPr>
        <w:t>气虚血瘀证加</w:t>
      </w:r>
      <w:r>
        <w:rPr>
          <w:rFonts w:hint="eastAsia" w:ascii="宋体" w:hAnsi="宋体"/>
          <w:lang w:val="zh-TW" w:eastAsia="zh-TW"/>
        </w:rPr>
        <w:t>人中、 膻中、内关、郄门、足三里、三阴交；</w:t>
      </w:r>
      <w:r>
        <w:rPr>
          <w:rFonts w:hint="eastAsia" w:ascii="宋体" w:hAnsi="宋体"/>
        </w:rPr>
        <w:t>阳虚血瘀证加关元，气滞血瘀证加期门</w:t>
      </w:r>
      <w:r>
        <w:rPr>
          <w:rFonts w:hint="eastAsia" w:ascii="宋体" w:hAnsi="宋体"/>
          <w:vertAlign w:val="superscript"/>
        </w:rPr>
        <w:t>[</w:t>
      </w:r>
      <w:r>
        <w:rPr>
          <w:rFonts w:hint="eastAsia" w:cs="Times New Roman"/>
          <w:vertAlign w:val="superscript"/>
        </w:rPr>
        <w:t>95</w:t>
      </w:r>
      <w:r>
        <w:rPr>
          <w:rFonts w:hint="eastAsia" w:ascii="宋体" w:hAnsi="宋体"/>
          <w:vertAlign w:val="superscript"/>
        </w:rPr>
        <w:t>]</w:t>
      </w:r>
      <w:r>
        <w:rPr>
          <w:rFonts w:hint="eastAsia" w:ascii="宋体" w:hAnsi="宋体"/>
        </w:rPr>
        <w:t>；痰浊血瘀证加丰隆、中脘；气阴两虚血瘀证加肾俞</w:t>
      </w:r>
      <w:r>
        <w:rPr>
          <w:rStyle w:val="20"/>
          <w:rFonts w:ascii="宋体" w:hAnsi="宋体"/>
        </w:rPr>
        <w:t>[</w:t>
      </w:r>
      <w:r>
        <w:rPr>
          <w:rFonts w:hint="eastAsia" w:cs="Times New Roman"/>
          <w:vertAlign w:val="superscript"/>
        </w:rPr>
        <w:t>96][97]</w:t>
      </w:r>
      <w:r>
        <w:rPr>
          <w:rFonts w:hint="eastAsia" w:ascii="宋体" w:hAnsi="宋体"/>
          <w:lang w:val="zh-TW" w:eastAsia="zh-TW"/>
        </w:rPr>
        <w:t>。</w:t>
      </w:r>
    </w:p>
    <w:p w14:paraId="102EE3D5">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推拿按摩穴位推荐：大陵穴、劳宫穴、神门、内关、足三里、三阴交、血海等</w:t>
      </w:r>
      <w:r>
        <w:rPr>
          <w:rStyle w:val="20"/>
        </w:rPr>
        <w:t>[</w:t>
      </w:r>
      <w:r>
        <w:rPr>
          <w:rFonts w:hint="eastAsia" w:cs="Times New Roman"/>
          <w:vertAlign w:val="superscript"/>
        </w:rPr>
        <w:t>98][99]</w:t>
      </w:r>
      <w:r>
        <w:rPr>
          <w:rFonts w:hint="eastAsia"/>
        </w:rPr>
        <w:t>（专家共识推荐）。</w:t>
      </w:r>
    </w:p>
    <w:p w14:paraId="71E70CC9">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贴敷穴位推荐：内关、神门、厥阴俞、膻中等。（专家共识推荐）</w:t>
      </w:r>
    </w:p>
    <w:p w14:paraId="47E273E1">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推荐中药组成：丹参、酸枣仁、远志、柴胡、郁金等</w:t>
      </w:r>
      <w:r>
        <w:rPr>
          <w:rStyle w:val="20"/>
        </w:rPr>
        <w:t>[</w:t>
      </w:r>
      <w:r>
        <w:rPr>
          <w:rFonts w:hint="eastAsia" w:cs="Times New Roman"/>
          <w:vertAlign w:val="superscript"/>
        </w:rPr>
        <w:t>100</w:t>
      </w:r>
      <w:r>
        <w:rPr>
          <w:rStyle w:val="20"/>
        </w:rPr>
        <w:t>]</w:t>
      </w:r>
      <w:r>
        <w:rPr>
          <w:rFonts w:hint="eastAsia"/>
        </w:rPr>
        <w:t>。（专家共识推荐）</w:t>
      </w:r>
    </w:p>
    <w:p w14:paraId="55845820">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推荐意见说明：</w:t>
      </w:r>
    </w:p>
    <w:p w14:paraId="5135B836">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中医外治法在冠心病合并焦虑抑郁的治疗中具有多样化的应用，单独或联合使用可增强西药治疗效果。联合针刺特定穴位在常规治疗基础上对冠心病伴焦虑抑郁患者具有明显疗效，能有效缓解疲劳和减轻压力。一项纳入112例PCI术后老年冠心病伴焦虑抑郁患者的随机对照研究表明</w:t>
      </w:r>
      <w:r>
        <w:rPr>
          <w:rFonts w:hint="eastAsia" w:cs="Times New Roman"/>
          <w:vertAlign w:val="superscript"/>
        </w:rPr>
        <w:t>[101</w:t>
      </w:r>
      <w:r>
        <w:rPr>
          <w:rStyle w:val="20"/>
        </w:rPr>
        <w:t>]</w:t>
      </w:r>
      <w:r>
        <w:rPr>
          <w:rFonts w:hint="eastAsia"/>
        </w:rPr>
        <w:t>，常规治疗组、氟哌噻吨美利曲辛组（FM组）和FM+针刺组在治疗2周后，HADS评分均显著降低，且FM+针刺组的评分显著低于FM组</w:t>
      </w:r>
      <w:r>
        <w:t xml:space="preserve"> [MD = -2.09, 95% CI (-2.78, -1.41), P &lt; 0.01</w:t>
      </w:r>
      <w:r>
        <w:rPr>
          <w:rFonts w:hint="eastAsia"/>
        </w:rPr>
        <w:t>。</w:t>
      </w:r>
    </w:p>
    <w:p w14:paraId="14E8E1BC">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可在适宜情况下，酌情选择推拿按摩及穴位敷贴改善患者临床症状。</w:t>
      </w:r>
    </w:p>
    <w:p w14:paraId="4528B546">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9.4.2耳穴治疗</w:t>
      </w:r>
    </w:p>
    <w:p w14:paraId="45BF1F50">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双侧耳穴心、神门、皮质下、交感、肝、脾、肾。耳穴活血五连穴：心、肝、交感、心血管皮质下、热穴；气虚加神门、三焦；阳虚加耳大神经点；痰浊加三焦、脾；气滞加三焦，神经皮质下；气阴两虚，加脾、肾。（专家共识推荐）</w:t>
      </w:r>
    </w:p>
    <w:p w14:paraId="50211495">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推荐意见说明：耳穴压豆联合中药穴位贴敷在冠心病心脏康复中的临床应用广泛，特别在改善患者负面情绪方面具有一定疗效。根据一项纳入60例气滞血瘀型冠心病患者的</w:t>
      </w:r>
      <w:r>
        <w:t>随机对照试验</w:t>
      </w:r>
      <w:r>
        <w:rPr>
          <w:rFonts w:hint="eastAsia"/>
        </w:rPr>
        <w:t>，试验组在常规治疗基础上采用耳穴压豆联合中药穴位贴敷治疗，结果显示，试验组的临床总有效率为96.67%，显著高于对照组的53.33%（P &lt; 0.05）。此外，试验组患者的汉密尔顿焦虑量表（HAMA）评分好转[</w:t>
      </w:r>
      <w:r>
        <w:t>MD = -14.43, 95% CI (-14.98, -13.89), P &lt; 0.01</w:t>
      </w:r>
      <w:r>
        <w:rPr>
          <w:rFonts w:hint="eastAsia"/>
        </w:rPr>
        <w:t>]，及汉密尔顿抑郁量表（HAMD）[</w:t>
      </w:r>
      <w:r>
        <w:t>MD = -6.65, 95% CI (-7.05, -6.25), P &lt; 0.01</w:t>
      </w:r>
      <w:r>
        <w:rPr>
          <w:rFonts w:hint="eastAsia"/>
        </w:rPr>
        <w:t>]</w:t>
      </w:r>
      <w:r>
        <w:rPr>
          <w:rStyle w:val="20"/>
        </w:rPr>
        <w:t>[</w:t>
      </w:r>
      <w:r>
        <w:rPr>
          <w:rFonts w:hint="eastAsia" w:cs="Times New Roman"/>
          <w:vertAlign w:val="superscript"/>
        </w:rPr>
        <w:t>102</w:t>
      </w:r>
      <w:r>
        <w:rPr>
          <w:rStyle w:val="20"/>
        </w:rPr>
        <w:t>]</w:t>
      </w:r>
      <w:r>
        <w:rPr>
          <w:rFonts w:hint="eastAsia"/>
        </w:rPr>
        <w:t>。</w:t>
      </w:r>
    </w:p>
    <w:p w14:paraId="201F6DC6">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多项研究表明</w:t>
      </w:r>
      <w:r>
        <w:rPr>
          <w:rFonts w:hint="eastAsia" w:cs="Times New Roman"/>
          <w:vertAlign w:val="superscript"/>
        </w:rPr>
        <w:t>[103][104</w:t>
      </w:r>
      <w:r>
        <w:rPr>
          <w:rStyle w:val="20"/>
        </w:rPr>
        <w:t>]</w:t>
      </w:r>
      <w:r>
        <w:rPr>
          <w:rFonts w:hint="eastAsia"/>
        </w:rPr>
        <w:t>，穴位按摩、穴位贴敷和耳穴压豆在冠心病患者的焦虑和抑郁症状改善中具有显著疗效。根据一系列随机对照试验</w:t>
      </w:r>
      <w:r>
        <w:t>，在</w:t>
      </w:r>
      <w:r>
        <w:rPr>
          <w:rFonts w:hint="eastAsia"/>
        </w:rPr>
        <w:t>常规护理基础上加用这些中医治疗方法的组别，患者在中医证候（如胸闷、胸痛、气短、心悸）评分、汉密尔顿焦虑量表（HAMA）和汉密尔顿抑郁量表（HAMD）评分上均显著低于对照组（P &lt; 0.05），同时匹兹堡睡眠质量指数量表（PSQI）各维度评分也优于对照组（P &lt; 0.05）。</w:t>
      </w:r>
    </w:p>
    <w:p w14:paraId="70C31001">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9.4.3 中医功法治疗</w:t>
      </w:r>
    </w:p>
    <w:p w14:paraId="0649F6B8">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推荐冠心病合并焦虑抑郁的患者每日练习八段锦或者易筋经，每次持续时间30分钟；推荐每周联系3</w:t>
      </w:r>
      <w:r>
        <w:t>—</w:t>
      </w:r>
      <w:r>
        <w:rPr>
          <w:rFonts w:hint="eastAsia"/>
        </w:rPr>
        <w:t>5次太极拳，每次练习时间不少于30分钟；对于无法站立的患者，推荐采用坐式八段锦或六字诀，每天1次，时长约10</w:t>
      </w:r>
      <w:r>
        <w:t>—</w:t>
      </w:r>
      <w:r>
        <w:rPr>
          <w:rFonts w:hint="eastAsia"/>
        </w:rPr>
        <w:t>20分钟，一周5次。对于急性期及病情较重的患者，不宜劳累过度。（B级证据，强推荐）</w:t>
      </w:r>
    </w:p>
    <w:p w14:paraId="08AEE561">
      <w:pPr>
        <w:pageBreakBefore w:val="0"/>
        <w:widowControl w:val="0"/>
        <w:kinsoku/>
        <w:wordWrap/>
        <w:overflowPunct/>
        <w:topLinePunct w:val="0"/>
        <w:autoSpaceDE/>
        <w:autoSpaceDN/>
        <w:bidi w:val="0"/>
        <w:adjustRightInd/>
        <w:snapToGrid/>
        <w:spacing w:line="360" w:lineRule="exact"/>
        <w:ind w:firstLine="420"/>
        <w:textAlignment w:val="auto"/>
        <w:rPr>
          <w:b/>
          <w:bCs/>
        </w:rPr>
      </w:pPr>
      <w:r>
        <w:rPr>
          <w:rFonts w:hint="eastAsia"/>
          <w:b/>
          <w:bCs/>
        </w:rPr>
        <w:t>推荐意见说明：</w:t>
      </w:r>
    </w:p>
    <w:p w14:paraId="38A25EBB">
      <w:pPr>
        <w:pageBreakBefore w:val="0"/>
        <w:widowControl w:val="0"/>
        <w:kinsoku/>
        <w:wordWrap/>
        <w:overflowPunct/>
        <w:topLinePunct w:val="0"/>
        <w:autoSpaceDE/>
        <w:autoSpaceDN/>
        <w:bidi w:val="0"/>
        <w:adjustRightInd/>
        <w:snapToGrid/>
        <w:spacing w:line="360" w:lineRule="exact"/>
        <w:ind w:firstLine="420" w:firstLineChars="200"/>
        <w:textAlignment w:val="auto"/>
        <w:rPr>
          <w:color w:val="FF0000"/>
        </w:rPr>
      </w:pPr>
      <w:r>
        <w:rPr>
          <w:rFonts w:hint="eastAsia"/>
        </w:rPr>
        <w:t>1项坐式八段锦运动在冠心病经皮冠状动脉介入治疗（PCI）术后患者康复的随机对照研究</w:t>
      </w:r>
      <w:r>
        <w:rPr>
          <w:rStyle w:val="20"/>
        </w:rPr>
        <w:t>[</w:t>
      </w:r>
      <w:r>
        <w:rPr>
          <w:rFonts w:hint="eastAsia" w:cs="Times New Roman"/>
          <w:vertAlign w:val="superscript"/>
        </w:rPr>
        <w:t>105]</w:t>
      </w:r>
      <w:r>
        <w:rPr>
          <w:rFonts w:hint="eastAsia"/>
          <w:color w:val="000000" w:themeColor="text1"/>
          <w14:textFill>
            <w14:solidFill>
              <w14:schemeClr w14:val="tx1"/>
            </w14:solidFill>
          </w14:textFill>
        </w:rPr>
        <w:t>，</w:t>
      </w:r>
      <w:r>
        <w:rPr>
          <w:rFonts w:hint="eastAsia"/>
        </w:rPr>
        <w:t>纳入110例患者。对照组采用常规护理，观察组在常规基础上加上坐式八段锦运动。护理后，两组焦虑、抑郁评分均显著降低（P&lt;0.05）。</w:t>
      </w:r>
    </w:p>
    <w:p w14:paraId="4818F104">
      <w:pPr>
        <w:pageBreakBefore w:val="0"/>
        <w:widowControl w:val="0"/>
        <w:kinsoku/>
        <w:wordWrap/>
        <w:overflowPunct/>
        <w:topLinePunct w:val="0"/>
        <w:autoSpaceDE/>
        <w:autoSpaceDN/>
        <w:bidi w:val="0"/>
        <w:adjustRightInd/>
        <w:snapToGrid/>
        <w:spacing w:line="360" w:lineRule="exact"/>
        <w:ind w:firstLine="420" w:firstLineChars="200"/>
        <w:textAlignment w:val="auto"/>
        <w:rPr>
          <w:color w:val="FF0000"/>
        </w:rPr>
      </w:pPr>
      <w:r>
        <w:rPr>
          <w:rFonts w:hint="eastAsia"/>
        </w:rPr>
        <w:t>一项系统评价和Meta分析纳入了13项研究，评估了基于太极的心脏康复对冠心病（CHD）患者有氧耐力、心理社会健康和心血管疾病风险降低的影响。结果显示，与活跃或非活跃对照组相比，太极显著提高了患者的有氧耐力（SMD=1.12；95% CI：0.58-1.66；P&lt;0.001）；与非活跃对照组相比，太极组患者的焦虑水平（SMD=9.28；95% CI：17.46-1.10；P=0.03）和抑郁水平（SMD=9.42；95% CI：13.59-5.26；P&lt;0.001）显著降低，生活质量（SMD=0.73；95% CI：0.39-1.08；P&lt;0.001）显著改善。这些结果表明，太极是一种具有成本效益、安全且有效的运动干预方式，尤其在改善有氧耐力和心理社会健康方面效果显著</w:t>
      </w:r>
      <w:r>
        <w:rPr>
          <w:rStyle w:val="20"/>
        </w:rPr>
        <w:t>[</w:t>
      </w:r>
      <w:r>
        <w:rPr>
          <w:rFonts w:hint="eastAsia"/>
          <w:vertAlign w:val="superscript"/>
        </w:rPr>
        <w:t>106</w:t>
      </w:r>
      <w:r>
        <w:rPr>
          <w:rStyle w:val="20"/>
        </w:rPr>
        <w:t>]</w:t>
      </w:r>
      <w:r>
        <w:rPr>
          <w:rFonts w:hint="eastAsia"/>
        </w:rPr>
        <w:t>。</w:t>
      </w:r>
    </w:p>
    <w:p w14:paraId="7FE3126C">
      <w:pPr>
        <w:pageBreakBefore w:val="0"/>
        <w:widowControl w:val="0"/>
        <w:kinsoku/>
        <w:wordWrap/>
        <w:overflowPunct/>
        <w:topLinePunct w:val="0"/>
        <w:autoSpaceDE/>
        <w:autoSpaceDN/>
        <w:bidi w:val="0"/>
        <w:adjustRightInd/>
        <w:snapToGrid/>
        <w:spacing w:line="360" w:lineRule="exact"/>
        <w:ind w:firstLine="420"/>
        <w:textAlignment w:val="auto"/>
      </w:pPr>
      <w:r>
        <w:t>一项随机对照研究评估了健身气功六字诀对冠心病合并抑郁状态患者的疗效，共纳入68例患者，最终对照组纳入30例，治疗组纳入34例，治疗组在常规治疗与护理的基础上进行了2周健身气功六字诀锻炼。研究结果显示，与对照组相比，治疗组在多方面具有显著优势：治疗组HAMD评分显著低于对照组（9.56±3.96 vs. 13.43±4.37，P&lt;0.05），表明健身气功六字诀显著缓解了抑郁状态；治疗组中医症状积分总有效率为85.3%，显著高于对照组的70.0%（P&lt;0.05）；在西雅图心绞痛量表（SAQ）中，治疗组在心绞痛稳定状态、心绞痛发作情况、躯体活动受限及治疗满意度评分方面均优于对照组（P&lt;0.05），提示健身气功六字诀能改善患者的生活质量及</w:t>
      </w:r>
      <w:r>
        <w:rPr>
          <w:rFonts w:hint="eastAsia"/>
        </w:rPr>
        <w:t>焦虑抑郁程度</w:t>
      </w:r>
      <w:r>
        <w:rPr>
          <w:rStyle w:val="20"/>
        </w:rPr>
        <w:t>[</w:t>
      </w:r>
      <w:r>
        <w:rPr>
          <w:rStyle w:val="20"/>
          <w:rFonts w:hint="eastAsia" w:cs="Times New Roman"/>
        </w:rPr>
        <w:t>107</w:t>
      </w:r>
      <w:r>
        <w:rPr>
          <w:rStyle w:val="20"/>
          <w:rFonts w:cs="Times New Roman"/>
        </w:rPr>
        <w:t>]</w:t>
      </w:r>
      <w:r>
        <w:t>。</w:t>
      </w:r>
    </w:p>
    <w:p w14:paraId="4546AF9F">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10. 心脏康复的长期生活方式管理</w:t>
      </w:r>
    </w:p>
    <w:p w14:paraId="43CC404D">
      <w:pPr>
        <w:pageBreakBefore w:val="0"/>
        <w:widowControl w:val="0"/>
        <w:kinsoku/>
        <w:wordWrap/>
        <w:overflowPunct/>
        <w:topLinePunct w:val="0"/>
        <w:autoSpaceDE/>
        <w:autoSpaceDN/>
        <w:bidi w:val="0"/>
        <w:adjustRightInd/>
        <w:snapToGrid/>
        <w:spacing w:line="360" w:lineRule="exact"/>
        <w:textAlignment w:val="auto"/>
      </w:pPr>
      <w:r>
        <w:rPr>
          <w:rFonts w:hint="eastAsia"/>
        </w:rPr>
        <w:t>临床问题6：冠心病心脏康复的长期管理原则是什么？</w:t>
      </w:r>
    </w:p>
    <w:p w14:paraId="0DCBA623">
      <w:pPr>
        <w:pageBreakBefore w:val="0"/>
        <w:widowControl w:val="0"/>
        <w:kinsoku/>
        <w:wordWrap/>
        <w:overflowPunct/>
        <w:topLinePunct w:val="0"/>
        <w:autoSpaceDE/>
        <w:autoSpaceDN/>
        <w:bidi w:val="0"/>
        <w:adjustRightInd/>
        <w:snapToGrid/>
        <w:spacing w:line="360" w:lineRule="exact"/>
        <w:ind w:firstLine="420" w:firstLineChars="200"/>
        <w:textAlignment w:val="auto"/>
      </w:pPr>
      <w:r>
        <w:t>所有冠心病患者均应接受综合性生活方式干预</w:t>
      </w:r>
      <w:r>
        <w:rPr>
          <w:rFonts w:hint="eastAsia"/>
        </w:rPr>
        <w:t>，还应该包括患者教育、各种治疗的充分沟通，关注患者的生活质量，其管理理念重在防治结合，应秉承中医传统治未病的思想，将中医养生、食疗及中医康复治疗等运用到长期管理中。</w:t>
      </w:r>
      <w:r>
        <w:t>通过合理有效的生活方式调整，不仅可以显著改善患者的心血管健康，降低复发风险，还能促进长期健康管理</w:t>
      </w:r>
      <w:r>
        <w:rPr>
          <w:rFonts w:hint="eastAsia"/>
        </w:rPr>
        <w:t>。</w:t>
      </w:r>
    </w:p>
    <w:p w14:paraId="58B15039">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10.1 危险因素管理</w:t>
      </w:r>
    </w:p>
    <w:p w14:paraId="255F8DCD">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推荐意见15：</w:t>
      </w:r>
    </w:p>
    <w:p w14:paraId="5DCFA4F2">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（1）建议避免任何烟草包括电子烟的消费，对吸烟者反复提供戒烟建议，帮助其戒烟，并避免被动吸烟（A级证据，强推荐）。</w:t>
      </w:r>
    </w:p>
    <w:p w14:paraId="01F7CFF4">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（2）</w:t>
      </w:r>
      <w:r>
        <w:t>建议根据ASCVD再发风险确定LDL-C控制目标：极高危患者LDL-C&lt;1.8 mmol/L且较基线降低&gt;50%；超高危患者LDL-C&lt;1.4 mmol/L且较基线降低&gt;50%。</w:t>
      </w:r>
      <w:r>
        <w:rPr>
          <w:rFonts w:hint="eastAsia"/>
        </w:rPr>
        <w:t>（A级证据，强推荐）</w:t>
      </w:r>
    </w:p>
    <w:p w14:paraId="1AF176AB">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（3）合并高血压患者血压应 &lt;140/90 mmHg，能耐受者可进一步降至 &lt;130/80 mmHg（A级证据，强推荐）。</w:t>
      </w:r>
    </w:p>
    <w:p w14:paraId="3C624C59">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（4）建议患者控制体重，将身体指数（BMI）控制在</w:t>
      </w:r>
      <w:r>
        <w:t>18.5–2</w:t>
      </w:r>
      <w:r>
        <w:rPr>
          <w:rFonts w:hint="eastAsia"/>
        </w:rPr>
        <w:t>3.9</w:t>
      </w:r>
      <w:r>
        <w:t xml:space="preserve"> kg/m2</w:t>
      </w:r>
      <w:r>
        <w:rPr>
          <w:rFonts w:hint="eastAsia"/>
        </w:rPr>
        <w:t>. （B级证据，强推荐）</w:t>
      </w:r>
    </w:p>
    <w:p w14:paraId="2217D517">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（5）不建议任何人出于预防心脏病的目的饮酒，包括少量饮酒，有饮酒习惯者原则上应戒酒或严格控制饮酒量。建议成年男性饮用酒精量≤25 g/d。成年女性饮用酒精量≤15 g/d</w:t>
      </w:r>
      <w:r>
        <w:t>。</w:t>
      </w:r>
      <w:r>
        <w:rPr>
          <w:rFonts w:hint="eastAsia"/>
        </w:rPr>
        <w:t xml:space="preserve"> （B级证据，强推荐）</w:t>
      </w:r>
    </w:p>
    <w:p w14:paraId="1FCF9069">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10.2 膳食营养</w:t>
      </w:r>
    </w:p>
    <w:p w14:paraId="592BCF87">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推荐意见16</w:t>
      </w:r>
    </w:p>
    <w:p w14:paraId="3A2EBD2E">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1）建议冠心病患者遵循以植物性食物为基础、食物多样和能量适宜的健康膳食模式，增加蔬菜、水果、全谷物、豆类和坚果摄入，适量摄入鱼类、低脂乳制品等，减少饱和脂肪酸、钠盐、精制糖以及红肉和加工肉类的摄入。（A级证据，强推荐）</w:t>
      </w:r>
    </w:p>
    <w:p w14:paraId="6C52B081">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（2）地中海饮食可作为冠心病患者二级预防和长期心脏康复的推荐膳食模式；结合我国饮食习惯，也可选择中国心脏健康饮食（Chinese heart-healthy diet，CHH）作为膳食管理的参考模式。（B级证据，强推荐）</w:t>
      </w:r>
    </w:p>
    <w:p w14:paraId="00C563C2">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推荐意见说明：</w:t>
      </w:r>
    </w:p>
    <w:p w14:paraId="064926CA">
      <w:pPr>
        <w:pageBreakBefore w:val="0"/>
        <w:widowControl w:val="0"/>
        <w:kinsoku/>
        <w:wordWrap/>
        <w:overflowPunct/>
        <w:topLinePunct w:val="0"/>
        <w:autoSpaceDE/>
        <w:autoSpaceDN/>
        <w:bidi w:val="0"/>
        <w:adjustRightInd/>
        <w:snapToGrid/>
        <w:spacing w:line="360" w:lineRule="exact"/>
        <w:ind w:firstLine="420" w:firstLineChars="200"/>
        <w:textAlignment w:val="auto"/>
      </w:pPr>
      <w:r>
        <w:t>膳食干预是冠心病二级预防和心脏康复的重要组成部分。冠心病患者的膳食管理应以整体膳食模式改善为基础，而非强调单一食物或营养素。总体原则包括增加蔬菜、水果、全谷物、豆类、坚果及鱼类等食物的摄入，减少饱和脂肪酸、钠盐、精制糖以及红肉和加工肉类的摄入，并根据患者体重、血压、血脂、血糖及饮食习惯进行个体化调整。</w:t>
      </w:r>
    </w:p>
    <w:p w14:paraId="2F90CAAA">
      <w:pPr>
        <w:pageBreakBefore w:val="0"/>
        <w:widowControl w:val="0"/>
        <w:kinsoku/>
        <w:wordWrap/>
        <w:overflowPunct/>
        <w:topLinePunct w:val="0"/>
        <w:autoSpaceDE/>
        <w:autoSpaceDN/>
        <w:bidi w:val="0"/>
        <w:adjustRightInd/>
        <w:snapToGrid/>
        <w:spacing w:line="360" w:lineRule="exact"/>
        <w:ind w:firstLine="420" w:firstLineChars="200"/>
        <w:textAlignment w:val="auto"/>
        <w:rPr>
          <w:color w:val="FF0000"/>
        </w:rPr>
      </w:pPr>
      <w:r>
        <w:t>地中海饮食以蔬菜、水果、全谷物、豆类、坚果和橄榄油等植物性食物为主要组成，适量摄入鱼类和乳制品，限制红肉和加工食品。CORDIOPREV随机对照研究纳入1002例冠心病患者，比较地中海饮食与低脂饮食的长期二级预防效果。随访约7年，地中海饮食组主要心血管复合终点发生率低于低脂饮食组，支持其用于冠心病患者的长期二级预防</w:t>
      </w:r>
      <w:r>
        <w:rPr>
          <w:rFonts w:hint="eastAsia"/>
        </w:rPr>
        <w:t>。</w:t>
      </w:r>
    </w:p>
    <w:p w14:paraId="60BBB6A5">
      <w:pPr>
        <w:pageBreakBefore w:val="0"/>
        <w:widowControl w:val="0"/>
        <w:kinsoku/>
        <w:wordWrap/>
        <w:overflowPunct/>
        <w:topLinePunct w:val="0"/>
        <w:autoSpaceDE/>
        <w:autoSpaceDN/>
        <w:bidi w:val="0"/>
        <w:adjustRightInd/>
        <w:snapToGrid/>
        <w:spacing w:line="360" w:lineRule="exact"/>
        <w:ind w:firstLine="420" w:firstLineChars="200"/>
        <w:textAlignment w:val="auto"/>
      </w:pPr>
      <w:r>
        <w:t>CHH饮食是在中国传统饮食结构基础上形成的健康膳食模式，通过调整食物构成和烹饪方式，减少钠盐和烹调油摄入，并增加全谷物、豆类、蔬菜及优质蛋白质等。中国多中心随机对照喂养研究纳入265例成年人，28 d干预显示，与常规饮食相比，CHH饮食可降低总胆固醇（组间差异−0.14 mmol/L，P=0.017）及估算的10年心血管疾病风险（绝对差异−1.24%，P=0.001）。</w:t>
      </w:r>
      <w:r>
        <w:rPr>
          <w:rFonts w:hint="eastAsia"/>
        </w:rPr>
        <w:t>CHH饮食结合了中国饮食的多样性、价格可负担性和口味适宜性，具有较强的推广潜力和应用前景。因此，建议在临床实践中推广地中海饮食或中国心脏健康饮食模式，以改善心血管健康，降低心血管疾病的发生风险。</w:t>
      </w:r>
    </w:p>
    <w:p w14:paraId="1C5AC9F3">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10.3 中医饮食调摄</w:t>
      </w:r>
    </w:p>
    <w:p w14:paraId="62021D95">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推荐意见17：建议患者在遵循上述饮食模式的基础上，进一步遵循中医调和五味、忌偏忌嗜、饥饱相宜的饮食调摄理念。并根据患者的体质和辨证情况，选择合适的食疗方案和茶饮方（GPS）</w:t>
      </w:r>
    </w:p>
    <w:p w14:paraId="0635C0B6">
      <w:pPr>
        <w:pageBreakBefore w:val="0"/>
        <w:widowControl w:val="0"/>
        <w:kinsoku/>
        <w:wordWrap/>
        <w:overflowPunct/>
        <w:topLinePunct w:val="0"/>
        <w:autoSpaceDE/>
        <w:autoSpaceDN/>
        <w:bidi w:val="0"/>
        <w:adjustRightInd/>
        <w:snapToGrid/>
        <w:spacing w:line="360" w:lineRule="exact"/>
        <w:ind w:firstLine="420"/>
        <w:textAlignment w:val="auto"/>
      </w:pPr>
      <w:r>
        <w:t>根据患者的体质和辨证情况，选择合适的食疗方案和茶饮方</w:t>
      </w:r>
      <w:r>
        <w:rPr>
          <w:rFonts w:hint="eastAsia"/>
        </w:rPr>
        <w:t>，基础食疗推荐如下：</w:t>
      </w:r>
    </w:p>
    <w:p w14:paraId="572EC8F4">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（（1）气虚血瘀证：</w:t>
      </w:r>
    </w:p>
    <w:p w14:paraId="38E01361">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参芪粥：党参10g</w:t>
      </w:r>
      <w:r>
        <w:t>，</w:t>
      </w:r>
      <w:r>
        <w:rPr>
          <w:rFonts w:hint="eastAsia"/>
        </w:rPr>
        <w:t>黄芪10g</w:t>
      </w:r>
      <w:r>
        <w:t>，</w:t>
      </w:r>
      <w:r>
        <w:rPr>
          <w:rFonts w:hint="eastAsia"/>
        </w:rPr>
        <w:t>粳米100g</w:t>
      </w:r>
      <w:r>
        <w:t>，</w:t>
      </w:r>
      <w:r>
        <w:rPr>
          <w:rFonts w:hint="eastAsia"/>
        </w:rPr>
        <w:t>糖或盐适量。烹调方法：将党参、黄芪煎煮取滤液，与粳米共煮成粥，调味。</w:t>
      </w:r>
    </w:p>
    <w:p w14:paraId="075448CF">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（2）阳虚血瘀证：</w:t>
      </w:r>
    </w:p>
    <w:p w14:paraId="4779D523">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当归生姜羊肉汤：当归10 g、生姜 20 g，冲净切片，清水浸泡；羊肉250 g，剔筋去膜，入开水烫除血水后捞出，切片；当归、生姜、羊肉入锅，加清水、料酒、食盐适量，武火沸后去沫，改文火至熟，即可食用。</w:t>
      </w:r>
    </w:p>
    <w:p w14:paraId="27F27270">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（3）痰浊血瘀证：</w:t>
      </w:r>
    </w:p>
    <w:p w14:paraId="1B1CFA8C">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桃仁山楂茶：桃仁3g，山楂（去核）10g，陈皮3g。将桃仁研粗粉与山楂、陈皮加水煮开后，移到杯中持续用开水冲泡。</w:t>
      </w:r>
    </w:p>
    <w:p w14:paraId="41C487C1">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痰热者，推荐山楂荷叶薏米粥：山楂、薏苡仁各15g，鲜荷叶10g，葱白5 段，粳米100g。将山楂、荷叶、薏苡仁、葱白水煎取汁，粳米与药汁同煮至粥熟食用。</w:t>
      </w:r>
    </w:p>
    <w:p w14:paraId="2B98C81D">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（4）气滞血瘀证：</w:t>
      </w:r>
    </w:p>
    <w:p w14:paraId="1F41C193">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玫瑰益母茶：干玫瑰花10g，益母草7.5g，香附10g。将所有药材洗净，用热开水冲泡10</w:t>
      </w:r>
      <w:r>
        <w:t>—</w:t>
      </w:r>
      <w:r>
        <w:rPr>
          <w:rFonts w:hint="eastAsia"/>
        </w:rPr>
        <w:t>20分钟后捞出茶渣后即可饮用。进度</w:t>
      </w:r>
    </w:p>
    <w:p w14:paraId="38ABF15B">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（5）气阴两虚血瘀证：</w:t>
      </w:r>
    </w:p>
    <w:p w14:paraId="3756F871">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人参二冬茶加味：人参9g，天门冬、麦门冬各6g，三七5g，加水煮开20分钟后服用。</w:t>
      </w:r>
    </w:p>
    <w:p w14:paraId="1E85CC5D">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对于冠心病合并焦虑抑郁的患者，推荐在上述基础食疗方案的基础上酌情加用以下食疗：</w:t>
      </w:r>
    </w:p>
    <w:p w14:paraId="0DFDBFF0">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（1）肝郁化火者：</w:t>
      </w:r>
    </w:p>
    <w:p w14:paraId="5AB91DD9">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决明子药粥</w:t>
      </w:r>
      <w:r>
        <w:rPr>
          <w:rStyle w:val="20"/>
        </w:rPr>
        <w:t>[</w:t>
      </w:r>
      <w:r>
        <w:rPr>
          <w:rFonts w:hint="eastAsia"/>
          <w:vertAlign w:val="superscript"/>
        </w:rPr>
        <w:t>108</w:t>
      </w:r>
      <w:r>
        <w:rPr>
          <w:rStyle w:val="20"/>
        </w:rPr>
        <w:t>]</w:t>
      </w:r>
      <w:r>
        <w:rPr>
          <w:rFonts w:hint="eastAsia"/>
        </w:rPr>
        <w:t>：取青皮15g，决明子20g，菊花15g，冰糖15g，大米100g。先将青皮、决明子、菊花三味水煎20分钟，去渣，再与大米煮粥。</w:t>
      </w:r>
    </w:p>
    <w:p w14:paraId="0ABAE880">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（2）肝郁气滞者：</w:t>
      </w:r>
    </w:p>
    <w:p w14:paraId="3F7621BC">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玫瑰佛手茶：干玫瑰花5g，佛手10g，陈皮5g。所有药材洗净，用热开水冲泡10</w:t>
      </w:r>
      <w:r>
        <w:t>—</w:t>
      </w:r>
      <w:r>
        <w:rPr>
          <w:rFonts w:hint="eastAsia"/>
        </w:rPr>
        <w:t>20分钟后即可饮用。</w:t>
      </w:r>
    </w:p>
    <w:p w14:paraId="31F8FBB8">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（3）痰火扰心者：</w:t>
      </w:r>
    </w:p>
    <w:p w14:paraId="37DD9431">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竹沥药粥</w:t>
      </w:r>
      <w:r>
        <w:rPr>
          <w:rStyle w:val="20"/>
          <w:rFonts w:cs="Times New Roman"/>
        </w:rPr>
        <w:t>[</w:t>
      </w:r>
      <w:r>
        <w:rPr>
          <w:rStyle w:val="20"/>
          <w:rFonts w:hint="eastAsia" w:cs="Times New Roman"/>
        </w:rPr>
        <w:t>109</w:t>
      </w:r>
      <w:r>
        <w:rPr>
          <w:rStyle w:val="20"/>
          <w:rFonts w:cs="Times New Roman"/>
        </w:rPr>
        <w:t>]</w:t>
      </w:r>
      <w:r>
        <w:rPr>
          <w:rFonts w:hint="eastAsia"/>
        </w:rPr>
        <w:t>：取淡竹沥10克</w:t>
      </w:r>
      <w:r>
        <w:t>，</w:t>
      </w:r>
      <w:r>
        <w:rPr>
          <w:rFonts w:hint="eastAsia"/>
        </w:rPr>
        <w:t xml:space="preserve"> 小米50克。先煮米成粥</w:t>
      </w:r>
      <w:r>
        <w:t>，</w:t>
      </w:r>
      <w:r>
        <w:rPr>
          <w:rFonts w:hint="eastAsia"/>
        </w:rPr>
        <w:t xml:space="preserve"> 粥将成时加入竹沥水，搅匀，服食，每日1剂。</w:t>
      </w:r>
    </w:p>
    <w:p w14:paraId="4A8AE72E">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（4）心胆气虚者：</w:t>
      </w:r>
    </w:p>
    <w:p w14:paraId="4DD39F36">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桑葚茯苓茶：桑葚6g，茯神10g，远志6g，大枣3枚。将茯神细锉，与远志一起冲入沸水煮20分钟，去渣，倒入桑葚、大枣，焖泡15分钟左右即可饮用。</w:t>
      </w:r>
    </w:p>
    <w:p w14:paraId="4A8FA9BE">
      <w:pPr>
        <w:pageBreakBefore w:val="0"/>
        <w:widowControl w:val="0"/>
        <w:kinsoku/>
        <w:wordWrap/>
        <w:overflowPunct/>
        <w:topLinePunct w:val="0"/>
        <w:autoSpaceDE/>
        <w:autoSpaceDN/>
        <w:bidi w:val="0"/>
        <w:adjustRightInd/>
        <w:snapToGrid/>
        <w:spacing w:line="360" w:lineRule="exact"/>
        <w:ind w:firstLine="442"/>
        <w:textAlignment w:val="auto"/>
      </w:pPr>
      <w:r>
        <w:rPr>
          <w:rFonts w:hint="eastAsia"/>
          <w:b/>
          <w:bCs/>
          <w:sz w:val="22"/>
          <w:szCs w:val="24"/>
        </w:rPr>
        <w:t>推荐意见说明：</w:t>
      </w:r>
    </w:p>
    <w:p w14:paraId="046FB0AC">
      <w:pPr>
        <w:pageBreakBefore w:val="0"/>
        <w:widowControl w:val="0"/>
        <w:kinsoku/>
        <w:wordWrap/>
        <w:overflowPunct/>
        <w:topLinePunct w:val="0"/>
        <w:autoSpaceDE/>
        <w:autoSpaceDN/>
        <w:bidi w:val="0"/>
        <w:adjustRightInd/>
        <w:snapToGrid/>
        <w:spacing w:line="360" w:lineRule="exact"/>
        <w:ind w:firstLine="420" w:firstLineChars="200"/>
        <w:textAlignment w:val="auto"/>
      </w:pPr>
      <w:r>
        <w:t>中医</w:t>
      </w:r>
      <w:r>
        <w:rPr>
          <w:rFonts w:hint="eastAsia"/>
        </w:rPr>
        <w:t>饮食养生</w:t>
      </w:r>
      <w:r>
        <w:t>是中医治疗体系的重要组成部分，通过食物的性质和作用来维持健康、预防疾病，并辅助治疗。中医认为，食物具有寒、热、温、凉四气和辛、甘、酸、苦、咸五味，其性质和味道决定了食物在治疗中的具体功效，食物的四气五味直接影响其对人体的调节作用。在实际应用中，应根据患者的体质特点、疾病状态以及四季变化合理调整饮食，以顺应四时阴阳规律，从而发挥最佳疗效。</w:t>
      </w:r>
    </w:p>
    <w:p w14:paraId="4BD9775F">
      <w:pPr>
        <w:pageBreakBefore w:val="0"/>
        <w:widowControl w:val="0"/>
        <w:kinsoku/>
        <w:wordWrap/>
        <w:overflowPunct/>
        <w:topLinePunct w:val="0"/>
        <w:autoSpaceDE/>
        <w:autoSpaceDN/>
        <w:bidi w:val="0"/>
        <w:adjustRightInd/>
        <w:snapToGrid/>
        <w:spacing w:line="360" w:lineRule="exact"/>
        <w:ind w:firstLine="420" w:firstLineChars="200"/>
        <w:textAlignment w:val="auto"/>
      </w:pPr>
      <w:r>
        <w:t>不同的食物具有特定的性质和功能，饮食调摄应因时、因地、因人制宜，根据患者的体质、病情及辨证分型制定个性化食疗方案。科学搭配寒热性食物，避免过冷或过热的食物对脾胃的刺激，同时注重饮食的阴阳平衡和五味调和，以保持脾胃功能的和谐，促进气血流畅，增强机体免疫力。饮食应定时定量，防止暴饮暴食或过度节食，以保护脾胃的运化功能，从而为患者的康复提供基础保障。中医强调“毒药攻邪，五谷为养，五果为助，五畜为益，五疏为充”，饮食调摄应以多样化为原则，结合中医养生理论，帮助患者实现整体康复。</w:t>
      </w:r>
    </w:p>
    <w:p w14:paraId="70C55CE3">
      <w:pPr>
        <w:pageBreakBefore w:val="0"/>
        <w:widowControl w:val="0"/>
        <w:kinsoku/>
        <w:wordWrap/>
        <w:overflowPunct/>
        <w:topLinePunct w:val="0"/>
        <w:autoSpaceDE/>
        <w:autoSpaceDN/>
        <w:bidi w:val="0"/>
        <w:adjustRightInd/>
        <w:snapToGrid/>
        <w:spacing w:line="360" w:lineRule="exact"/>
        <w:ind w:firstLine="420" w:firstLineChars="200"/>
        <w:textAlignment w:val="auto"/>
      </w:pPr>
      <w:r>
        <w:t>中医饮食调摄的优势不仅在于食材选择的精准性，还在于对患者个体化需求的高度关注。在临床实践中，可结合患者的体质特征、环境因素和季节变化调整饮食方案，体现中医“中正平和”的理念。在冠心病康复过程中，将中药与食材有机结合，制成兼具养生保健功能和良好口感的膳食，能够有效提升患者的依从性，改善其生活质量。这种中医饮食调摄的方法不仅体现了中医整体观念和辨证施治的思想，也为患者的长期康复提供了安全、有效的辅助治疗手段。</w:t>
      </w:r>
    </w:p>
    <w:p w14:paraId="5E896773">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本指南在《经皮冠状动脉介入术后中西医结合心脏康复专家共识》和《稳定性冠心病中西医结合康复治疗专家共识》的基础上，进一步扩展了食疗的应用领域，特别强调将中药与食物相结合，制定既符合患者口味又有助于健康恢复的膳食方案。这种结合不仅能够提高药物的接受度和患者的依从性，还能通过适时适量的饮食调整，促进身体的全面康复。膳食调整在冠心病患者的长期康复过程中，发挥着至关重要的辅助作用，有助于改善治疗效果并提高患者的生活质量。</w:t>
      </w:r>
    </w:p>
    <w:p w14:paraId="585291B3">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10.4 中医特色养生</w:t>
      </w:r>
    </w:p>
    <w:p w14:paraId="72AC6195">
      <w:pPr>
        <w:pageBreakBefore w:val="0"/>
        <w:widowControl w:val="0"/>
        <w:kinsoku/>
        <w:wordWrap/>
        <w:overflowPunct/>
        <w:topLinePunct w:val="0"/>
        <w:autoSpaceDE/>
        <w:autoSpaceDN/>
        <w:bidi w:val="0"/>
        <w:adjustRightInd/>
        <w:snapToGrid/>
        <w:spacing w:line="360" w:lineRule="exact"/>
        <w:ind w:firstLine="420"/>
        <w:textAlignment w:val="auto"/>
      </w:pPr>
      <w:r>
        <w:rPr>
          <w:rFonts w:hint="eastAsia"/>
        </w:rPr>
        <w:t>推荐意见18：冠心病患者应顺应</w:t>
      </w:r>
      <w:r>
        <w:t>“</w:t>
      </w:r>
      <w:r>
        <w:rPr>
          <w:rFonts w:hint="eastAsia"/>
        </w:rPr>
        <w:t>天人相应</w:t>
      </w:r>
      <w:r>
        <w:t>”</w:t>
      </w:r>
      <w:r>
        <w:rPr>
          <w:rFonts w:hint="eastAsia"/>
        </w:rPr>
        <w:t>理论，依四时阴阳变化调节身心。春季养肝疏泄，升发少阳；夏季清心宁神，防耗真阴；秋季润肺降浊，防燥敛魄；冬季固肾藏精，温煦元阳。四季皆贯“形神共养”之道，调摄情志，保证积极乐观的生活态度，形成“患者</w:t>
      </w:r>
      <w:r>
        <w:t>－</w:t>
      </w:r>
      <w:r>
        <w:rPr>
          <w:rFonts w:hint="eastAsia"/>
        </w:rPr>
        <w:t>心理</w:t>
      </w:r>
      <w:r>
        <w:t>－</w:t>
      </w:r>
      <w:r>
        <w:rPr>
          <w:rFonts w:hint="eastAsia"/>
        </w:rPr>
        <w:t>自然</w:t>
      </w:r>
      <w:r>
        <w:t>－</w:t>
      </w:r>
      <w:r>
        <w:rPr>
          <w:rFonts w:hint="eastAsia"/>
        </w:rPr>
        <w:t>社会”的多维康复体系。</w:t>
      </w:r>
      <w:r>
        <w:t>(</w:t>
      </w:r>
      <w:r>
        <w:rPr>
          <w:rFonts w:hint="eastAsia"/>
        </w:rPr>
        <w:t>GPS</w:t>
      </w:r>
      <w:r>
        <w:t>)</w:t>
      </w:r>
    </w:p>
    <w:p w14:paraId="5A287E00">
      <w:pPr>
        <w:pageBreakBefore w:val="0"/>
        <w:widowControl w:val="0"/>
        <w:kinsoku/>
        <w:wordWrap/>
        <w:overflowPunct/>
        <w:topLinePunct w:val="0"/>
        <w:autoSpaceDE/>
        <w:autoSpaceDN/>
        <w:bidi w:val="0"/>
        <w:adjustRightInd/>
        <w:snapToGrid/>
        <w:spacing w:line="360" w:lineRule="exact"/>
        <w:ind w:firstLine="420" w:firstLineChars="200"/>
        <w:textAlignment w:val="auto"/>
      </w:pPr>
      <w:r>
        <w:rPr>
          <w:rFonts w:hint="eastAsia"/>
        </w:rPr>
        <w:t xml:space="preserve">  推荐意见说明：在中医的整体观念中，天人相应是养生的重要组成部分，遵从四时调养，能够达到养肝、养心、养肺、养脾、养肾的效果，帮助调和五脏功能，保持阴阳平衡，维持脏腑功能。同时还应该调摄情志，通过适当的疏解与宣泄，保证良好的情绪和积极健康的生活态度。良好的</w:t>
      </w:r>
      <w:r>
        <w:t>情绪</w:t>
      </w:r>
      <w:r>
        <w:rPr>
          <w:rFonts w:hint="eastAsia"/>
        </w:rPr>
        <w:t>心理健康对心血管疾病（CVD）的影响不仅限于负面作用，情绪健康还可以通过积极的方式改善心血管健康，并降低心血管风险。越来越多的研究强调情绪因素在心血管疾病中的重要性。根据美国心脏协会发布的《心理健康、福祉与心</w:t>
      </w:r>
      <w:r>
        <w:t>－</w:t>
      </w:r>
      <w:r>
        <w:rPr>
          <w:rFonts w:hint="eastAsia"/>
        </w:rPr>
        <w:t>心</w:t>
      </w:r>
      <w:r>
        <w:t>－</w:t>
      </w:r>
      <w:r>
        <w:rPr>
          <w:rFonts w:hint="eastAsia"/>
        </w:rPr>
        <w:t>身体连接的科学声明》</w:t>
      </w:r>
      <w:r>
        <w:rPr>
          <w:rStyle w:val="20"/>
          <w:rFonts w:hint="eastAsia" w:cs="Times New Roman"/>
        </w:rPr>
        <w:t>[110]</w:t>
      </w:r>
      <w:r>
        <w:rPr>
          <w:rFonts w:hint="eastAsia"/>
        </w:rPr>
        <w:t>，积极的情绪与心血管健康密切相关。一项涵盖15项观察性研究、涉及220,391人的荟萃分析显示，较高水平的乐观情绪与心血管疾病事件风险降低35%（RR，0.65 [95% CI，0.51-0.78]）以及全因死亡风险降低14%（RR，0.86 [95% CI，0.80-0.92]）相关</w:t>
      </w:r>
      <w:r>
        <w:rPr>
          <w:rStyle w:val="20"/>
          <w:rFonts w:hint="eastAsia" w:cs="Times New Roman"/>
        </w:rPr>
        <w:t>[111]</w:t>
      </w:r>
      <w:r>
        <w:rPr>
          <w:rFonts w:hint="eastAsia"/>
        </w:rPr>
        <w:t>。此外，在已确诊CVD的个体中，乐观情绪同样与更有利的心血管结果相关。GRACE研究（急性冠状动脉事件感恩研究）评估了164名急性冠脉综合征（ACS）患者的乐观水平，结果发现较高的乐观度与医院心脏再入院风险的降低相关（HR，0.92 [95% CI，0.86-0.98]）</w:t>
      </w:r>
      <w:r>
        <w:rPr>
          <w:rStyle w:val="20"/>
          <w:rFonts w:hint="eastAsia" w:cs="Times New Roman"/>
        </w:rPr>
        <w:t>[112]</w:t>
      </w:r>
      <w:r>
        <w:rPr>
          <w:rFonts w:hint="eastAsia"/>
        </w:rPr>
        <w:t>。心理健康不仅是CVD的风险管理因素，还是促进心血管健康的重要问题，建议从多维度进行患者</w:t>
      </w:r>
      <w:r>
        <w:t>自我情绪管理来缓解心理压力，对于</w:t>
      </w:r>
      <w:r>
        <w:rPr>
          <w:rFonts w:hint="eastAsia"/>
        </w:rPr>
        <w:t>可能存在</w:t>
      </w:r>
      <w:r>
        <w:t>抑郁、焦虑等</w:t>
      </w:r>
      <w:r>
        <w:rPr>
          <w:rFonts w:hint="eastAsia"/>
        </w:rPr>
        <w:t>合并心理疾病的患者</w:t>
      </w:r>
      <w:r>
        <w:t>，需长期关注其心理状态。对于情绪问题较为严重的患者，建议及时寻求专科医生的指导和干预，以帮助患者更好地应对心理困扰，促进身心康复。</w:t>
      </w:r>
    </w:p>
    <w:p w14:paraId="077191B2">
      <w:pPr>
        <w:ind w:firstLine="420" w:firstLineChars="200"/>
        <w:rPr>
          <w:color w:val="FF0000"/>
        </w:rPr>
      </w:pPr>
    </w:p>
    <w:p w14:paraId="48DD6AB1">
      <w:pPr>
        <w:pStyle w:val="2"/>
        <w:keepNext/>
        <w:keepLines/>
        <w:pageBreakBefore w:val="0"/>
        <w:widowControl w:val="0"/>
        <w:kinsoku/>
        <w:wordWrap/>
        <w:overflowPunct/>
        <w:topLinePunct w:val="0"/>
        <w:autoSpaceDE/>
        <w:autoSpaceDN/>
        <w:bidi w:val="0"/>
        <w:adjustRightInd w:val="0"/>
        <w:snapToGrid w:val="0"/>
        <w:spacing w:before="0" w:after="0" w:line="360" w:lineRule="exact"/>
        <w:jc w:val="center"/>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rPr>
        <w:t>附录</w:t>
      </w:r>
      <w:r>
        <w:rPr>
          <w:rFonts w:hint="eastAsia" w:ascii="黑体" w:hAnsi="黑体" w:eastAsia="黑体" w:cs="黑体"/>
          <w:b w:val="0"/>
          <w:bCs w:val="0"/>
          <w:sz w:val="21"/>
          <w:szCs w:val="21"/>
          <w:lang w:val="en-US" w:eastAsia="zh-CN"/>
        </w:rPr>
        <w:t>A</w:t>
      </w:r>
    </w:p>
    <w:p w14:paraId="2CAD6023">
      <w:pPr>
        <w:pStyle w:val="3"/>
        <w:keepNext/>
        <w:keepLines/>
        <w:pageBreakBefore w:val="0"/>
        <w:widowControl w:val="0"/>
        <w:kinsoku/>
        <w:wordWrap/>
        <w:overflowPunct/>
        <w:topLinePunct w:val="0"/>
        <w:autoSpaceDE/>
        <w:autoSpaceDN/>
        <w:bidi w:val="0"/>
        <w:adjustRightInd w:val="0"/>
        <w:snapToGrid w:val="0"/>
        <w:spacing w:before="0" w:after="0" w:line="360" w:lineRule="exact"/>
        <w:jc w:val="center"/>
        <w:textAlignment w:val="auto"/>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（规范性）</w:t>
      </w:r>
    </w:p>
    <w:p w14:paraId="39F55703">
      <w:pPr>
        <w:pStyle w:val="3"/>
        <w:keepNext/>
        <w:keepLines/>
        <w:pageBreakBefore w:val="0"/>
        <w:widowControl w:val="0"/>
        <w:kinsoku/>
        <w:wordWrap/>
        <w:overflowPunct/>
        <w:topLinePunct w:val="0"/>
        <w:autoSpaceDE/>
        <w:autoSpaceDN/>
        <w:bidi w:val="0"/>
        <w:adjustRightInd w:val="0"/>
        <w:snapToGrid w:val="0"/>
        <w:spacing w:before="0" w:after="0" w:line="36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表</w:t>
      </w:r>
      <w:r>
        <w:rPr>
          <w:rFonts w:hint="eastAsia" w:ascii="黑体" w:hAnsi="黑体" w:eastAsia="黑体" w:cs="黑体"/>
          <w:b w:val="0"/>
          <w:bCs w:val="0"/>
          <w:sz w:val="21"/>
          <w:szCs w:val="21"/>
          <w:lang w:val="en-US" w:eastAsia="zh-CN"/>
        </w:rPr>
        <w:t xml:space="preserve">A.1  </w:t>
      </w:r>
      <w:r>
        <w:rPr>
          <w:rFonts w:hint="eastAsia" w:ascii="黑体" w:hAnsi="黑体" w:eastAsia="黑体" w:cs="黑体"/>
          <w:b w:val="0"/>
          <w:bCs w:val="0"/>
          <w:sz w:val="21"/>
          <w:szCs w:val="21"/>
        </w:rPr>
        <w:t>冠心病中西医结合心脏康复临床实施要点速查表</w:t>
      </w:r>
    </w:p>
    <w:p w14:paraId="66FAB61D">
      <w:pPr>
        <w:rPr>
          <w:rFonts w:cs="Times New Roman"/>
          <w:kern w:val="0"/>
          <w:sz w:val="20"/>
          <w:szCs w:val="20"/>
        </w:rPr>
      </w:pPr>
      <w:r>
        <w:rPr>
          <w:color w:val="FF0000"/>
        </w:rPr>
        <w:fldChar w:fldCharType="begin"/>
      </w:r>
      <w:r>
        <w:rPr>
          <w:color w:val="FF0000"/>
        </w:rPr>
        <w:instrText xml:space="preserve"> LINK Excel.Sheet.12 "C:\\Users\\65146\\Desktop\\心脏康复指南\\表格.xlsx" "Sheet1!R1C7:R4C12" \a \f 5 \h  \* MERGEFORMAT </w:instrText>
      </w:r>
      <w:r>
        <w:rPr>
          <w:color w:val="FF0000"/>
        </w:rPr>
        <w:fldChar w:fldCharType="separate"/>
      </w:r>
    </w:p>
    <w:tbl>
      <w:tblPr>
        <w:tblStyle w:val="17"/>
        <w:tblW w:w="0" w:type="auto"/>
        <w:tblInd w:w="-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35"/>
        <w:gridCol w:w="1480"/>
        <w:gridCol w:w="1441"/>
        <w:gridCol w:w="1641"/>
        <w:gridCol w:w="1564"/>
        <w:gridCol w:w="1616"/>
      </w:tblGrid>
      <w:tr w14:paraId="41B0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835" w:type="dxa"/>
            <w:vAlign w:val="center"/>
          </w:tcPr>
          <w:p w14:paraId="320F38FB">
            <w:pPr>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康复阶段</w:t>
            </w:r>
          </w:p>
        </w:tc>
        <w:tc>
          <w:tcPr>
            <w:tcW w:w="0" w:type="auto"/>
            <w:vAlign w:val="center"/>
          </w:tcPr>
          <w:p w14:paraId="0D09BBEB">
            <w:pPr>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重点评估</w:t>
            </w:r>
          </w:p>
        </w:tc>
        <w:tc>
          <w:tcPr>
            <w:tcW w:w="0" w:type="auto"/>
            <w:vAlign w:val="center"/>
          </w:tcPr>
          <w:p w14:paraId="497AEBD4">
            <w:pPr>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运动康复</w:t>
            </w:r>
          </w:p>
        </w:tc>
        <w:tc>
          <w:tcPr>
            <w:tcW w:w="1641" w:type="dxa"/>
            <w:vAlign w:val="center"/>
          </w:tcPr>
          <w:p w14:paraId="0BB60C78">
            <w:pPr>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中医辅助干预</w:t>
            </w:r>
          </w:p>
        </w:tc>
        <w:tc>
          <w:tcPr>
            <w:tcW w:w="1564" w:type="dxa"/>
            <w:vAlign w:val="center"/>
          </w:tcPr>
          <w:p w14:paraId="62091303">
            <w:pPr>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危险因素及心理管理</w:t>
            </w:r>
          </w:p>
        </w:tc>
        <w:tc>
          <w:tcPr>
            <w:tcW w:w="0" w:type="auto"/>
            <w:vAlign w:val="center"/>
          </w:tcPr>
          <w:p w14:paraId="112B3581">
            <w:pPr>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安全监测与复评</w:t>
            </w:r>
          </w:p>
        </w:tc>
      </w:tr>
      <w:tr w14:paraId="0D64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3" w:hRule="atLeast"/>
        </w:trPr>
        <w:tc>
          <w:tcPr>
            <w:tcW w:w="835" w:type="dxa"/>
          </w:tcPr>
          <w:p w14:paraId="266FB872">
            <w:pP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Ⅰ期：院内康复期</w:t>
            </w:r>
          </w:p>
        </w:tc>
        <w:tc>
          <w:tcPr>
            <w:tcW w:w="0" w:type="auto"/>
          </w:tcPr>
          <w:p w14:paraId="2703C382">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临床稳定性；症状及生命体征；基础活动能力；心血管危险因素；心理状态及中医证候</w:t>
            </w:r>
          </w:p>
        </w:tc>
        <w:tc>
          <w:tcPr>
            <w:tcW w:w="0" w:type="auto"/>
          </w:tcPr>
          <w:p w14:paraId="567020C0">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从床旁活动逐步过渡至坐起、站立和步行训练，循序增加活动量，以恢复日常生活活动能力为主要目标</w:t>
            </w:r>
          </w:p>
        </w:tc>
        <w:tc>
          <w:tcPr>
            <w:tcW w:w="1641" w:type="dxa"/>
          </w:tcPr>
          <w:p w14:paraId="26A54D61">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可结合坐式八段锦、六字诀等低强度传统运动；临床状态稳定且经评估适宜者，可选择针刺、耳穴等辅助干预；中药治疗不得替代ACS规范治疗</w:t>
            </w:r>
          </w:p>
        </w:tc>
        <w:tc>
          <w:tcPr>
            <w:tcW w:w="1564" w:type="dxa"/>
          </w:tcPr>
          <w:p w14:paraId="2E963DBC">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开始戒烟、血压、血脂、血糖及体重管理；采用PHQ-9、GAD-7等进行心理症状筛查</w:t>
            </w:r>
          </w:p>
        </w:tc>
        <w:tc>
          <w:tcPr>
            <w:tcW w:w="0" w:type="auto"/>
          </w:tcPr>
          <w:p w14:paraId="54CB1150">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重点监测症状、心率/心律及血压，必要时监测SpO₂及心电图；出现胸痛、明显呼吸困难、近晕厥、严重心律失常等情况时立即停止运动并进行医学评估</w:t>
            </w:r>
          </w:p>
        </w:tc>
      </w:tr>
      <w:tr w14:paraId="7159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6" w:hRule="atLeast"/>
        </w:trPr>
        <w:tc>
          <w:tcPr>
            <w:tcW w:w="835" w:type="dxa"/>
          </w:tcPr>
          <w:p w14:paraId="53CDC5DF">
            <w:pP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Ⅱ期：门诊/社区康复期</w:t>
            </w:r>
          </w:p>
        </w:tc>
        <w:tc>
          <w:tcPr>
            <w:tcW w:w="0" w:type="auto"/>
          </w:tcPr>
          <w:p w14:paraId="182CCE96">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心血管危险分层；6MWT、CPET或DASI等运动能力评估；危险因素；心理、营养、睡眠及康复依从性</w:t>
            </w:r>
          </w:p>
        </w:tc>
        <w:tc>
          <w:tcPr>
            <w:tcW w:w="0" w:type="auto"/>
          </w:tcPr>
          <w:p w14:paraId="09FE0A6A">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以有氧运动为基础，联合抗阻训练，并辅以柔韧和平衡训练；按照FITT-VP原则制定并动态调整运动处方</w:t>
            </w:r>
          </w:p>
        </w:tc>
        <w:tc>
          <w:tcPr>
            <w:tcW w:w="1641" w:type="dxa"/>
          </w:tcPr>
          <w:p w14:paraId="71E247A4">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可选择立式八段锦、易筋经等传统运动，与有氧及抗阻训练组合或交替实施；可根据症状和中医证候辨证选择中药、针刺、艾灸、穴位贴敷及耳穴等辅助干预</w:t>
            </w:r>
          </w:p>
        </w:tc>
        <w:tc>
          <w:tcPr>
            <w:tcW w:w="1564" w:type="dxa"/>
          </w:tcPr>
          <w:p w14:paraId="10E35531">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强化LDL-C、血压、血糖、体重及戒烟管理；实施健康膳食；对心理筛查阳性者进一步评估，必要时转精神心理专科</w:t>
            </w:r>
          </w:p>
        </w:tc>
        <w:tc>
          <w:tcPr>
            <w:tcW w:w="0" w:type="auto"/>
          </w:tcPr>
          <w:p w14:paraId="7C4800F4">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根据危险分层确定运动监护强度；定期评估症状、运动耐量及康复反应，并根据评估结果调整运动处方</w:t>
            </w:r>
          </w:p>
        </w:tc>
      </w:tr>
      <w:tr w14:paraId="0708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trPr>
        <w:tc>
          <w:tcPr>
            <w:tcW w:w="835" w:type="dxa"/>
          </w:tcPr>
          <w:p w14:paraId="13A0A599">
            <w:pP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Ⅲ期：长期/居家康复期</w:t>
            </w:r>
          </w:p>
        </w:tc>
        <w:tc>
          <w:tcPr>
            <w:tcW w:w="0" w:type="auto"/>
          </w:tcPr>
          <w:p w14:paraId="14FD88C5">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危险因素控制情况；运动能力；心绞痛及其他相关症状；生活方式、心理状态及依从性</w:t>
            </w:r>
          </w:p>
        </w:tc>
        <w:tc>
          <w:tcPr>
            <w:tcW w:w="0" w:type="auto"/>
          </w:tcPr>
          <w:p w14:paraId="5D74AB28">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长期维持规律有氧及抗阻训练，并结合柔韧和平衡训练；根据功能状态、个人偏好和长期目标调整运动方式</w:t>
            </w:r>
          </w:p>
        </w:tc>
        <w:tc>
          <w:tcPr>
            <w:tcW w:w="1641" w:type="dxa"/>
          </w:tcPr>
          <w:p w14:paraId="5FD70335">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可根据运动能力和患者偏好选择太极拳、五禽戏等传统运动；中药、针灸及其他中医外治技术根据症状和证候个体化应用</w:t>
            </w:r>
          </w:p>
        </w:tc>
        <w:tc>
          <w:tcPr>
            <w:tcW w:w="1564" w:type="dxa"/>
          </w:tcPr>
          <w:p w14:paraId="56A2F4C0">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持续二级预防、健康膳食、心理及睡眠管理，维持戒烟和危险因素长期达标</w:t>
            </w:r>
          </w:p>
        </w:tc>
        <w:tc>
          <w:tcPr>
            <w:tcW w:w="0" w:type="auto"/>
          </w:tcPr>
          <w:p w14:paraId="44944430">
            <w:pPr>
              <w:ind w:firstLine="420" w:firstLineChars="20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定期随访和综合复评；临床状态、症状或运动耐量发生变化时，应重新进行危险分层并调整运动处方</w:t>
            </w:r>
          </w:p>
        </w:tc>
      </w:tr>
    </w:tbl>
    <w:p w14:paraId="2B46773D">
      <w:pPr>
        <w:ind w:firstLine="420" w:firstLineChars="200"/>
        <w:rPr>
          <w:rFonts w:hint="eastAsia"/>
          <w:color w:val="FF0000"/>
        </w:rPr>
      </w:pPr>
      <w:r>
        <w:rPr>
          <w:color w:val="FF0000"/>
        </w:rPr>
        <w:fldChar w:fldCharType="end"/>
      </w:r>
    </w:p>
    <w:p w14:paraId="4410D585">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2</w:t>
      </w:r>
      <w:r>
        <w:rPr>
          <w:rFonts w:hint="eastAsia" w:ascii="黑体" w:hAnsi="黑体" w:eastAsia="黑体" w:cs="黑体"/>
          <w:b w:val="0"/>
          <w:bCs w:val="0"/>
          <w:sz w:val="21"/>
          <w:szCs w:val="24"/>
          <w:lang w:val="en-US" w:eastAsia="zh-CN"/>
        </w:rPr>
        <w:t xml:space="preserve"> </w:t>
      </w:r>
      <w:r>
        <w:rPr>
          <w:rFonts w:hint="eastAsia" w:ascii="黑体" w:hAnsi="黑体" w:eastAsia="黑体" w:cs="黑体"/>
          <w:b w:val="0"/>
          <w:bCs w:val="0"/>
          <w:sz w:val="21"/>
          <w:szCs w:val="24"/>
        </w:rPr>
        <w:t xml:space="preserve"> FTND烟草依赖度量表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1045"/>
        <w:gridCol w:w="1170"/>
        <w:gridCol w:w="1170"/>
        <w:gridCol w:w="940"/>
        <w:gridCol w:w="846"/>
      </w:tblGrid>
      <w:tr w14:paraId="2069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296" w:type="dxa"/>
            <w:gridSpan w:val="6"/>
            <w:noWrap/>
          </w:tcPr>
          <w:p w14:paraId="41E59A9E">
            <w:pPr>
              <w:ind w:firstLine="420" w:firstLineChars="200"/>
              <w:jc w:val="center"/>
              <w:rPr>
                <w:color w:val="000000"/>
                <w:sz w:val="21"/>
                <w:szCs w:val="21"/>
              </w:rPr>
            </w:pPr>
            <w:r>
              <w:rPr>
                <w:rFonts w:hint="eastAsia"/>
                <w:color w:val="000000"/>
                <w:sz w:val="21"/>
                <w:szCs w:val="21"/>
              </w:rPr>
              <w:t>FTND烟草依赖度量表</w:t>
            </w:r>
          </w:p>
        </w:tc>
      </w:tr>
      <w:tr w14:paraId="65EE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5" w:type="dxa"/>
          </w:tcPr>
          <w:p w14:paraId="07CA7CF1">
            <w:pPr>
              <w:ind w:firstLine="420" w:firstLineChars="200"/>
              <w:rPr>
                <w:color w:val="000000"/>
                <w:sz w:val="21"/>
                <w:szCs w:val="21"/>
              </w:rPr>
            </w:pPr>
            <w:r>
              <w:rPr>
                <w:rFonts w:hint="eastAsia"/>
                <w:color w:val="000000"/>
                <w:sz w:val="21"/>
                <w:szCs w:val="21"/>
              </w:rPr>
              <w:t>评估内容</w:t>
            </w:r>
          </w:p>
        </w:tc>
        <w:tc>
          <w:tcPr>
            <w:tcW w:w="1045" w:type="dxa"/>
          </w:tcPr>
          <w:p w14:paraId="7E27DE12">
            <w:pPr>
              <w:ind w:firstLine="420" w:firstLineChars="200"/>
              <w:rPr>
                <w:color w:val="000000"/>
                <w:sz w:val="21"/>
                <w:szCs w:val="21"/>
              </w:rPr>
            </w:pPr>
            <w:r>
              <w:rPr>
                <w:rFonts w:hint="eastAsia"/>
                <w:color w:val="000000"/>
                <w:sz w:val="21"/>
                <w:szCs w:val="21"/>
              </w:rPr>
              <w:t>0分</w:t>
            </w:r>
          </w:p>
        </w:tc>
        <w:tc>
          <w:tcPr>
            <w:tcW w:w="1170" w:type="dxa"/>
          </w:tcPr>
          <w:p w14:paraId="5A7F6567">
            <w:pPr>
              <w:ind w:firstLine="420" w:firstLineChars="200"/>
              <w:rPr>
                <w:color w:val="000000"/>
                <w:sz w:val="21"/>
                <w:szCs w:val="21"/>
              </w:rPr>
            </w:pPr>
            <w:r>
              <w:rPr>
                <w:rFonts w:hint="eastAsia"/>
                <w:color w:val="000000"/>
                <w:sz w:val="21"/>
                <w:szCs w:val="21"/>
              </w:rPr>
              <w:t>1分</w:t>
            </w:r>
          </w:p>
        </w:tc>
        <w:tc>
          <w:tcPr>
            <w:tcW w:w="1170" w:type="dxa"/>
          </w:tcPr>
          <w:p w14:paraId="64620CD6">
            <w:pPr>
              <w:ind w:firstLine="420" w:firstLineChars="200"/>
              <w:rPr>
                <w:color w:val="000000"/>
                <w:sz w:val="21"/>
                <w:szCs w:val="21"/>
              </w:rPr>
            </w:pPr>
            <w:r>
              <w:rPr>
                <w:rFonts w:hint="eastAsia"/>
                <w:color w:val="000000"/>
                <w:sz w:val="21"/>
                <w:szCs w:val="21"/>
              </w:rPr>
              <w:t>2分</w:t>
            </w:r>
          </w:p>
        </w:tc>
        <w:tc>
          <w:tcPr>
            <w:tcW w:w="940" w:type="dxa"/>
          </w:tcPr>
          <w:p w14:paraId="20936794">
            <w:pPr>
              <w:ind w:firstLine="420" w:firstLineChars="200"/>
              <w:rPr>
                <w:color w:val="000000"/>
                <w:sz w:val="21"/>
                <w:szCs w:val="21"/>
              </w:rPr>
            </w:pPr>
            <w:r>
              <w:rPr>
                <w:rFonts w:hint="eastAsia"/>
                <w:color w:val="000000"/>
                <w:sz w:val="21"/>
                <w:szCs w:val="21"/>
              </w:rPr>
              <w:t>3分</w:t>
            </w:r>
          </w:p>
        </w:tc>
        <w:tc>
          <w:tcPr>
            <w:tcW w:w="846" w:type="dxa"/>
          </w:tcPr>
          <w:p w14:paraId="51F95994">
            <w:pPr>
              <w:ind w:firstLine="420" w:firstLineChars="200"/>
              <w:rPr>
                <w:color w:val="000000"/>
                <w:sz w:val="21"/>
                <w:szCs w:val="21"/>
              </w:rPr>
            </w:pPr>
            <w:r>
              <w:rPr>
                <w:rFonts w:hint="eastAsia"/>
                <w:color w:val="000000"/>
                <w:sz w:val="21"/>
                <w:szCs w:val="21"/>
              </w:rPr>
              <w:t>自我评分</w:t>
            </w:r>
          </w:p>
        </w:tc>
      </w:tr>
      <w:tr w14:paraId="484D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5" w:type="dxa"/>
          </w:tcPr>
          <w:p w14:paraId="0512D018">
            <w:pPr>
              <w:rPr>
                <w:color w:val="000000"/>
                <w:sz w:val="21"/>
                <w:szCs w:val="21"/>
              </w:rPr>
            </w:pPr>
            <w:r>
              <w:rPr>
                <w:rFonts w:hint="eastAsia"/>
                <w:color w:val="000000"/>
                <w:sz w:val="21"/>
                <w:szCs w:val="21"/>
              </w:rPr>
              <w:t>早晨醒来后多长时间吸第1支烟</w:t>
            </w:r>
          </w:p>
        </w:tc>
        <w:tc>
          <w:tcPr>
            <w:tcW w:w="1045" w:type="dxa"/>
          </w:tcPr>
          <w:p w14:paraId="3DC5ECE7">
            <w:pPr>
              <w:ind w:firstLine="420" w:firstLineChars="200"/>
              <w:rPr>
                <w:color w:val="000000"/>
                <w:sz w:val="21"/>
                <w:szCs w:val="21"/>
              </w:rPr>
            </w:pPr>
            <w:r>
              <w:rPr>
                <w:rFonts w:hint="eastAsia"/>
                <w:color w:val="000000"/>
                <w:sz w:val="21"/>
                <w:szCs w:val="21"/>
              </w:rPr>
              <w:t>&gt;60分钟</w:t>
            </w:r>
          </w:p>
        </w:tc>
        <w:tc>
          <w:tcPr>
            <w:tcW w:w="1170" w:type="dxa"/>
          </w:tcPr>
          <w:p w14:paraId="6D1E3EFE">
            <w:pPr>
              <w:ind w:firstLine="420" w:firstLineChars="200"/>
              <w:rPr>
                <w:color w:val="000000"/>
                <w:sz w:val="21"/>
                <w:szCs w:val="21"/>
              </w:rPr>
            </w:pPr>
            <w:r>
              <w:rPr>
                <w:rFonts w:hint="eastAsia"/>
                <w:color w:val="000000"/>
                <w:sz w:val="21"/>
                <w:szCs w:val="21"/>
              </w:rPr>
              <w:t>31</w:t>
            </w:r>
            <w:r>
              <w:rPr>
                <w:color w:val="000000"/>
                <w:sz w:val="21"/>
                <w:szCs w:val="21"/>
              </w:rPr>
              <w:t>～</w:t>
            </w:r>
            <w:r>
              <w:rPr>
                <w:rFonts w:hint="eastAsia"/>
                <w:color w:val="000000"/>
                <w:sz w:val="21"/>
                <w:szCs w:val="21"/>
              </w:rPr>
              <w:t>60分钟</w:t>
            </w:r>
          </w:p>
        </w:tc>
        <w:tc>
          <w:tcPr>
            <w:tcW w:w="1170" w:type="dxa"/>
          </w:tcPr>
          <w:p w14:paraId="3C6397C0">
            <w:pPr>
              <w:ind w:firstLine="420" w:firstLineChars="200"/>
              <w:rPr>
                <w:color w:val="000000"/>
                <w:sz w:val="21"/>
                <w:szCs w:val="21"/>
              </w:rPr>
            </w:pPr>
            <w:r>
              <w:rPr>
                <w:rFonts w:hint="eastAsia"/>
                <w:color w:val="000000"/>
                <w:sz w:val="21"/>
                <w:szCs w:val="21"/>
              </w:rPr>
              <w:t>6</w:t>
            </w:r>
            <w:r>
              <w:rPr>
                <w:color w:val="000000"/>
                <w:sz w:val="21"/>
                <w:szCs w:val="21"/>
              </w:rPr>
              <w:t>～</w:t>
            </w:r>
            <w:r>
              <w:rPr>
                <w:rFonts w:hint="eastAsia"/>
                <w:color w:val="000000"/>
                <w:sz w:val="21"/>
                <w:szCs w:val="21"/>
              </w:rPr>
              <w:t>30分钟</w:t>
            </w:r>
          </w:p>
        </w:tc>
        <w:tc>
          <w:tcPr>
            <w:tcW w:w="940" w:type="dxa"/>
          </w:tcPr>
          <w:p w14:paraId="53C175CB">
            <w:pPr>
              <w:ind w:firstLine="420" w:firstLineChars="200"/>
              <w:rPr>
                <w:color w:val="000000"/>
                <w:sz w:val="21"/>
                <w:szCs w:val="21"/>
              </w:rPr>
            </w:pPr>
            <w:r>
              <w:rPr>
                <w:rFonts w:hint="eastAsia"/>
                <w:color w:val="000000"/>
                <w:sz w:val="21"/>
                <w:szCs w:val="21"/>
              </w:rPr>
              <w:t>5分钟以内</w:t>
            </w:r>
          </w:p>
        </w:tc>
        <w:tc>
          <w:tcPr>
            <w:tcW w:w="846" w:type="dxa"/>
          </w:tcPr>
          <w:p w14:paraId="3FD0CCCE">
            <w:pPr>
              <w:ind w:firstLine="420" w:firstLineChars="200"/>
              <w:rPr>
                <w:color w:val="000000"/>
                <w:sz w:val="21"/>
                <w:szCs w:val="21"/>
              </w:rPr>
            </w:pPr>
            <w:r>
              <w:rPr>
                <w:rFonts w:hint="eastAsia"/>
                <w:color w:val="000000"/>
                <w:sz w:val="21"/>
                <w:szCs w:val="21"/>
              </w:rPr>
              <w:t>　</w:t>
            </w:r>
          </w:p>
        </w:tc>
      </w:tr>
      <w:tr w14:paraId="1C00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125" w:type="dxa"/>
          </w:tcPr>
          <w:p w14:paraId="6C1B8B92">
            <w:pPr>
              <w:rPr>
                <w:color w:val="000000"/>
                <w:sz w:val="21"/>
                <w:szCs w:val="21"/>
              </w:rPr>
            </w:pPr>
            <w:r>
              <w:rPr>
                <w:rFonts w:hint="eastAsia"/>
                <w:color w:val="000000"/>
                <w:sz w:val="21"/>
                <w:szCs w:val="21"/>
              </w:rPr>
              <w:t>您是否在许多禁烟场所感到很难控制吸烟的需要？</w:t>
            </w:r>
          </w:p>
        </w:tc>
        <w:tc>
          <w:tcPr>
            <w:tcW w:w="2215" w:type="dxa"/>
            <w:gridSpan w:val="2"/>
          </w:tcPr>
          <w:p w14:paraId="77C64D5B">
            <w:pPr>
              <w:rPr>
                <w:color w:val="000000"/>
                <w:sz w:val="21"/>
                <w:szCs w:val="21"/>
              </w:rPr>
            </w:pPr>
            <w:r>
              <w:rPr>
                <w:rFonts w:hint="eastAsia"/>
                <w:color w:val="000000"/>
                <w:sz w:val="21"/>
                <w:szCs w:val="21"/>
              </w:rPr>
              <w:t>否</w:t>
            </w:r>
          </w:p>
        </w:tc>
        <w:tc>
          <w:tcPr>
            <w:tcW w:w="2110" w:type="dxa"/>
            <w:gridSpan w:val="2"/>
          </w:tcPr>
          <w:p w14:paraId="0D929CDD">
            <w:pPr>
              <w:ind w:firstLine="420" w:firstLineChars="200"/>
              <w:rPr>
                <w:color w:val="000000"/>
                <w:sz w:val="21"/>
                <w:szCs w:val="21"/>
              </w:rPr>
            </w:pPr>
            <w:r>
              <w:rPr>
                <w:rFonts w:hint="eastAsia"/>
                <w:color w:val="000000"/>
                <w:sz w:val="21"/>
                <w:szCs w:val="21"/>
              </w:rPr>
              <w:t>　是</w:t>
            </w:r>
          </w:p>
          <w:p w14:paraId="4C98870D">
            <w:pPr>
              <w:ind w:firstLine="420" w:firstLineChars="200"/>
              <w:rPr>
                <w:color w:val="000000"/>
                <w:sz w:val="21"/>
                <w:szCs w:val="21"/>
              </w:rPr>
            </w:pPr>
            <w:r>
              <w:rPr>
                <w:rFonts w:hint="eastAsia"/>
                <w:color w:val="000000"/>
                <w:sz w:val="21"/>
                <w:szCs w:val="21"/>
              </w:rPr>
              <w:t>　</w:t>
            </w:r>
          </w:p>
        </w:tc>
        <w:tc>
          <w:tcPr>
            <w:tcW w:w="846" w:type="dxa"/>
          </w:tcPr>
          <w:p w14:paraId="1281E37A">
            <w:pPr>
              <w:ind w:firstLine="420" w:firstLineChars="200"/>
              <w:rPr>
                <w:color w:val="000000"/>
                <w:sz w:val="21"/>
                <w:szCs w:val="21"/>
              </w:rPr>
            </w:pPr>
            <w:r>
              <w:rPr>
                <w:rFonts w:hint="eastAsia"/>
                <w:color w:val="000000"/>
                <w:sz w:val="21"/>
                <w:szCs w:val="21"/>
              </w:rPr>
              <w:t>　</w:t>
            </w:r>
          </w:p>
        </w:tc>
      </w:tr>
      <w:tr w14:paraId="66D8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5" w:type="dxa"/>
          </w:tcPr>
          <w:p w14:paraId="5C17E18D">
            <w:pPr>
              <w:rPr>
                <w:color w:val="000000"/>
                <w:sz w:val="21"/>
                <w:szCs w:val="21"/>
              </w:rPr>
            </w:pPr>
            <w:r>
              <w:rPr>
                <w:rFonts w:hint="eastAsia"/>
                <w:color w:val="000000"/>
                <w:sz w:val="21"/>
                <w:szCs w:val="21"/>
              </w:rPr>
              <w:t>您最不想放弃的是哪一支烟？</w:t>
            </w:r>
          </w:p>
        </w:tc>
        <w:tc>
          <w:tcPr>
            <w:tcW w:w="2215" w:type="dxa"/>
            <w:gridSpan w:val="2"/>
          </w:tcPr>
          <w:p w14:paraId="1B34C1A8">
            <w:pPr>
              <w:rPr>
                <w:color w:val="000000"/>
                <w:sz w:val="21"/>
                <w:szCs w:val="21"/>
              </w:rPr>
            </w:pPr>
            <w:r>
              <w:rPr>
                <w:rFonts w:hint="eastAsia"/>
                <w:color w:val="000000"/>
                <w:sz w:val="21"/>
                <w:szCs w:val="21"/>
              </w:rPr>
              <w:t>其他时间</w:t>
            </w:r>
          </w:p>
        </w:tc>
        <w:tc>
          <w:tcPr>
            <w:tcW w:w="2110" w:type="dxa"/>
            <w:gridSpan w:val="2"/>
          </w:tcPr>
          <w:p w14:paraId="51F5FEEE">
            <w:pPr>
              <w:ind w:firstLine="420" w:firstLineChars="200"/>
              <w:rPr>
                <w:color w:val="000000"/>
                <w:sz w:val="21"/>
                <w:szCs w:val="21"/>
              </w:rPr>
            </w:pPr>
            <w:r>
              <w:rPr>
                <w:rFonts w:hint="eastAsia"/>
                <w:color w:val="000000"/>
                <w:sz w:val="21"/>
                <w:szCs w:val="21"/>
              </w:rPr>
              <w:t>早晨第一次　</w:t>
            </w:r>
          </w:p>
          <w:p w14:paraId="6541D370">
            <w:pPr>
              <w:ind w:firstLine="420" w:firstLineChars="200"/>
              <w:rPr>
                <w:color w:val="000000"/>
                <w:sz w:val="21"/>
                <w:szCs w:val="21"/>
              </w:rPr>
            </w:pPr>
            <w:r>
              <w:rPr>
                <w:rFonts w:hint="eastAsia"/>
                <w:color w:val="000000"/>
                <w:sz w:val="21"/>
                <w:szCs w:val="21"/>
              </w:rPr>
              <w:t>　</w:t>
            </w:r>
          </w:p>
        </w:tc>
        <w:tc>
          <w:tcPr>
            <w:tcW w:w="846" w:type="dxa"/>
          </w:tcPr>
          <w:p w14:paraId="29596DDE">
            <w:pPr>
              <w:ind w:firstLine="420" w:firstLineChars="200"/>
              <w:rPr>
                <w:color w:val="000000"/>
                <w:sz w:val="21"/>
                <w:szCs w:val="21"/>
              </w:rPr>
            </w:pPr>
            <w:r>
              <w:rPr>
                <w:rFonts w:hint="eastAsia"/>
                <w:color w:val="000000"/>
                <w:sz w:val="21"/>
                <w:szCs w:val="21"/>
              </w:rPr>
              <w:t>　</w:t>
            </w:r>
          </w:p>
        </w:tc>
      </w:tr>
      <w:tr w14:paraId="4470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5" w:type="dxa"/>
          </w:tcPr>
          <w:p w14:paraId="22578FD8">
            <w:pPr>
              <w:rPr>
                <w:color w:val="000000"/>
                <w:sz w:val="21"/>
                <w:szCs w:val="21"/>
              </w:rPr>
            </w:pPr>
            <w:r>
              <w:rPr>
                <w:rFonts w:hint="eastAsia"/>
                <w:color w:val="000000"/>
                <w:sz w:val="21"/>
                <w:szCs w:val="21"/>
              </w:rPr>
              <w:t>您每天吸多少烟？</w:t>
            </w:r>
          </w:p>
        </w:tc>
        <w:tc>
          <w:tcPr>
            <w:tcW w:w="1045" w:type="dxa"/>
          </w:tcPr>
          <w:p w14:paraId="14361595">
            <w:pPr>
              <w:rPr>
                <w:color w:val="000000"/>
                <w:sz w:val="21"/>
                <w:szCs w:val="21"/>
              </w:rPr>
            </w:pPr>
            <w:r>
              <w:rPr>
                <w:rFonts w:hint="eastAsia"/>
                <w:color w:val="000000"/>
                <w:sz w:val="21"/>
                <w:szCs w:val="21"/>
              </w:rPr>
              <w:t>10支</w:t>
            </w:r>
          </w:p>
        </w:tc>
        <w:tc>
          <w:tcPr>
            <w:tcW w:w="1170" w:type="dxa"/>
          </w:tcPr>
          <w:p w14:paraId="79E6ACDF">
            <w:pPr>
              <w:rPr>
                <w:color w:val="000000"/>
                <w:sz w:val="21"/>
                <w:szCs w:val="21"/>
              </w:rPr>
            </w:pPr>
            <w:r>
              <w:rPr>
                <w:rFonts w:hint="eastAsia"/>
                <w:color w:val="000000"/>
                <w:sz w:val="21"/>
                <w:szCs w:val="21"/>
              </w:rPr>
              <w:t>11</w:t>
            </w:r>
            <w:r>
              <w:rPr>
                <w:color w:val="000000"/>
                <w:sz w:val="21"/>
                <w:szCs w:val="21"/>
              </w:rPr>
              <w:t>～</w:t>
            </w:r>
            <w:r>
              <w:rPr>
                <w:rFonts w:hint="eastAsia"/>
                <w:color w:val="000000"/>
                <w:sz w:val="21"/>
                <w:szCs w:val="21"/>
              </w:rPr>
              <w:t>20支</w:t>
            </w:r>
          </w:p>
        </w:tc>
        <w:tc>
          <w:tcPr>
            <w:tcW w:w="1170" w:type="dxa"/>
          </w:tcPr>
          <w:p w14:paraId="2182EC9C">
            <w:pPr>
              <w:rPr>
                <w:color w:val="000000"/>
                <w:sz w:val="21"/>
                <w:szCs w:val="21"/>
              </w:rPr>
            </w:pPr>
            <w:r>
              <w:rPr>
                <w:rFonts w:hint="eastAsia"/>
                <w:color w:val="000000"/>
                <w:sz w:val="21"/>
                <w:szCs w:val="21"/>
              </w:rPr>
              <w:t>21</w:t>
            </w:r>
            <w:r>
              <w:rPr>
                <w:color w:val="000000"/>
                <w:sz w:val="21"/>
                <w:szCs w:val="21"/>
              </w:rPr>
              <w:t>～</w:t>
            </w:r>
            <w:r>
              <w:rPr>
                <w:rFonts w:hint="eastAsia"/>
                <w:color w:val="000000"/>
                <w:sz w:val="21"/>
                <w:szCs w:val="21"/>
              </w:rPr>
              <w:t>30支</w:t>
            </w:r>
          </w:p>
        </w:tc>
        <w:tc>
          <w:tcPr>
            <w:tcW w:w="940" w:type="dxa"/>
          </w:tcPr>
          <w:p w14:paraId="36BBF16B">
            <w:pPr>
              <w:rPr>
                <w:color w:val="000000"/>
                <w:sz w:val="21"/>
                <w:szCs w:val="21"/>
              </w:rPr>
            </w:pPr>
            <w:r>
              <w:rPr>
                <w:rFonts w:hint="eastAsia"/>
                <w:color w:val="000000"/>
                <w:sz w:val="21"/>
                <w:szCs w:val="21"/>
              </w:rPr>
              <w:t>≥31支</w:t>
            </w:r>
          </w:p>
        </w:tc>
        <w:tc>
          <w:tcPr>
            <w:tcW w:w="846" w:type="dxa"/>
          </w:tcPr>
          <w:p w14:paraId="63295A0E">
            <w:pPr>
              <w:ind w:firstLine="420" w:firstLineChars="200"/>
              <w:rPr>
                <w:color w:val="000000"/>
                <w:sz w:val="21"/>
                <w:szCs w:val="21"/>
              </w:rPr>
            </w:pPr>
            <w:r>
              <w:rPr>
                <w:rFonts w:hint="eastAsia"/>
                <w:color w:val="000000"/>
                <w:sz w:val="21"/>
                <w:szCs w:val="21"/>
              </w:rPr>
              <w:t>　</w:t>
            </w:r>
          </w:p>
        </w:tc>
      </w:tr>
      <w:tr w14:paraId="24C3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5" w:type="dxa"/>
          </w:tcPr>
          <w:p w14:paraId="3223165F">
            <w:pPr>
              <w:rPr>
                <w:color w:val="000000"/>
                <w:sz w:val="21"/>
                <w:szCs w:val="21"/>
              </w:rPr>
            </w:pPr>
            <w:r>
              <w:rPr>
                <w:rFonts w:hint="eastAsia"/>
                <w:color w:val="000000"/>
                <w:sz w:val="21"/>
                <w:szCs w:val="21"/>
              </w:rPr>
              <w:t>您是否在早晨醒来后的第1小时内吸烟最多？</w:t>
            </w:r>
          </w:p>
        </w:tc>
        <w:tc>
          <w:tcPr>
            <w:tcW w:w="2215" w:type="dxa"/>
            <w:gridSpan w:val="2"/>
          </w:tcPr>
          <w:p w14:paraId="071E0F8F">
            <w:pPr>
              <w:ind w:firstLine="420" w:firstLineChars="200"/>
              <w:rPr>
                <w:color w:val="000000"/>
                <w:sz w:val="21"/>
                <w:szCs w:val="21"/>
              </w:rPr>
            </w:pPr>
            <w:r>
              <w:rPr>
                <w:rFonts w:hint="eastAsia"/>
                <w:color w:val="000000"/>
                <w:sz w:val="21"/>
                <w:szCs w:val="21"/>
              </w:rPr>
              <w:t>否</w:t>
            </w:r>
          </w:p>
        </w:tc>
        <w:tc>
          <w:tcPr>
            <w:tcW w:w="2110" w:type="dxa"/>
            <w:gridSpan w:val="2"/>
          </w:tcPr>
          <w:p w14:paraId="27479AA5">
            <w:pPr>
              <w:ind w:firstLine="420" w:firstLineChars="200"/>
              <w:rPr>
                <w:color w:val="000000"/>
                <w:sz w:val="21"/>
                <w:szCs w:val="21"/>
              </w:rPr>
            </w:pPr>
            <w:r>
              <w:rPr>
                <w:rFonts w:hint="eastAsia"/>
                <w:color w:val="000000"/>
                <w:sz w:val="21"/>
                <w:szCs w:val="21"/>
              </w:rPr>
              <w:t>　是　</w:t>
            </w:r>
          </w:p>
        </w:tc>
        <w:tc>
          <w:tcPr>
            <w:tcW w:w="846" w:type="dxa"/>
          </w:tcPr>
          <w:p w14:paraId="0104808A">
            <w:pPr>
              <w:ind w:firstLine="420" w:firstLineChars="200"/>
              <w:rPr>
                <w:color w:val="000000"/>
                <w:sz w:val="21"/>
                <w:szCs w:val="21"/>
              </w:rPr>
            </w:pPr>
            <w:r>
              <w:rPr>
                <w:rFonts w:hint="eastAsia"/>
                <w:color w:val="000000"/>
                <w:sz w:val="21"/>
                <w:szCs w:val="21"/>
              </w:rPr>
              <w:t>　</w:t>
            </w:r>
          </w:p>
        </w:tc>
      </w:tr>
      <w:tr w14:paraId="6574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5" w:type="dxa"/>
          </w:tcPr>
          <w:p w14:paraId="0A1D4A90">
            <w:pPr>
              <w:rPr>
                <w:color w:val="000000"/>
                <w:sz w:val="21"/>
                <w:szCs w:val="21"/>
              </w:rPr>
            </w:pPr>
            <w:r>
              <w:rPr>
                <w:rFonts w:hint="eastAsia"/>
                <w:color w:val="000000"/>
                <w:sz w:val="21"/>
                <w:szCs w:val="21"/>
              </w:rPr>
              <w:t>如果您患病卧床是否还会吸烟？</w:t>
            </w:r>
          </w:p>
        </w:tc>
        <w:tc>
          <w:tcPr>
            <w:tcW w:w="2215" w:type="dxa"/>
            <w:gridSpan w:val="2"/>
          </w:tcPr>
          <w:p w14:paraId="20C235D1">
            <w:pPr>
              <w:ind w:firstLine="420" w:firstLineChars="200"/>
              <w:rPr>
                <w:color w:val="000000"/>
                <w:sz w:val="21"/>
                <w:szCs w:val="21"/>
              </w:rPr>
            </w:pPr>
            <w:r>
              <w:rPr>
                <w:rFonts w:hint="eastAsia"/>
                <w:color w:val="000000"/>
                <w:sz w:val="21"/>
                <w:szCs w:val="21"/>
              </w:rPr>
              <w:t>否</w:t>
            </w:r>
          </w:p>
        </w:tc>
        <w:tc>
          <w:tcPr>
            <w:tcW w:w="2110" w:type="dxa"/>
            <w:gridSpan w:val="2"/>
          </w:tcPr>
          <w:p w14:paraId="5597574C">
            <w:pPr>
              <w:ind w:firstLine="420" w:firstLineChars="200"/>
              <w:rPr>
                <w:color w:val="000000"/>
                <w:sz w:val="21"/>
                <w:szCs w:val="21"/>
              </w:rPr>
            </w:pPr>
            <w:r>
              <w:rPr>
                <w:rFonts w:hint="eastAsia"/>
                <w:color w:val="000000"/>
                <w:sz w:val="21"/>
                <w:szCs w:val="21"/>
              </w:rPr>
              <w:t>　是　</w:t>
            </w:r>
          </w:p>
        </w:tc>
        <w:tc>
          <w:tcPr>
            <w:tcW w:w="846" w:type="dxa"/>
          </w:tcPr>
          <w:p w14:paraId="29FCE1EE">
            <w:pPr>
              <w:ind w:firstLine="420" w:firstLineChars="200"/>
              <w:rPr>
                <w:color w:val="000000"/>
                <w:sz w:val="21"/>
                <w:szCs w:val="21"/>
              </w:rPr>
            </w:pPr>
            <w:r>
              <w:rPr>
                <w:rFonts w:hint="eastAsia"/>
                <w:color w:val="000000"/>
                <w:sz w:val="21"/>
                <w:szCs w:val="21"/>
              </w:rPr>
              <w:t>　</w:t>
            </w:r>
          </w:p>
        </w:tc>
      </w:tr>
      <w:tr w14:paraId="2612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296" w:type="dxa"/>
            <w:gridSpan w:val="6"/>
            <w:noWrap/>
          </w:tcPr>
          <w:p w14:paraId="33BE4967">
            <w:pPr>
              <w:ind w:firstLine="420" w:firstLineChars="200"/>
              <w:rPr>
                <w:color w:val="000000"/>
                <w:sz w:val="21"/>
                <w:szCs w:val="21"/>
              </w:rPr>
            </w:pPr>
            <w:r>
              <w:rPr>
                <w:rFonts w:hint="eastAsia"/>
                <w:color w:val="000000"/>
                <w:sz w:val="21"/>
                <w:szCs w:val="21"/>
              </w:rPr>
              <w:t>评分1</w:t>
            </w:r>
            <w:r>
              <w:rPr>
                <w:color w:val="000000"/>
                <w:sz w:val="21"/>
                <w:szCs w:val="21"/>
              </w:rPr>
              <w:t>～</w:t>
            </w:r>
            <w:r>
              <w:rPr>
                <w:rFonts w:hint="eastAsia"/>
                <w:color w:val="000000"/>
                <w:sz w:val="21"/>
                <w:szCs w:val="21"/>
              </w:rPr>
              <w:t>3分：尼古丁轻度依赖；评分4</w:t>
            </w:r>
            <w:r>
              <w:rPr>
                <w:color w:val="000000"/>
                <w:sz w:val="21"/>
                <w:szCs w:val="21"/>
              </w:rPr>
              <w:t>～</w:t>
            </w:r>
            <w:r>
              <w:rPr>
                <w:rFonts w:hint="eastAsia"/>
                <w:color w:val="000000"/>
                <w:sz w:val="21"/>
                <w:szCs w:val="21"/>
              </w:rPr>
              <w:t>6分：尼古丁中度依赖：大于7分：尼古丁重度依赖</w:t>
            </w:r>
          </w:p>
        </w:tc>
      </w:tr>
    </w:tbl>
    <w:p w14:paraId="07467FBE">
      <w:pPr>
        <w:jc w:val="center"/>
      </w:pPr>
    </w:p>
    <w:p w14:paraId="378B8DA9">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3 患者健康问卷-9项（PHQ-9）PHQ9和GAD7重新做一下总分、严重程度、≥10分处理</w:t>
      </w:r>
    </w:p>
    <w:p w14:paraId="7FC66F72">
      <w:pPr>
        <w:jc w:val="cente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5"/>
        <w:gridCol w:w="1161"/>
        <w:gridCol w:w="1296"/>
        <w:gridCol w:w="1428"/>
        <w:gridCol w:w="1356"/>
      </w:tblGrid>
      <w:tr w14:paraId="770D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14:paraId="7AAE6D8F">
            <w:pPr>
              <w:jc w:val="left"/>
              <w:rPr>
                <w:sz w:val="13"/>
                <w:szCs w:val="13"/>
              </w:rPr>
            </w:pPr>
          </w:p>
        </w:tc>
        <w:tc>
          <w:tcPr>
            <w:tcW w:w="1161" w:type="dxa"/>
            <w:vAlign w:val="center"/>
          </w:tcPr>
          <w:p w14:paraId="10ADFE9D">
            <w:pPr>
              <w:widowControl/>
              <w:jc w:val="right"/>
              <w:textAlignment w:val="center"/>
              <w:rPr>
                <w:sz w:val="15"/>
                <w:szCs w:val="16"/>
              </w:rPr>
            </w:pPr>
            <w:r>
              <w:rPr>
                <w:rFonts w:hint="eastAsia" w:ascii="宋体" w:hAnsi="宋体"/>
                <w:b/>
                <w:bCs/>
                <w:color w:val="000000"/>
                <w:kern w:val="0"/>
                <w:sz w:val="20"/>
                <w:szCs w:val="20"/>
              </w:rPr>
              <w:t>一直没有</w:t>
            </w:r>
          </w:p>
        </w:tc>
        <w:tc>
          <w:tcPr>
            <w:tcW w:w="1296" w:type="dxa"/>
            <w:vAlign w:val="center"/>
          </w:tcPr>
          <w:p w14:paraId="7E0D83A8">
            <w:pPr>
              <w:widowControl/>
              <w:jc w:val="center"/>
              <w:textAlignment w:val="center"/>
              <w:rPr>
                <w:sz w:val="15"/>
                <w:szCs w:val="16"/>
              </w:rPr>
            </w:pPr>
            <w:r>
              <w:rPr>
                <w:rFonts w:hint="eastAsia" w:ascii="宋体" w:hAnsi="宋体"/>
                <w:b/>
                <w:bCs/>
                <w:color w:val="000000"/>
                <w:kern w:val="0"/>
                <w:sz w:val="20"/>
                <w:szCs w:val="20"/>
              </w:rPr>
              <w:t>一些日子</w:t>
            </w:r>
          </w:p>
        </w:tc>
        <w:tc>
          <w:tcPr>
            <w:tcW w:w="1428" w:type="dxa"/>
            <w:vAlign w:val="center"/>
          </w:tcPr>
          <w:p w14:paraId="6780ADD4">
            <w:pPr>
              <w:widowControl/>
              <w:jc w:val="center"/>
              <w:textAlignment w:val="center"/>
              <w:rPr>
                <w:rFonts w:hint="eastAsia" w:ascii="宋体" w:hAnsi="宋体"/>
                <w:b/>
                <w:bCs/>
                <w:color w:val="000000"/>
                <w:kern w:val="0"/>
                <w:sz w:val="20"/>
                <w:szCs w:val="20"/>
              </w:rPr>
            </w:pPr>
            <w:r>
              <w:rPr>
                <w:rFonts w:hint="eastAsia" w:ascii="宋体" w:hAnsi="宋体"/>
                <w:b/>
                <w:bCs/>
                <w:color w:val="000000"/>
                <w:kern w:val="0"/>
                <w:sz w:val="20"/>
                <w:szCs w:val="20"/>
              </w:rPr>
              <w:t>超过一半</w:t>
            </w:r>
          </w:p>
          <w:p w14:paraId="4E998A23">
            <w:pPr>
              <w:widowControl/>
              <w:jc w:val="center"/>
              <w:textAlignment w:val="center"/>
              <w:rPr>
                <w:sz w:val="15"/>
                <w:szCs w:val="16"/>
              </w:rPr>
            </w:pPr>
            <w:r>
              <w:rPr>
                <w:rFonts w:hint="eastAsia" w:ascii="宋体" w:hAnsi="宋体"/>
                <w:b/>
                <w:bCs/>
                <w:color w:val="000000"/>
                <w:kern w:val="0"/>
                <w:sz w:val="20"/>
                <w:szCs w:val="20"/>
              </w:rPr>
              <w:t>的时间</w:t>
            </w:r>
          </w:p>
        </w:tc>
        <w:tc>
          <w:tcPr>
            <w:tcW w:w="1356" w:type="dxa"/>
            <w:vAlign w:val="center"/>
          </w:tcPr>
          <w:p w14:paraId="73553EAC">
            <w:pPr>
              <w:widowControl/>
              <w:jc w:val="center"/>
              <w:textAlignment w:val="center"/>
              <w:rPr>
                <w:rFonts w:hint="eastAsia" w:ascii="宋体" w:hAnsi="宋体"/>
                <w:b/>
                <w:bCs/>
                <w:color w:val="000000"/>
                <w:kern w:val="0"/>
                <w:sz w:val="20"/>
                <w:szCs w:val="20"/>
              </w:rPr>
            </w:pPr>
            <w:r>
              <w:rPr>
                <w:rFonts w:hint="eastAsia" w:ascii="宋体" w:hAnsi="宋体"/>
                <w:b/>
                <w:bCs/>
                <w:color w:val="000000"/>
                <w:kern w:val="0"/>
                <w:sz w:val="20"/>
                <w:szCs w:val="20"/>
              </w:rPr>
              <w:t>几乎每</w:t>
            </w:r>
          </w:p>
          <w:p w14:paraId="28524426">
            <w:pPr>
              <w:widowControl/>
              <w:jc w:val="center"/>
              <w:textAlignment w:val="center"/>
              <w:rPr>
                <w:sz w:val="15"/>
                <w:szCs w:val="16"/>
              </w:rPr>
            </w:pPr>
            <w:r>
              <w:rPr>
                <w:rFonts w:hint="eastAsia" w:ascii="宋体" w:hAnsi="宋体"/>
                <w:b/>
                <w:bCs/>
                <w:color w:val="000000"/>
                <w:kern w:val="0"/>
                <w:sz w:val="20"/>
                <w:szCs w:val="20"/>
              </w:rPr>
              <w:t>一天</w:t>
            </w:r>
          </w:p>
        </w:tc>
      </w:tr>
      <w:tr w14:paraId="2474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4D086B65">
            <w:pPr>
              <w:widowControl/>
              <w:jc w:val="left"/>
              <w:textAlignment w:val="top"/>
              <w:rPr>
                <w:sz w:val="15"/>
                <w:szCs w:val="16"/>
              </w:rPr>
            </w:pPr>
            <w:r>
              <w:rPr>
                <w:rFonts w:hint="eastAsia" w:ascii="宋体" w:hAnsi="宋体"/>
                <w:color w:val="000000"/>
                <w:kern w:val="0"/>
                <w:sz w:val="20"/>
                <w:szCs w:val="20"/>
              </w:rPr>
              <w:t>1.对任何事情几乎都没有什么兴趣或热情</w:t>
            </w:r>
          </w:p>
        </w:tc>
        <w:tc>
          <w:tcPr>
            <w:tcW w:w="1161" w:type="dxa"/>
            <w:vAlign w:val="center"/>
          </w:tcPr>
          <w:p w14:paraId="570CEDD0">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260C2286">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3A953FFA">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0AC436BC">
            <w:pPr>
              <w:widowControl/>
              <w:jc w:val="center"/>
              <w:textAlignment w:val="center"/>
              <w:rPr>
                <w:sz w:val="15"/>
                <w:szCs w:val="16"/>
              </w:rPr>
            </w:pPr>
            <w:r>
              <w:rPr>
                <w:rFonts w:hint="eastAsia" w:ascii="宋体" w:hAnsi="宋体"/>
                <w:color w:val="000000"/>
                <w:kern w:val="0"/>
                <w:sz w:val="20"/>
                <w:szCs w:val="20"/>
              </w:rPr>
              <w:t xml:space="preserve">3 </w:t>
            </w:r>
          </w:p>
        </w:tc>
      </w:tr>
      <w:tr w14:paraId="12A7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2562D716">
            <w:pPr>
              <w:widowControl/>
              <w:jc w:val="left"/>
              <w:textAlignment w:val="top"/>
              <w:rPr>
                <w:rFonts w:hint="eastAsia" w:ascii="宋体" w:hAnsi="宋体"/>
                <w:color w:val="000000"/>
                <w:kern w:val="0"/>
                <w:sz w:val="20"/>
                <w:szCs w:val="20"/>
              </w:rPr>
            </w:pPr>
          </w:p>
          <w:p w14:paraId="5BE21E37">
            <w:pPr>
              <w:widowControl/>
              <w:jc w:val="left"/>
              <w:textAlignment w:val="top"/>
              <w:rPr>
                <w:sz w:val="15"/>
                <w:szCs w:val="16"/>
              </w:rPr>
            </w:pPr>
            <w:r>
              <w:rPr>
                <w:rFonts w:hint="eastAsia" w:ascii="宋体" w:hAnsi="宋体"/>
                <w:color w:val="000000"/>
                <w:kern w:val="0"/>
                <w:sz w:val="20"/>
                <w:szCs w:val="20"/>
              </w:rPr>
              <w:t>2.心情低落、沮丧或绝望</w:t>
            </w:r>
          </w:p>
        </w:tc>
        <w:tc>
          <w:tcPr>
            <w:tcW w:w="1161" w:type="dxa"/>
            <w:vAlign w:val="center"/>
          </w:tcPr>
          <w:p w14:paraId="0CADF8CE">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092E9BA1">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5C152A15">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32FC431E">
            <w:pPr>
              <w:widowControl/>
              <w:jc w:val="center"/>
              <w:textAlignment w:val="center"/>
              <w:rPr>
                <w:sz w:val="15"/>
                <w:szCs w:val="16"/>
              </w:rPr>
            </w:pPr>
            <w:r>
              <w:rPr>
                <w:rFonts w:hint="eastAsia" w:ascii="宋体" w:hAnsi="宋体"/>
                <w:color w:val="000000"/>
                <w:kern w:val="0"/>
                <w:sz w:val="20"/>
                <w:szCs w:val="20"/>
              </w:rPr>
              <w:t xml:space="preserve">3 </w:t>
            </w:r>
          </w:p>
        </w:tc>
      </w:tr>
      <w:tr w14:paraId="482E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44CEA5B0">
            <w:pPr>
              <w:jc w:val="left"/>
              <w:rPr>
                <w:sz w:val="13"/>
                <w:szCs w:val="13"/>
              </w:rPr>
            </w:pPr>
          </w:p>
        </w:tc>
        <w:tc>
          <w:tcPr>
            <w:tcW w:w="1161" w:type="dxa"/>
            <w:vAlign w:val="center"/>
          </w:tcPr>
          <w:p w14:paraId="46B72768">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7B6F8BC8">
            <w:pPr>
              <w:widowControl/>
              <w:jc w:val="center"/>
              <w:textAlignment w:val="center"/>
              <w:rPr>
                <w:sz w:val="15"/>
                <w:szCs w:val="16"/>
              </w:rPr>
            </w:pPr>
            <w:r>
              <w:rPr>
                <w:rFonts w:hint="eastAsia" w:ascii="宋体" w:hAnsi="宋体"/>
                <w:color w:val="000000"/>
                <w:kern w:val="0"/>
                <w:sz w:val="20"/>
                <w:szCs w:val="20"/>
              </w:rPr>
              <w:t>+</w:t>
            </w:r>
          </w:p>
        </w:tc>
        <w:tc>
          <w:tcPr>
            <w:tcW w:w="1428" w:type="dxa"/>
            <w:vAlign w:val="center"/>
          </w:tcPr>
          <w:p w14:paraId="0152710B">
            <w:pPr>
              <w:widowControl/>
              <w:jc w:val="center"/>
              <w:textAlignment w:val="center"/>
              <w:rPr>
                <w:sz w:val="15"/>
                <w:szCs w:val="16"/>
              </w:rPr>
            </w:pPr>
            <w:r>
              <w:rPr>
                <w:rFonts w:hint="eastAsia" w:ascii="宋体" w:hAnsi="宋体"/>
                <w:color w:val="000000"/>
                <w:kern w:val="0"/>
                <w:sz w:val="20"/>
                <w:szCs w:val="20"/>
              </w:rPr>
              <w:t>+</w:t>
            </w:r>
          </w:p>
        </w:tc>
        <w:tc>
          <w:tcPr>
            <w:tcW w:w="1356" w:type="dxa"/>
            <w:vAlign w:val="center"/>
          </w:tcPr>
          <w:p w14:paraId="52C7705D">
            <w:pPr>
              <w:jc w:val="center"/>
              <w:rPr>
                <w:sz w:val="13"/>
                <w:szCs w:val="13"/>
              </w:rPr>
            </w:pPr>
          </w:p>
        </w:tc>
      </w:tr>
      <w:tr w14:paraId="1BCB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12" w:type="dxa"/>
            <w:gridSpan w:val="3"/>
          </w:tcPr>
          <w:p w14:paraId="38A0FBE9">
            <w:pPr>
              <w:widowControl/>
              <w:jc w:val="left"/>
              <w:textAlignment w:val="top"/>
              <w:rPr>
                <w:sz w:val="15"/>
                <w:szCs w:val="16"/>
              </w:rPr>
            </w:pPr>
          </w:p>
        </w:tc>
        <w:tc>
          <w:tcPr>
            <w:tcW w:w="1428" w:type="dxa"/>
            <w:vAlign w:val="center"/>
          </w:tcPr>
          <w:p w14:paraId="12ECEAF2">
            <w:pPr>
              <w:widowControl/>
              <w:jc w:val="right"/>
              <w:textAlignment w:val="center"/>
              <w:rPr>
                <w:sz w:val="15"/>
                <w:szCs w:val="16"/>
              </w:rPr>
            </w:pPr>
            <w:r>
              <w:rPr>
                <w:rFonts w:hint="eastAsia" w:ascii="宋体" w:hAnsi="宋体"/>
                <w:color w:val="000000"/>
                <w:kern w:val="0"/>
                <w:sz w:val="20"/>
                <w:szCs w:val="20"/>
              </w:rPr>
              <w:t>总天数：</w:t>
            </w:r>
          </w:p>
        </w:tc>
        <w:tc>
          <w:tcPr>
            <w:tcW w:w="1356" w:type="dxa"/>
          </w:tcPr>
          <w:p w14:paraId="25FDFC77">
            <w:pPr>
              <w:jc w:val="left"/>
              <w:rPr>
                <w:sz w:val="13"/>
                <w:szCs w:val="13"/>
              </w:rPr>
            </w:pPr>
          </w:p>
        </w:tc>
      </w:tr>
      <w:tr w14:paraId="4BB4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5A3F25E8">
            <w:pPr>
              <w:jc w:val="left"/>
              <w:rPr>
                <w:sz w:val="13"/>
                <w:szCs w:val="13"/>
              </w:rPr>
            </w:pPr>
          </w:p>
        </w:tc>
        <w:tc>
          <w:tcPr>
            <w:tcW w:w="1161" w:type="dxa"/>
            <w:vAlign w:val="center"/>
          </w:tcPr>
          <w:p w14:paraId="439E12DE">
            <w:pPr>
              <w:widowControl/>
              <w:jc w:val="center"/>
              <w:textAlignment w:val="center"/>
              <w:rPr>
                <w:sz w:val="15"/>
                <w:szCs w:val="16"/>
              </w:rPr>
            </w:pPr>
            <w:r>
              <w:rPr>
                <w:rFonts w:hint="eastAsia" w:ascii="宋体" w:hAnsi="宋体"/>
                <w:b/>
                <w:bCs/>
                <w:color w:val="000000"/>
                <w:kern w:val="0"/>
                <w:sz w:val="20"/>
                <w:szCs w:val="20"/>
              </w:rPr>
              <w:t>一直没有</w:t>
            </w:r>
          </w:p>
        </w:tc>
        <w:tc>
          <w:tcPr>
            <w:tcW w:w="1296" w:type="dxa"/>
            <w:vAlign w:val="center"/>
          </w:tcPr>
          <w:p w14:paraId="2246A378">
            <w:pPr>
              <w:widowControl/>
              <w:jc w:val="center"/>
              <w:textAlignment w:val="center"/>
              <w:rPr>
                <w:sz w:val="15"/>
                <w:szCs w:val="16"/>
              </w:rPr>
            </w:pPr>
            <w:r>
              <w:rPr>
                <w:rFonts w:hint="eastAsia" w:ascii="宋体" w:hAnsi="宋体"/>
                <w:b/>
                <w:bCs/>
                <w:color w:val="000000"/>
                <w:kern w:val="0"/>
                <w:sz w:val="20"/>
                <w:szCs w:val="20"/>
              </w:rPr>
              <w:t>一些日子</w:t>
            </w:r>
          </w:p>
        </w:tc>
        <w:tc>
          <w:tcPr>
            <w:tcW w:w="1428" w:type="dxa"/>
            <w:vAlign w:val="center"/>
          </w:tcPr>
          <w:p w14:paraId="0AF9FDC0">
            <w:pPr>
              <w:widowControl/>
              <w:jc w:val="center"/>
              <w:textAlignment w:val="center"/>
              <w:rPr>
                <w:rFonts w:hint="eastAsia" w:ascii="宋体" w:hAnsi="宋体"/>
                <w:b/>
                <w:bCs/>
                <w:color w:val="000000"/>
                <w:kern w:val="0"/>
                <w:sz w:val="20"/>
                <w:szCs w:val="20"/>
              </w:rPr>
            </w:pPr>
            <w:r>
              <w:rPr>
                <w:rFonts w:hint="eastAsia" w:ascii="宋体" w:hAnsi="宋体"/>
                <w:b/>
                <w:bCs/>
                <w:color w:val="000000"/>
                <w:kern w:val="0"/>
                <w:sz w:val="20"/>
                <w:szCs w:val="20"/>
              </w:rPr>
              <w:t>超过一半</w:t>
            </w:r>
          </w:p>
          <w:p w14:paraId="33886958">
            <w:pPr>
              <w:widowControl/>
              <w:jc w:val="center"/>
              <w:textAlignment w:val="center"/>
              <w:rPr>
                <w:sz w:val="15"/>
                <w:szCs w:val="16"/>
              </w:rPr>
            </w:pPr>
            <w:r>
              <w:rPr>
                <w:rFonts w:hint="eastAsia" w:ascii="宋体" w:hAnsi="宋体"/>
                <w:b/>
                <w:bCs/>
                <w:color w:val="000000"/>
                <w:kern w:val="0"/>
                <w:sz w:val="20"/>
                <w:szCs w:val="20"/>
              </w:rPr>
              <w:t>的时间</w:t>
            </w:r>
          </w:p>
        </w:tc>
        <w:tc>
          <w:tcPr>
            <w:tcW w:w="1356" w:type="dxa"/>
            <w:vAlign w:val="center"/>
          </w:tcPr>
          <w:p w14:paraId="133E3076">
            <w:pPr>
              <w:widowControl/>
              <w:jc w:val="center"/>
              <w:textAlignment w:val="center"/>
              <w:rPr>
                <w:rFonts w:hint="eastAsia" w:ascii="宋体" w:hAnsi="宋体"/>
                <w:b/>
                <w:bCs/>
                <w:color w:val="000000"/>
                <w:kern w:val="0"/>
                <w:sz w:val="20"/>
                <w:szCs w:val="20"/>
              </w:rPr>
            </w:pPr>
            <w:r>
              <w:rPr>
                <w:rFonts w:hint="eastAsia" w:ascii="宋体" w:hAnsi="宋体"/>
                <w:b/>
                <w:bCs/>
                <w:color w:val="000000"/>
                <w:kern w:val="0"/>
                <w:sz w:val="20"/>
                <w:szCs w:val="20"/>
              </w:rPr>
              <w:t>几乎每</w:t>
            </w:r>
          </w:p>
          <w:p w14:paraId="53D5CA06">
            <w:pPr>
              <w:widowControl/>
              <w:jc w:val="center"/>
              <w:textAlignment w:val="center"/>
              <w:rPr>
                <w:sz w:val="15"/>
                <w:szCs w:val="16"/>
              </w:rPr>
            </w:pPr>
            <w:r>
              <w:rPr>
                <w:rFonts w:hint="eastAsia" w:ascii="宋体" w:hAnsi="宋体"/>
                <w:b/>
                <w:bCs/>
                <w:color w:val="000000"/>
                <w:kern w:val="0"/>
                <w:sz w:val="20"/>
                <w:szCs w:val="20"/>
              </w:rPr>
              <w:t>一天</w:t>
            </w:r>
          </w:p>
        </w:tc>
      </w:tr>
      <w:tr w14:paraId="3797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5C21C21A">
            <w:pPr>
              <w:widowControl/>
              <w:jc w:val="left"/>
              <w:textAlignment w:val="top"/>
              <w:rPr>
                <w:rFonts w:hint="eastAsia" w:ascii="宋体" w:hAnsi="宋体"/>
                <w:color w:val="000000"/>
                <w:kern w:val="0"/>
                <w:sz w:val="20"/>
                <w:szCs w:val="20"/>
              </w:rPr>
            </w:pPr>
          </w:p>
          <w:p w14:paraId="162050D1">
            <w:pPr>
              <w:widowControl/>
              <w:jc w:val="left"/>
              <w:textAlignment w:val="top"/>
              <w:rPr>
                <w:sz w:val="15"/>
                <w:szCs w:val="16"/>
              </w:rPr>
            </w:pPr>
            <w:r>
              <w:rPr>
                <w:rFonts w:hint="eastAsia" w:ascii="宋体" w:hAnsi="宋体"/>
                <w:color w:val="000000"/>
                <w:kern w:val="0"/>
                <w:sz w:val="20"/>
                <w:szCs w:val="20"/>
              </w:rPr>
              <w:t>3.难以入睡或难以保持睡眠状态，或睡眠时间过长</w:t>
            </w:r>
          </w:p>
        </w:tc>
        <w:tc>
          <w:tcPr>
            <w:tcW w:w="1161" w:type="dxa"/>
            <w:vAlign w:val="center"/>
          </w:tcPr>
          <w:p w14:paraId="70C90E95">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6C414DDB">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2054C1C6">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6E9A7C1A">
            <w:pPr>
              <w:widowControl/>
              <w:jc w:val="center"/>
              <w:textAlignment w:val="center"/>
              <w:rPr>
                <w:sz w:val="15"/>
                <w:szCs w:val="16"/>
              </w:rPr>
            </w:pPr>
            <w:r>
              <w:rPr>
                <w:rFonts w:hint="eastAsia" w:ascii="宋体" w:hAnsi="宋体"/>
                <w:color w:val="000000"/>
                <w:kern w:val="0"/>
                <w:sz w:val="20"/>
                <w:szCs w:val="20"/>
              </w:rPr>
              <w:t xml:space="preserve">3 </w:t>
            </w:r>
          </w:p>
        </w:tc>
      </w:tr>
      <w:tr w14:paraId="4308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5B775B1E">
            <w:pPr>
              <w:widowControl/>
              <w:jc w:val="left"/>
              <w:textAlignment w:val="top"/>
              <w:rPr>
                <w:rFonts w:hint="eastAsia" w:ascii="宋体" w:hAnsi="宋体"/>
                <w:color w:val="000000"/>
                <w:kern w:val="0"/>
                <w:sz w:val="20"/>
                <w:szCs w:val="20"/>
              </w:rPr>
            </w:pPr>
          </w:p>
          <w:p w14:paraId="0CEF6891">
            <w:pPr>
              <w:widowControl/>
              <w:jc w:val="left"/>
              <w:textAlignment w:val="top"/>
              <w:rPr>
                <w:sz w:val="15"/>
                <w:szCs w:val="16"/>
              </w:rPr>
            </w:pPr>
            <w:r>
              <w:rPr>
                <w:rFonts w:hint="eastAsia" w:ascii="宋体" w:hAnsi="宋体"/>
                <w:color w:val="000000"/>
                <w:kern w:val="0"/>
                <w:sz w:val="20"/>
                <w:szCs w:val="20"/>
              </w:rPr>
              <w:t>4.感到疲惫或身体没有活力</w:t>
            </w:r>
          </w:p>
        </w:tc>
        <w:tc>
          <w:tcPr>
            <w:tcW w:w="1161" w:type="dxa"/>
            <w:vAlign w:val="center"/>
          </w:tcPr>
          <w:p w14:paraId="578B2DE9">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116D1612">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20F45C86">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598E4C0E">
            <w:pPr>
              <w:widowControl/>
              <w:jc w:val="center"/>
              <w:textAlignment w:val="center"/>
              <w:rPr>
                <w:sz w:val="15"/>
                <w:szCs w:val="16"/>
              </w:rPr>
            </w:pPr>
            <w:r>
              <w:rPr>
                <w:rFonts w:hint="eastAsia" w:ascii="宋体" w:hAnsi="宋体"/>
                <w:color w:val="000000"/>
                <w:kern w:val="0"/>
                <w:sz w:val="20"/>
                <w:szCs w:val="20"/>
              </w:rPr>
              <w:t xml:space="preserve">3 </w:t>
            </w:r>
          </w:p>
        </w:tc>
      </w:tr>
      <w:tr w14:paraId="1225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3E92FB67">
            <w:pPr>
              <w:widowControl/>
              <w:jc w:val="left"/>
              <w:textAlignment w:val="top"/>
              <w:rPr>
                <w:rFonts w:hint="eastAsia" w:ascii="宋体" w:hAnsi="宋体"/>
                <w:color w:val="000000"/>
                <w:kern w:val="0"/>
                <w:sz w:val="20"/>
                <w:szCs w:val="20"/>
              </w:rPr>
            </w:pPr>
          </w:p>
          <w:p w14:paraId="27C37111">
            <w:pPr>
              <w:widowControl/>
              <w:jc w:val="left"/>
              <w:textAlignment w:val="top"/>
              <w:rPr>
                <w:sz w:val="15"/>
                <w:szCs w:val="16"/>
              </w:rPr>
            </w:pPr>
            <w:r>
              <w:rPr>
                <w:rFonts w:hint="eastAsia" w:ascii="宋体" w:hAnsi="宋体"/>
                <w:color w:val="000000"/>
                <w:kern w:val="0"/>
                <w:sz w:val="20"/>
                <w:szCs w:val="20"/>
              </w:rPr>
              <w:t>5.食欲不振或暴饮暴食</w:t>
            </w:r>
          </w:p>
        </w:tc>
        <w:tc>
          <w:tcPr>
            <w:tcW w:w="1161" w:type="dxa"/>
            <w:vAlign w:val="center"/>
          </w:tcPr>
          <w:p w14:paraId="0FD55A11">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06ECFD32">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4CBA116C">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193B4729">
            <w:pPr>
              <w:widowControl/>
              <w:jc w:val="center"/>
              <w:textAlignment w:val="center"/>
              <w:rPr>
                <w:sz w:val="15"/>
                <w:szCs w:val="16"/>
              </w:rPr>
            </w:pPr>
            <w:r>
              <w:rPr>
                <w:rFonts w:hint="eastAsia" w:ascii="宋体" w:hAnsi="宋体"/>
                <w:color w:val="000000"/>
                <w:kern w:val="0"/>
                <w:sz w:val="20"/>
                <w:szCs w:val="20"/>
              </w:rPr>
              <w:t xml:space="preserve">3 </w:t>
            </w:r>
          </w:p>
        </w:tc>
      </w:tr>
      <w:tr w14:paraId="118B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14:paraId="4A2157DD">
            <w:pPr>
              <w:widowControl/>
              <w:jc w:val="left"/>
              <w:textAlignment w:val="center"/>
              <w:rPr>
                <w:rFonts w:hint="eastAsia" w:ascii="宋体" w:hAnsi="宋体"/>
                <w:color w:val="000000"/>
                <w:kern w:val="0"/>
                <w:sz w:val="20"/>
                <w:szCs w:val="20"/>
              </w:rPr>
            </w:pPr>
            <w:r>
              <w:rPr>
                <w:rFonts w:hint="eastAsia" w:ascii="宋体" w:hAnsi="宋体"/>
                <w:color w:val="000000"/>
                <w:kern w:val="0"/>
                <w:sz w:val="20"/>
                <w:szCs w:val="20"/>
              </w:rPr>
              <w:t>6.感到自卑——或觉得自己是个失败者</w:t>
            </w:r>
          </w:p>
          <w:p w14:paraId="7C349033">
            <w:pPr>
              <w:widowControl/>
              <w:jc w:val="left"/>
              <w:textAlignment w:val="center"/>
              <w:rPr>
                <w:sz w:val="15"/>
                <w:szCs w:val="16"/>
              </w:rPr>
            </w:pPr>
            <w:r>
              <w:rPr>
                <w:rFonts w:hint="eastAsia" w:ascii="宋体" w:hAnsi="宋体"/>
                <w:color w:val="000000"/>
                <w:kern w:val="0"/>
                <w:sz w:val="20"/>
                <w:szCs w:val="20"/>
              </w:rPr>
              <w:t>让自己或家人失望</w:t>
            </w:r>
          </w:p>
        </w:tc>
        <w:tc>
          <w:tcPr>
            <w:tcW w:w="1161" w:type="dxa"/>
            <w:vAlign w:val="center"/>
          </w:tcPr>
          <w:p w14:paraId="078CE958">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43E08F57">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18E7C331">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0E37E653">
            <w:pPr>
              <w:widowControl/>
              <w:jc w:val="center"/>
              <w:textAlignment w:val="center"/>
              <w:rPr>
                <w:sz w:val="15"/>
                <w:szCs w:val="16"/>
              </w:rPr>
            </w:pPr>
            <w:r>
              <w:rPr>
                <w:rFonts w:hint="eastAsia" w:ascii="宋体" w:hAnsi="宋体"/>
                <w:color w:val="000000"/>
                <w:kern w:val="0"/>
                <w:sz w:val="20"/>
                <w:szCs w:val="20"/>
              </w:rPr>
              <w:t xml:space="preserve">3 </w:t>
            </w:r>
          </w:p>
        </w:tc>
      </w:tr>
      <w:tr w14:paraId="1B28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14:paraId="3A96F7B7">
            <w:pPr>
              <w:widowControl/>
              <w:jc w:val="left"/>
              <w:textAlignment w:val="center"/>
              <w:rPr>
                <w:sz w:val="15"/>
                <w:szCs w:val="16"/>
              </w:rPr>
            </w:pPr>
            <w:r>
              <w:rPr>
                <w:rFonts w:hint="eastAsia" w:ascii="宋体" w:hAnsi="宋体"/>
                <w:color w:val="000000"/>
                <w:kern w:val="0"/>
                <w:sz w:val="20"/>
                <w:szCs w:val="20"/>
              </w:rPr>
              <w:t>7.无法专心做事，例如看报或看电视</w:t>
            </w:r>
          </w:p>
        </w:tc>
        <w:tc>
          <w:tcPr>
            <w:tcW w:w="1161" w:type="dxa"/>
            <w:vAlign w:val="center"/>
          </w:tcPr>
          <w:p w14:paraId="4CAA09F0">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324C0997">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2A18B1AF">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10655986">
            <w:pPr>
              <w:widowControl/>
              <w:jc w:val="center"/>
              <w:textAlignment w:val="center"/>
              <w:rPr>
                <w:sz w:val="15"/>
                <w:szCs w:val="16"/>
              </w:rPr>
            </w:pPr>
            <w:r>
              <w:rPr>
                <w:rFonts w:hint="eastAsia" w:ascii="宋体" w:hAnsi="宋体"/>
                <w:color w:val="000000"/>
                <w:kern w:val="0"/>
                <w:sz w:val="20"/>
                <w:szCs w:val="20"/>
              </w:rPr>
              <w:t xml:space="preserve">3 </w:t>
            </w:r>
          </w:p>
        </w:tc>
      </w:tr>
      <w:tr w14:paraId="7A37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vAlign w:val="center"/>
          </w:tcPr>
          <w:p w14:paraId="6D637428">
            <w:pPr>
              <w:widowControl/>
              <w:jc w:val="left"/>
              <w:textAlignment w:val="center"/>
              <w:rPr>
                <w:rFonts w:hint="eastAsia" w:ascii="宋体" w:hAnsi="宋体"/>
                <w:color w:val="000000"/>
                <w:kern w:val="0"/>
                <w:sz w:val="20"/>
                <w:szCs w:val="20"/>
              </w:rPr>
            </w:pPr>
            <w:r>
              <w:rPr>
                <w:rFonts w:hint="eastAsia" w:ascii="宋体" w:hAnsi="宋体"/>
                <w:color w:val="000000"/>
                <w:kern w:val="0"/>
                <w:sz w:val="20"/>
                <w:szCs w:val="20"/>
              </w:rPr>
              <w:t>8.身体移动或说话的速度十分缓慢，甚至会引起他人的</w:t>
            </w:r>
          </w:p>
          <w:p w14:paraId="1B6C1B05">
            <w:pPr>
              <w:widowControl/>
              <w:jc w:val="left"/>
              <w:textAlignment w:val="center"/>
              <w:rPr>
                <w:rFonts w:hint="eastAsia" w:ascii="宋体" w:hAnsi="宋体"/>
                <w:color w:val="000000"/>
                <w:kern w:val="0"/>
                <w:sz w:val="20"/>
                <w:szCs w:val="20"/>
              </w:rPr>
            </w:pPr>
            <w:r>
              <w:rPr>
                <w:rFonts w:hint="eastAsia" w:ascii="宋体" w:hAnsi="宋体"/>
                <w:color w:val="000000"/>
                <w:kern w:val="0"/>
                <w:sz w:val="20"/>
                <w:szCs w:val="20"/>
              </w:rPr>
              <w:t xml:space="preserve">  注意。或者完全相反一十分烦躁或完全静不下心，身</w:t>
            </w:r>
          </w:p>
          <w:p w14:paraId="1D55454B">
            <w:pPr>
              <w:widowControl/>
              <w:jc w:val="left"/>
              <w:textAlignment w:val="center"/>
              <w:rPr>
                <w:sz w:val="15"/>
                <w:szCs w:val="16"/>
              </w:rPr>
            </w:pPr>
            <w:r>
              <w:rPr>
                <w:rFonts w:hint="eastAsia" w:ascii="宋体" w:hAnsi="宋体"/>
                <w:color w:val="000000"/>
                <w:kern w:val="0"/>
                <w:sz w:val="20"/>
                <w:szCs w:val="20"/>
              </w:rPr>
              <w:t>体活动的时间远比平时多得多</w:t>
            </w:r>
          </w:p>
        </w:tc>
        <w:tc>
          <w:tcPr>
            <w:tcW w:w="1161" w:type="dxa"/>
            <w:vAlign w:val="center"/>
          </w:tcPr>
          <w:p w14:paraId="6B5003BE">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77AC8462">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305FA740">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60A021A2">
            <w:pPr>
              <w:widowControl/>
              <w:jc w:val="center"/>
              <w:textAlignment w:val="center"/>
              <w:rPr>
                <w:sz w:val="15"/>
                <w:szCs w:val="16"/>
              </w:rPr>
            </w:pPr>
            <w:r>
              <w:rPr>
                <w:rFonts w:hint="eastAsia" w:ascii="宋体" w:hAnsi="宋体"/>
                <w:color w:val="000000"/>
                <w:kern w:val="0"/>
                <w:sz w:val="20"/>
                <w:szCs w:val="20"/>
              </w:rPr>
              <w:t xml:space="preserve">3 </w:t>
            </w:r>
          </w:p>
        </w:tc>
      </w:tr>
      <w:tr w14:paraId="7FF3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5" w:type="dxa"/>
          </w:tcPr>
          <w:p w14:paraId="30CB31D8">
            <w:pPr>
              <w:widowControl/>
              <w:jc w:val="left"/>
              <w:textAlignment w:val="top"/>
              <w:rPr>
                <w:sz w:val="15"/>
                <w:szCs w:val="16"/>
              </w:rPr>
            </w:pPr>
            <w:r>
              <w:rPr>
                <w:rFonts w:hint="eastAsia" w:ascii="宋体" w:hAnsi="宋体"/>
                <w:color w:val="000000"/>
                <w:kern w:val="0"/>
                <w:sz w:val="20"/>
                <w:szCs w:val="20"/>
              </w:rPr>
              <w:t>9.存在自杀或伤害自己的想法</w:t>
            </w:r>
          </w:p>
        </w:tc>
        <w:tc>
          <w:tcPr>
            <w:tcW w:w="1161" w:type="dxa"/>
            <w:vAlign w:val="center"/>
          </w:tcPr>
          <w:p w14:paraId="7E43EF20">
            <w:pPr>
              <w:widowControl/>
              <w:jc w:val="center"/>
              <w:textAlignment w:val="center"/>
              <w:rPr>
                <w:sz w:val="15"/>
                <w:szCs w:val="16"/>
              </w:rPr>
            </w:pPr>
            <w:r>
              <w:rPr>
                <w:rFonts w:hint="eastAsia" w:ascii="宋体" w:hAnsi="宋体"/>
                <w:color w:val="000000"/>
                <w:kern w:val="0"/>
                <w:sz w:val="20"/>
                <w:szCs w:val="20"/>
              </w:rPr>
              <w:t xml:space="preserve">0 </w:t>
            </w:r>
          </w:p>
        </w:tc>
        <w:tc>
          <w:tcPr>
            <w:tcW w:w="1296" w:type="dxa"/>
            <w:vAlign w:val="center"/>
          </w:tcPr>
          <w:p w14:paraId="0F399FA8">
            <w:pPr>
              <w:widowControl/>
              <w:jc w:val="center"/>
              <w:textAlignment w:val="center"/>
              <w:rPr>
                <w:sz w:val="15"/>
                <w:szCs w:val="16"/>
              </w:rPr>
            </w:pPr>
            <w:r>
              <w:rPr>
                <w:rFonts w:hint="eastAsia" w:ascii="宋体" w:hAnsi="宋体"/>
                <w:color w:val="000000"/>
                <w:kern w:val="0"/>
                <w:sz w:val="20"/>
                <w:szCs w:val="20"/>
              </w:rPr>
              <w:t xml:space="preserve">1 </w:t>
            </w:r>
          </w:p>
        </w:tc>
        <w:tc>
          <w:tcPr>
            <w:tcW w:w="1428" w:type="dxa"/>
            <w:vAlign w:val="center"/>
          </w:tcPr>
          <w:p w14:paraId="30AE9B6A">
            <w:pPr>
              <w:widowControl/>
              <w:jc w:val="center"/>
              <w:textAlignment w:val="center"/>
              <w:rPr>
                <w:sz w:val="15"/>
                <w:szCs w:val="16"/>
              </w:rPr>
            </w:pPr>
            <w:r>
              <w:rPr>
                <w:rFonts w:hint="eastAsia" w:ascii="宋体" w:hAnsi="宋体"/>
                <w:color w:val="000000"/>
                <w:kern w:val="0"/>
                <w:sz w:val="20"/>
                <w:szCs w:val="20"/>
              </w:rPr>
              <w:t xml:space="preserve">2 </w:t>
            </w:r>
          </w:p>
        </w:tc>
        <w:tc>
          <w:tcPr>
            <w:tcW w:w="1356" w:type="dxa"/>
            <w:vAlign w:val="center"/>
          </w:tcPr>
          <w:p w14:paraId="358D11DE">
            <w:pPr>
              <w:widowControl/>
              <w:jc w:val="center"/>
              <w:textAlignment w:val="center"/>
              <w:rPr>
                <w:sz w:val="15"/>
                <w:szCs w:val="16"/>
              </w:rPr>
            </w:pPr>
            <w:r>
              <w:rPr>
                <w:rFonts w:hint="eastAsia" w:ascii="宋体" w:hAnsi="宋体"/>
                <w:color w:val="000000"/>
                <w:kern w:val="0"/>
                <w:sz w:val="20"/>
                <w:szCs w:val="20"/>
              </w:rPr>
              <w:t xml:space="preserve">3 </w:t>
            </w:r>
          </w:p>
        </w:tc>
      </w:tr>
      <w:tr w14:paraId="34D6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055" w:type="dxa"/>
          </w:tcPr>
          <w:p w14:paraId="3148273E">
            <w:pPr>
              <w:jc w:val="left"/>
              <w:rPr>
                <w:sz w:val="13"/>
                <w:szCs w:val="13"/>
              </w:rPr>
            </w:pPr>
          </w:p>
        </w:tc>
        <w:tc>
          <w:tcPr>
            <w:tcW w:w="1161" w:type="dxa"/>
            <w:vAlign w:val="center"/>
          </w:tcPr>
          <w:p w14:paraId="38163DFB">
            <w:pPr>
              <w:widowControl/>
              <w:jc w:val="center"/>
              <w:textAlignment w:val="center"/>
              <w:rPr>
                <w:sz w:val="15"/>
                <w:szCs w:val="16"/>
              </w:rPr>
            </w:pPr>
            <w:r>
              <w:rPr>
                <w:rFonts w:hint="eastAsia" w:ascii="宋体" w:hAnsi="宋体"/>
                <w:color w:val="000000"/>
                <w:kern w:val="0"/>
                <w:sz w:val="20"/>
                <w:szCs w:val="20"/>
              </w:rPr>
              <w:t xml:space="preserve">  0 +</w:t>
            </w:r>
          </w:p>
        </w:tc>
        <w:tc>
          <w:tcPr>
            <w:tcW w:w="1296" w:type="dxa"/>
            <w:vAlign w:val="center"/>
          </w:tcPr>
          <w:p w14:paraId="48549276">
            <w:pPr>
              <w:widowControl/>
              <w:jc w:val="center"/>
              <w:textAlignment w:val="center"/>
              <w:rPr>
                <w:sz w:val="15"/>
                <w:szCs w:val="16"/>
              </w:rPr>
            </w:pPr>
            <w:r>
              <w:rPr>
                <w:rFonts w:hint="eastAsia" w:ascii="宋体" w:hAnsi="宋体"/>
                <w:color w:val="000000"/>
                <w:kern w:val="0"/>
                <w:sz w:val="20"/>
                <w:szCs w:val="20"/>
              </w:rPr>
              <w:t>+</w:t>
            </w:r>
          </w:p>
        </w:tc>
        <w:tc>
          <w:tcPr>
            <w:tcW w:w="1428" w:type="dxa"/>
            <w:vAlign w:val="center"/>
          </w:tcPr>
          <w:p w14:paraId="6F838F42">
            <w:pPr>
              <w:widowControl/>
              <w:jc w:val="center"/>
              <w:textAlignment w:val="center"/>
              <w:rPr>
                <w:sz w:val="15"/>
                <w:szCs w:val="16"/>
              </w:rPr>
            </w:pPr>
            <w:r>
              <w:rPr>
                <w:rFonts w:hint="eastAsia" w:ascii="宋体" w:hAnsi="宋体"/>
                <w:color w:val="000000"/>
                <w:kern w:val="0"/>
                <w:sz w:val="20"/>
                <w:szCs w:val="20"/>
              </w:rPr>
              <w:t>+</w:t>
            </w:r>
          </w:p>
        </w:tc>
        <w:tc>
          <w:tcPr>
            <w:tcW w:w="1356" w:type="dxa"/>
            <w:vAlign w:val="center"/>
          </w:tcPr>
          <w:p w14:paraId="251BC160">
            <w:pPr>
              <w:jc w:val="center"/>
              <w:rPr>
                <w:sz w:val="13"/>
                <w:szCs w:val="13"/>
              </w:rPr>
            </w:pPr>
          </w:p>
        </w:tc>
      </w:tr>
    </w:tbl>
    <w:p w14:paraId="638808F1">
      <w:pPr>
        <w:jc w:val="center"/>
      </w:pPr>
      <w:r>
        <w:t>PHQ-9症状程度，0–4无或极轻微；5–9轻度；10–14中度；15–19</w:t>
      </w:r>
      <w:r>
        <w:tab/>
      </w:r>
      <w:r>
        <w:t>中重度；20–27重度</w:t>
      </w:r>
    </w:p>
    <w:p w14:paraId="42280A8E">
      <w:pPr>
        <w:jc w:val="center"/>
      </w:pPr>
    </w:p>
    <w:p w14:paraId="12FF347F">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4《广泛焦虑问卷7项（GAD-7）》自评量表</w:t>
      </w:r>
    </w:p>
    <w:p w14:paraId="638DACDF"/>
    <w:tbl>
      <w:tblPr>
        <w:tblStyle w:val="16"/>
        <w:tblW w:w="8350" w:type="dxa"/>
        <w:tblInd w:w="98" w:type="dxa"/>
        <w:tblLayout w:type="autofit"/>
        <w:tblCellMar>
          <w:top w:w="0" w:type="dxa"/>
          <w:left w:w="108" w:type="dxa"/>
          <w:bottom w:w="0" w:type="dxa"/>
          <w:right w:w="108" w:type="dxa"/>
        </w:tblCellMar>
      </w:tblPr>
      <w:tblGrid>
        <w:gridCol w:w="4077"/>
        <w:gridCol w:w="871"/>
        <w:gridCol w:w="867"/>
        <w:gridCol w:w="2535"/>
      </w:tblGrid>
      <w:tr w14:paraId="1ECE758F">
        <w:tblPrEx>
          <w:tblCellMar>
            <w:top w:w="0" w:type="dxa"/>
            <w:left w:w="108" w:type="dxa"/>
            <w:bottom w:w="0" w:type="dxa"/>
            <w:right w:w="108" w:type="dxa"/>
          </w:tblCellMar>
        </w:tblPrEx>
        <w:trPr>
          <w:trHeight w:val="312" w:hRule="atLeast"/>
        </w:trPr>
        <w:tc>
          <w:tcPr>
            <w:tcW w:w="8350" w:type="dxa"/>
            <w:gridSpan w:val="4"/>
            <w:vMerge w:val="restart"/>
            <w:tcBorders>
              <w:top w:val="single" w:color="000000" w:sz="4" w:space="0"/>
              <w:left w:val="single" w:color="000000" w:sz="4" w:space="0"/>
              <w:bottom w:val="nil"/>
              <w:right w:val="single" w:color="000000" w:sz="4" w:space="0"/>
            </w:tcBorders>
            <w:vAlign w:val="center"/>
          </w:tcPr>
          <w:p w14:paraId="4D2DE4D1">
            <w:pPr>
              <w:jc w:val="center"/>
            </w:pPr>
            <w:r>
              <w:rPr>
                <w:rFonts w:hint="eastAsia"/>
              </w:rPr>
              <w:t xml:space="preserve">     根据过去两周的状况，请您回答是否存在下列描述的状况及频率，请看清楚问题后在</w:t>
            </w:r>
          </w:p>
          <w:p w14:paraId="74AFFECA">
            <w:pPr>
              <w:jc w:val="center"/>
            </w:pPr>
            <w:r>
              <w:rPr>
                <w:rFonts w:hint="eastAsia"/>
              </w:rPr>
              <w:t>符合您的选项前的数字上面画 √</w:t>
            </w:r>
          </w:p>
        </w:tc>
      </w:tr>
      <w:tr w14:paraId="711D27A9">
        <w:tblPrEx>
          <w:tblCellMar>
            <w:top w:w="0" w:type="dxa"/>
            <w:left w:w="108" w:type="dxa"/>
            <w:bottom w:w="0" w:type="dxa"/>
            <w:right w:w="108" w:type="dxa"/>
          </w:tblCellMar>
        </w:tblPrEx>
        <w:trPr>
          <w:trHeight w:val="653" w:hRule="atLeast"/>
        </w:trPr>
        <w:tc>
          <w:tcPr>
            <w:tcW w:w="8350" w:type="dxa"/>
            <w:gridSpan w:val="4"/>
            <w:vMerge w:val="continue"/>
            <w:tcBorders>
              <w:top w:val="single" w:color="000000" w:sz="4" w:space="0"/>
              <w:left w:val="single" w:color="000000" w:sz="4" w:space="0"/>
              <w:bottom w:val="nil"/>
              <w:right w:val="single" w:color="000000" w:sz="4" w:space="0"/>
            </w:tcBorders>
            <w:vAlign w:val="center"/>
          </w:tcPr>
          <w:p w14:paraId="7180B142">
            <w:pPr>
              <w:jc w:val="center"/>
            </w:pPr>
          </w:p>
        </w:tc>
      </w:tr>
      <w:tr w14:paraId="1B35F900">
        <w:tblPrEx>
          <w:tblCellMar>
            <w:top w:w="0" w:type="dxa"/>
            <w:left w:w="108" w:type="dxa"/>
            <w:bottom w:w="0" w:type="dxa"/>
            <w:right w:w="108" w:type="dxa"/>
          </w:tblCellMar>
        </w:tblPrEx>
        <w:trPr>
          <w:trHeight w:val="580" w:hRule="atLeast"/>
        </w:trPr>
        <w:tc>
          <w:tcPr>
            <w:tcW w:w="4948" w:type="dxa"/>
            <w:gridSpan w:val="2"/>
            <w:tcBorders>
              <w:top w:val="nil"/>
              <w:left w:val="single" w:color="000000" w:sz="4" w:space="0"/>
              <w:bottom w:val="nil"/>
              <w:right w:val="nil"/>
            </w:tcBorders>
            <w:vAlign w:val="center"/>
          </w:tcPr>
          <w:p w14:paraId="068773D0">
            <w:pPr>
              <w:jc w:val="center"/>
            </w:pPr>
            <w:r>
              <w:rPr>
                <w:rFonts w:hint="eastAsia"/>
              </w:rPr>
              <w:t>完全不会</w:t>
            </w:r>
          </w:p>
        </w:tc>
        <w:tc>
          <w:tcPr>
            <w:tcW w:w="867" w:type="dxa"/>
            <w:vMerge w:val="restart"/>
            <w:tcBorders>
              <w:top w:val="nil"/>
              <w:left w:val="nil"/>
              <w:bottom w:val="single" w:color="000000" w:sz="4" w:space="0"/>
              <w:right w:val="nil"/>
            </w:tcBorders>
          </w:tcPr>
          <w:p w14:paraId="157297F4">
            <w:pPr>
              <w:jc w:val="center"/>
            </w:pPr>
          </w:p>
          <w:p w14:paraId="683C379E">
            <w:pPr>
              <w:jc w:val="center"/>
            </w:pPr>
            <w:r>
              <w:rPr>
                <w:rFonts w:hint="eastAsia"/>
              </w:rPr>
              <w:t>好几天</w:t>
            </w:r>
          </w:p>
          <w:p w14:paraId="692E8947">
            <w:pPr>
              <w:jc w:val="center"/>
            </w:pPr>
          </w:p>
          <w:p w14:paraId="395563AD">
            <w:pPr>
              <w:jc w:val="center"/>
            </w:pPr>
            <w:r>
              <w:rPr>
                <w:rFonts w:hint="eastAsia"/>
              </w:rPr>
              <w:t xml:space="preserve">   1</w:t>
            </w:r>
          </w:p>
          <w:p w14:paraId="1BDDB97E">
            <w:pPr>
              <w:jc w:val="center"/>
            </w:pPr>
          </w:p>
          <w:p w14:paraId="2421E1DB">
            <w:pPr>
              <w:jc w:val="center"/>
            </w:pPr>
            <w:r>
              <w:rPr>
                <w:rFonts w:hint="eastAsia"/>
              </w:rPr>
              <w:t xml:space="preserve">   1</w:t>
            </w:r>
          </w:p>
          <w:p w14:paraId="42E2422F">
            <w:pPr>
              <w:jc w:val="center"/>
            </w:pPr>
          </w:p>
          <w:p w14:paraId="7D11E4AE">
            <w:pPr>
              <w:jc w:val="center"/>
            </w:pPr>
            <w:r>
              <w:rPr>
                <w:rFonts w:hint="eastAsia"/>
              </w:rPr>
              <w:t xml:space="preserve">   1</w:t>
            </w:r>
          </w:p>
          <w:p w14:paraId="327EDEB9">
            <w:pPr>
              <w:jc w:val="center"/>
            </w:pPr>
          </w:p>
          <w:p w14:paraId="48332E42">
            <w:pPr>
              <w:jc w:val="center"/>
            </w:pPr>
            <w:r>
              <w:rPr>
                <w:rFonts w:hint="eastAsia"/>
              </w:rPr>
              <w:t xml:space="preserve">   1</w:t>
            </w:r>
          </w:p>
          <w:p w14:paraId="6E8265A7">
            <w:pPr>
              <w:jc w:val="center"/>
            </w:pPr>
          </w:p>
          <w:p w14:paraId="1B82A30B">
            <w:pPr>
              <w:jc w:val="center"/>
            </w:pPr>
            <w:r>
              <w:rPr>
                <w:rFonts w:hint="eastAsia"/>
              </w:rPr>
              <w:t xml:space="preserve">   1</w:t>
            </w:r>
          </w:p>
          <w:p w14:paraId="7DB59BB5">
            <w:pPr>
              <w:jc w:val="center"/>
            </w:pPr>
          </w:p>
          <w:p w14:paraId="3B23703B">
            <w:pPr>
              <w:jc w:val="center"/>
            </w:pPr>
            <w:r>
              <w:rPr>
                <w:rFonts w:hint="eastAsia"/>
              </w:rPr>
              <w:t xml:space="preserve">   1</w:t>
            </w:r>
          </w:p>
          <w:p w14:paraId="59955C7A">
            <w:pPr>
              <w:jc w:val="center"/>
            </w:pPr>
          </w:p>
          <w:p w14:paraId="52099461">
            <w:pPr>
              <w:jc w:val="center"/>
            </w:pPr>
            <w:r>
              <w:rPr>
                <w:rFonts w:hint="eastAsia"/>
              </w:rPr>
              <w:t xml:space="preserve">   1</w:t>
            </w:r>
          </w:p>
        </w:tc>
        <w:tc>
          <w:tcPr>
            <w:tcW w:w="2535" w:type="dxa"/>
            <w:vMerge w:val="restart"/>
            <w:tcBorders>
              <w:top w:val="nil"/>
              <w:left w:val="nil"/>
              <w:bottom w:val="single" w:color="000000" w:sz="4" w:space="0"/>
              <w:right w:val="single" w:color="000000" w:sz="4" w:space="0"/>
            </w:tcBorders>
          </w:tcPr>
          <w:p w14:paraId="548E21D5">
            <w:pPr>
              <w:jc w:val="center"/>
            </w:pPr>
          </w:p>
          <w:p w14:paraId="6BB4C4FD">
            <w:pPr>
              <w:jc w:val="center"/>
            </w:pPr>
            <w:r>
              <w:rPr>
                <w:rFonts w:hint="eastAsia"/>
              </w:rPr>
              <w:t>超过一周  几乎每天</w:t>
            </w:r>
          </w:p>
          <w:p w14:paraId="10F60B3C">
            <w:pPr>
              <w:jc w:val="center"/>
            </w:pPr>
          </w:p>
          <w:p w14:paraId="4A19B0DF">
            <w:pPr>
              <w:jc w:val="center"/>
            </w:pPr>
            <w:r>
              <w:rPr>
                <w:rFonts w:hint="eastAsia"/>
              </w:rPr>
              <w:t xml:space="preserve">    2         3</w:t>
            </w:r>
          </w:p>
          <w:p w14:paraId="56A33E11">
            <w:pPr>
              <w:jc w:val="center"/>
            </w:pPr>
          </w:p>
          <w:p w14:paraId="4F90F0F6">
            <w:pPr>
              <w:jc w:val="center"/>
            </w:pPr>
            <w:r>
              <w:rPr>
                <w:rFonts w:hint="eastAsia"/>
              </w:rPr>
              <w:t xml:space="preserve">     2         3</w:t>
            </w:r>
          </w:p>
          <w:p w14:paraId="0678DE98">
            <w:pPr>
              <w:jc w:val="center"/>
            </w:pPr>
          </w:p>
          <w:p w14:paraId="66001CCC">
            <w:pPr>
              <w:jc w:val="center"/>
            </w:pPr>
            <w:r>
              <w:rPr>
                <w:rFonts w:hint="eastAsia"/>
              </w:rPr>
              <w:t xml:space="preserve">     2         3</w:t>
            </w:r>
          </w:p>
          <w:p w14:paraId="2D5DA510">
            <w:pPr>
              <w:jc w:val="center"/>
            </w:pPr>
          </w:p>
          <w:p w14:paraId="7C922050">
            <w:pPr>
              <w:jc w:val="center"/>
            </w:pPr>
            <w:r>
              <w:rPr>
                <w:rFonts w:hint="eastAsia"/>
              </w:rPr>
              <w:t xml:space="preserve">     2         3</w:t>
            </w:r>
          </w:p>
          <w:p w14:paraId="0CEEA489">
            <w:pPr>
              <w:jc w:val="center"/>
            </w:pPr>
          </w:p>
          <w:p w14:paraId="3A2ADED5">
            <w:pPr>
              <w:jc w:val="center"/>
            </w:pPr>
            <w:r>
              <w:rPr>
                <w:rFonts w:hint="eastAsia"/>
              </w:rPr>
              <w:t xml:space="preserve">    2         3</w:t>
            </w:r>
          </w:p>
          <w:p w14:paraId="19B35AA9">
            <w:pPr>
              <w:jc w:val="center"/>
            </w:pPr>
          </w:p>
          <w:p w14:paraId="10A9D19A">
            <w:pPr>
              <w:jc w:val="center"/>
            </w:pPr>
            <w:r>
              <w:rPr>
                <w:rFonts w:hint="eastAsia"/>
              </w:rPr>
              <w:t xml:space="preserve">    2         3</w:t>
            </w:r>
          </w:p>
          <w:p w14:paraId="5DDAAA01">
            <w:pPr>
              <w:jc w:val="center"/>
            </w:pPr>
          </w:p>
          <w:p w14:paraId="28B8D6E2">
            <w:pPr>
              <w:jc w:val="center"/>
            </w:pPr>
            <w:r>
              <w:rPr>
                <w:rFonts w:hint="eastAsia"/>
              </w:rPr>
              <w:t xml:space="preserve">    2         3</w:t>
            </w:r>
          </w:p>
          <w:p w14:paraId="561872DE">
            <w:pPr>
              <w:jc w:val="center"/>
            </w:pPr>
          </w:p>
          <w:p w14:paraId="02FB9587">
            <w:pPr>
              <w:jc w:val="center"/>
            </w:pPr>
          </w:p>
          <w:p w14:paraId="08A41E95">
            <w:pPr>
              <w:jc w:val="center"/>
            </w:pPr>
            <w:r>
              <w:rPr>
                <w:rFonts w:hint="eastAsia"/>
              </w:rPr>
              <w:t xml:space="preserve">_+      +     +     </w:t>
            </w:r>
          </w:p>
        </w:tc>
      </w:tr>
      <w:tr w14:paraId="69656FF8">
        <w:tblPrEx>
          <w:tblCellMar>
            <w:top w:w="0" w:type="dxa"/>
            <w:left w:w="108" w:type="dxa"/>
            <w:bottom w:w="0" w:type="dxa"/>
            <w:right w:w="108" w:type="dxa"/>
          </w:tblCellMar>
        </w:tblPrEx>
        <w:trPr>
          <w:trHeight w:val="4082" w:hRule="atLeast"/>
        </w:trPr>
        <w:tc>
          <w:tcPr>
            <w:tcW w:w="4077" w:type="dxa"/>
            <w:tcBorders>
              <w:top w:val="nil"/>
              <w:left w:val="single" w:color="000000" w:sz="4" w:space="0"/>
              <w:bottom w:val="nil"/>
              <w:right w:val="nil"/>
            </w:tcBorders>
            <w:vAlign w:val="center"/>
          </w:tcPr>
          <w:p w14:paraId="009E2852">
            <w:pPr>
              <w:jc w:val="center"/>
            </w:pPr>
            <w:r>
              <w:t>1.</w:t>
            </w:r>
            <w:r>
              <w:rPr>
                <w:rFonts w:hint="eastAsia"/>
              </w:rPr>
              <w:t>感觉紧张，焦虑或急切</w:t>
            </w:r>
          </w:p>
          <w:p w14:paraId="4E7D8647">
            <w:pPr>
              <w:jc w:val="center"/>
            </w:pPr>
          </w:p>
          <w:p w14:paraId="409521A1">
            <w:pPr>
              <w:jc w:val="center"/>
            </w:pPr>
            <w:r>
              <w:t>2.</w:t>
            </w:r>
            <w:r>
              <w:rPr>
                <w:rFonts w:hint="eastAsia"/>
              </w:rPr>
              <w:t>不能够停止或控制担忧</w:t>
            </w:r>
          </w:p>
          <w:p w14:paraId="3438044A">
            <w:pPr>
              <w:jc w:val="center"/>
            </w:pPr>
          </w:p>
          <w:p w14:paraId="64096CD0">
            <w:pPr>
              <w:jc w:val="center"/>
            </w:pPr>
            <w:r>
              <w:t>3.</w:t>
            </w:r>
            <w:r>
              <w:rPr>
                <w:rFonts w:hint="eastAsia"/>
              </w:rPr>
              <w:t>对各种各样的事情担忧过多</w:t>
            </w:r>
          </w:p>
          <w:p w14:paraId="58A050E9">
            <w:pPr>
              <w:jc w:val="center"/>
            </w:pPr>
          </w:p>
          <w:p w14:paraId="194CE352">
            <w:pPr>
              <w:jc w:val="center"/>
            </w:pPr>
            <w:r>
              <w:t>4.</w:t>
            </w:r>
            <w:r>
              <w:rPr>
                <w:rFonts w:hint="eastAsia"/>
              </w:rPr>
              <w:t>很难放松下来</w:t>
            </w:r>
          </w:p>
          <w:p w14:paraId="35B9911D">
            <w:pPr>
              <w:jc w:val="center"/>
            </w:pPr>
          </w:p>
          <w:p w14:paraId="2B00D496">
            <w:pPr>
              <w:jc w:val="center"/>
            </w:pPr>
            <w:r>
              <w:t>5.</w:t>
            </w:r>
            <w:r>
              <w:rPr>
                <w:rFonts w:hint="eastAsia"/>
              </w:rPr>
              <w:t>由于不安而无法静坐</w:t>
            </w:r>
          </w:p>
          <w:p w14:paraId="59E84A2B">
            <w:pPr>
              <w:jc w:val="center"/>
            </w:pPr>
          </w:p>
          <w:p w14:paraId="3F723EFE">
            <w:pPr>
              <w:jc w:val="center"/>
            </w:pPr>
            <w:r>
              <w:t>6.</w:t>
            </w:r>
            <w:r>
              <w:rPr>
                <w:rFonts w:hint="eastAsia"/>
              </w:rPr>
              <w:t>变得容易烦恼或急躁</w:t>
            </w:r>
          </w:p>
          <w:p w14:paraId="1CE77B47">
            <w:pPr>
              <w:jc w:val="center"/>
            </w:pPr>
          </w:p>
          <w:p w14:paraId="777126EF">
            <w:pPr>
              <w:jc w:val="center"/>
            </w:pPr>
            <w:r>
              <w:t>7.</w:t>
            </w:r>
            <w:r>
              <w:rPr>
                <w:rFonts w:hint="eastAsia"/>
              </w:rPr>
              <w:t>感到似乎将有可怕的事情发生而害怕</w:t>
            </w:r>
          </w:p>
        </w:tc>
        <w:tc>
          <w:tcPr>
            <w:tcW w:w="871" w:type="dxa"/>
            <w:tcBorders>
              <w:top w:val="nil"/>
              <w:left w:val="nil"/>
              <w:bottom w:val="nil"/>
              <w:right w:val="nil"/>
            </w:tcBorders>
            <w:vAlign w:val="center"/>
          </w:tcPr>
          <w:p w14:paraId="4AEF9E5A">
            <w:pPr>
              <w:jc w:val="center"/>
            </w:pPr>
            <w:r>
              <w:rPr>
                <w:rFonts w:hint="eastAsia"/>
              </w:rPr>
              <w:t>0</w:t>
            </w:r>
          </w:p>
          <w:p w14:paraId="659AC287">
            <w:pPr>
              <w:jc w:val="center"/>
            </w:pPr>
          </w:p>
          <w:p w14:paraId="7D259B18">
            <w:pPr>
              <w:jc w:val="center"/>
            </w:pPr>
            <w:r>
              <w:rPr>
                <w:rFonts w:hint="eastAsia"/>
              </w:rPr>
              <w:t>0</w:t>
            </w:r>
          </w:p>
          <w:p w14:paraId="26BBD0B2">
            <w:pPr>
              <w:jc w:val="center"/>
            </w:pPr>
          </w:p>
          <w:p w14:paraId="0E420293">
            <w:pPr>
              <w:jc w:val="center"/>
            </w:pPr>
            <w:r>
              <w:rPr>
                <w:rFonts w:hint="eastAsia"/>
              </w:rPr>
              <w:t>0</w:t>
            </w:r>
          </w:p>
          <w:p w14:paraId="156986F0">
            <w:pPr>
              <w:jc w:val="center"/>
            </w:pPr>
          </w:p>
          <w:p w14:paraId="0C6A6E3F">
            <w:pPr>
              <w:jc w:val="center"/>
            </w:pPr>
            <w:r>
              <w:rPr>
                <w:rFonts w:hint="eastAsia"/>
              </w:rPr>
              <w:t>0</w:t>
            </w:r>
          </w:p>
          <w:p w14:paraId="6A141E2E">
            <w:pPr>
              <w:jc w:val="center"/>
            </w:pPr>
          </w:p>
          <w:p w14:paraId="20D6CCDD">
            <w:pPr>
              <w:jc w:val="center"/>
            </w:pPr>
            <w:r>
              <w:rPr>
                <w:rFonts w:hint="eastAsia"/>
              </w:rPr>
              <w:t>0</w:t>
            </w:r>
          </w:p>
          <w:p w14:paraId="6B7E0151">
            <w:pPr>
              <w:jc w:val="center"/>
            </w:pPr>
          </w:p>
          <w:p w14:paraId="5C0561C2">
            <w:pPr>
              <w:jc w:val="center"/>
            </w:pPr>
            <w:r>
              <w:rPr>
                <w:rFonts w:hint="eastAsia"/>
              </w:rPr>
              <w:t>0</w:t>
            </w:r>
          </w:p>
          <w:p w14:paraId="55842784">
            <w:pPr>
              <w:jc w:val="center"/>
            </w:pPr>
          </w:p>
          <w:p w14:paraId="49ECDD33">
            <w:pPr>
              <w:jc w:val="center"/>
            </w:pPr>
            <w:r>
              <w:rPr>
                <w:rFonts w:hint="eastAsia"/>
              </w:rPr>
              <w:t>0</w:t>
            </w:r>
          </w:p>
        </w:tc>
        <w:tc>
          <w:tcPr>
            <w:tcW w:w="867" w:type="dxa"/>
            <w:vMerge w:val="continue"/>
            <w:tcBorders>
              <w:top w:val="nil"/>
              <w:left w:val="nil"/>
              <w:bottom w:val="single" w:color="000000" w:sz="4" w:space="0"/>
              <w:right w:val="nil"/>
            </w:tcBorders>
          </w:tcPr>
          <w:p w14:paraId="1EEEDD19">
            <w:pPr>
              <w:jc w:val="center"/>
            </w:pPr>
          </w:p>
        </w:tc>
        <w:tc>
          <w:tcPr>
            <w:tcW w:w="2535" w:type="dxa"/>
            <w:vMerge w:val="continue"/>
            <w:tcBorders>
              <w:top w:val="nil"/>
              <w:left w:val="nil"/>
              <w:bottom w:val="single" w:color="000000" w:sz="4" w:space="0"/>
              <w:right w:val="single" w:color="000000" w:sz="4" w:space="0"/>
            </w:tcBorders>
          </w:tcPr>
          <w:p w14:paraId="4CA4CD51">
            <w:pPr>
              <w:jc w:val="center"/>
            </w:pPr>
          </w:p>
        </w:tc>
      </w:tr>
      <w:tr w14:paraId="1C7B6D17">
        <w:tblPrEx>
          <w:tblCellMar>
            <w:top w:w="0" w:type="dxa"/>
            <w:left w:w="108" w:type="dxa"/>
            <w:bottom w:w="0" w:type="dxa"/>
            <w:right w:w="108" w:type="dxa"/>
          </w:tblCellMar>
        </w:tblPrEx>
        <w:trPr>
          <w:trHeight w:val="696" w:hRule="atLeast"/>
        </w:trPr>
        <w:tc>
          <w:tcPr>
            <w:tcW w:w="4948" w:type="dxa"/>
            <w:gridSpan w:val="2"/>
            <w:tcBorders>
              <w:top w:val="nil"/>
              <w:left w:val="single" w:color="000000" w:sz="4" w:space="0"/>
              <w:bottom w:val="single" w:color="000000" w:sz="4" w:space="0"/>
              <w:right w:val="nil"/>
            </w:tcBorders>
            <w:vAlign w:val="center"/>
          </w:tcPr>
          <w:p w14:paraId="73856B3C">
            <w:pPr>
              <w:jc w:val="center"/>
            </w:pPr>
            <w:r>
              <w:rPr>
                <w:rFonts w:hint="eastAsia"/>
              </w:rPr>
              <w:t xml:space="preserve">总 分 = </w:t>
            </w:r>
          </w:p>
        </w:tc>
        <w:tc>
          <w:tcPr>
            <w:tcW w:w="867" w:type="dxa"/>
            <w:vMerge w:val="continue"/>
            <w:tcBorders>
              <w:top w:val="nil"/>
              <w:left w:val="nil"/>
              <w:bottom w:val="single" w:color="000000" w:sz="4" w:space="0"/>
              <w:right w:val="nil"/>
            </w:tcBorders>
          </w:tcPr>
          <w:p w14:paraId="606FDD72">
            <w:pPr>
              <w:jc w:val="center"/>
            </w:pPr>
          </w:p>
        </w:tc>
        <w:tc>
          <w:tcPr>
            <w:tcW w:w="2535" w:type="dxa"/>
            <w:vMerge w:val="continue"/>
            <w:tcBorders>
              <w:top w:val="nil"/>
              <w:left w:val="nil"/>
              <w:bottom w:val="single" w:color="000000" w:sz="4" w:space="0"/>
              <w:right w:val="single" w:color="000000" w:sz="4" w:space="0"/>
            </w:tcBorders>
          </w:tcPr>
          <w:p w14:paraId="3E8F59F9">
            <w:pPr>
              <w:jc w:val="center"/>
            </w:pPr>
          </w:p>
        </w:tc>
      </w:tr>
    </w:tbl>
    <w:p w14:paraId="4614D7B5">
      <w:pPr>
        <w:jc w:val="center"/>
      </w:pPr>
      <w:r>
        <w:t>GAD-7症状程度，0–4无或极轻微；5–9轻度；10–14中度；15–21</w:t>
      </w:r>
      <w:r>
        <w:tab/>
      </w:r>
      <w:r>
        <w:t>重度。</w:t>
      </w:r>
    </w:p>
    <w:p w14:paraId="28A4181E">
      <w:pPr>
        <w:jc w:val="center"/>
      </w:pPr>
    </w:p>
    <w:p w14:paraId="3A3DF6D0">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5 匹兹堡睡眠质量评定量表（PSQI）</w:t>
      </w:r>
    </w:p>
    <w:p w14:paraId="76326113">
      <w:pPr>
        <w:rPr>
          <w:rFonts w:cs="Times New Roman"/>
          <w:b/>
          <w:sz w:val="22"/>
        </w:rPr>
      </w:pPr>
    </w:p>
    <w:tbl>
      <w:tblPr>
        <w:tblStyle w:val="16"/>
        <w:tblW w:w="10082" w:type="dxa"/>
        <w:jc w:val="center"/>
        <w:tblLayout w:type="autofit"/>
        <w:tblCellMar>
          <w:top w:w="0" w:type="dxa"/>
          <w:left w:w="108" w:type="dxa"/>
          <w:bottom w:w="0" w:type="dxa"/>
          <w:right w:w="108" w:type="dxa"/>
        </w:tblCellMar>
      </w:tblPr>
      <w:tblGrid>
        <w:gridCol w:w="528"/>
        <w:gridCol w:w="2064"/>
        <w:gridCol w:w="7490"/>
      </w:tblGrid>
      <w:tr w14:paraId="4EA23C3D">
        <w:tblPrEx>
          <w:tblCellMar>
            <w:top w:w="0" w:type="dxa"/>
            <w:left w:w="108" w:type="dxa"/>
            <w:bottom w:w="0" w:type="dxa"/>
            <w:right w:w="108" w:type="dxa"/>
          </w:tblCellMar>
        </w:tblPrEx>
        <w:trPr>
          <w:trHeight w:val="670"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14:paraId="05C31C1A">
            <w:pPr>
              <w:jc w:val="center"/>
              <w:rPr>
                <w:rFonts w:cs="Times New Roman"/>
                <w:bCs/>
                <w:szCs w:val="21"/>
              </w:rPr>
            </w:pPr>
            <w:r>
              <w:rPr>
                <w:rFonts w:cs="Times New Roman"/>
                <w:bCs/>
                <w:szCs w:val="21"/>
              </w:rPr>
              <w:t>条 目</w:t>
            </w:r>
          </w:p>
        </w:tc>
        <w:tc>
          <w:tcPr>
            <w:tcW w:w="2064" w:type="dxa"/>
            <w:vMerge w:val="restart"/>
            <w:tcBorders>
              <w:top w:val="single" w:color="000000" w:sz="4" w:space="0"/>
              <w:left w:val="single" w:color="000000" w:sz="4" w:space="0"/>
              <w:bottom w:val="single" w:color="000000" w:sz="4" w:space="0"/>
              <w:right w:val="single" w:color="000000" w:sz="4" w:space="0"/>
            </w:tcBorders>
            <w:vAlign w:val="center"/>
          </w:tcPr>
          <w:p w14:paraId="2919D136">
            <w:pPr>
              <w:rPr>
                <w:rFonts w:cs="Times New Roman"/>
                <w:bCs/>
                <w:szCs w:val="21"/>
              </w:rPr>
            </w:pPr>
            <w:r>
              <w:rPr>
                <w:rFonts w:cs="Times New Roman"/>
                <w:bCs/>
                <w:szCs w:val="21"/>
              </w:rPr>
              <w:t>项 目</w:t>
            </w:r>
          </w:p>
        </w:tc>
        <w:tc>
          <w:tcPr>
            <w:tcW w:w="7490" w:type="dxa"/>
            <w:tcBorders>
              <w:top w:val="single" w:color="000000" w:sz="4" w:space="0"/>
              <w:left w:val="single" w:color="000000" w:sz="4" w:space="0"/>
              <w:bottom w:val="single" w:color="000000" w:sz="4" w:space="0"/>
              <w:right w:val="single" w:color="000000" w:sz="4" w:space="0"/>
            </w:tcBorders>
            <w:vAlign w:val="center"/>
          </w:tcPr>
          <w:p w14:paraId="5E7BCE32">
            <w:pPr>
              <w:rPr>
                <w:rFonts w:cs="Times New Roman"/>
                <w:bCs/>
                <w:szCs w:val="21"/>
              </w:rPr>
            </w:pPr>
            <w:r>
              <w:rPr>
                <w:rFonts w:cs="Times New Roman"/>
                <w:bCs/>
                <w:szCs w:val="21"/>
              </w:rPr>
              <w:t>评分</w:t>
            </w:r>
          </w:p>
        </w:tc>
      </w:tr>
      <w:tr w14:paraId="573E1CC6">
        <w:tblPrEx>
          <w:tblCellMar>
            <w:top w:w="0" w:type="dxa"/>
            <w:left w:w="108" w:type="dxa"/>
            <w:bottom w:w="0" w:type="dxa"/>
            <w:right w:w="108" w:type="dxa"/>
          </w:tblCellMar>
        </w:tblPrEx>
        <w:trPr>
          <w:trHeight w:val="633"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40EDD577">
            <w:pPr>
              <w:rPr>
                <w:rFonts w:cs="Times New Roman"/>
                <w:bCs/>
                <w:szCs w:val="21"/>
              </w:rPr>
            </w:pPr>
          </w:p>
        </w:tc>
        <w:tc>
          <w:tcPr>
            <w:tcW w:w="2064" w:type="dxa"/>
            <w:vMerge w:val="continue"/>
            <w:tcBorders>
              <w:top w:val="single" w:color="000000" w:sz="4" w:space="0"/>
              <w:left w:val="single" w:color="000000" w:sz="4" w:space="0"/>
              <w:bottom w:val="single" w:color="000000" w:sz="4" w:space="0"/>
              <w:right w:val="single" w:color="000000" w:sz="4" w:space="0"/>
            </w:tcBorders>
            <w:vAlign w:val="center"/>
          </w:tcPr>
          <w:p w14:paraId="7F22FFE2">
            <w:pPr>
              <w:rPr>
                <w:rFonts w:cs="Times New Roman"/>
                <w:bCs/>
                <w:szCs w:val="21"/>
              </w:rPr>
            </w:pPr>
          </w:p>
        </w:tc>
        <w:tc>
          <w:tcPr>
            <w:tcW w:w="7490" w:type="dxa"/>
            <w:tcBorders>
              <w:top w:val="single" w:color="000000" w:sz="4" w:space="0"/>
              <w:left w:val="single" w:color="000000" w:sz="4" w:space="0"/>
              <w:bottom w:val="single" w:color="000000" w:sz="4" w:space="0"/>
              <w:right w:val="single" w:color="000000" w:sz="4" w:space="0"/>
            </w:tcBorders>
          </w:tcPr>
          <w:p w14:paraId="7CBF7024">
            <w:pPr>
              <w:rPr>
                <w:rFonts w:cs="Times New Roman"/>
                <w:bCs/>
                <w:szCs w:val="21"/>
              </w:rPr>
            </w:pPr>
            <w:r>
              <w:rPr>
                <w:rFonts w:cs="Times New Roman"/>
                <w:bCs/>
                <w:szCs w:val="21"/>
              </w:rPr>
              <w:t>0分                 1分                2分                 3分</w:t>
            </w:r>
          </w:p>
        </w:tc>
      </w:tr>
      <w:tr w14:paraId="2D71A42D">
        <w:tblPrEx>
          <w:tblCellMar>
            <w:top w:w="0" w:type="dxa"/>
            <w:left w:w="108" w:type="dxa"/>
            <w:bottom w:w="0" w:type="dxa"/>
            <w:right w:w="108" w:type="dxa"/>
          </w:tblCellMar>
        </w:tblPrEx>
        <w:trPr>
          <w:trHeight w:val="375" w:hRule="atLeast"/>
          <w:jc w:val="center"/>
        </w:trPr>
        <w:tc>
          <w:tcPr>
            <w:tcW w:w="528" w:type="dxa"/>
            <w:tcBorders>
              <w:top w:val="single" w:color="000000" w:sz="4" w:space="0"/>
              <w:left w:val="single" w:color="000000" w:sz="4" w:space="0"/>
              <w:bottom w:val="single" w:color="000000" w:sz="4" w:space="0"/>
              <w:right w:val="single" w:color="000000" w:sz="4" w:space="0"/>
            </w:tcBorders>
          </w:tcPr>
          <w:p w14:paraId="04E2AFF9">
            <w:pPr>
              <w:rPr>
                <w:rFonts w:cs="Times New Roman"/>
                <w:bCs/>
                <w:szCs w:val="21"/>
              </w:rPr>
            </w:pPr>
            <w:r>
              <w:rPr>
                <w:rFonts w:cs="Times New Roman"/>
                <w:bCs/>
                <w:szCs w:val="21"/>
              </w:rPr>
              <w:t xml:space="preserve">1 </w:t>
            </w:r>
          </w:p>
        </w:tc>
        <w:tc>
          <w:tcPr>
            <w:tcW w:w="9554" w:type="dxa"/>
            <w:gridSpan w:val="2"/>
            <w:tcBorders>
              <w:top w:val="single" w:color="000000" w:sz="4" w:space="0"/>
              <w:left w:val="single" w:color="000000" w:sz="4" w:space="0"/>
              <w:bottom w:val="single" w:color="000000" w:sz="4" w:space="0"/>
              <w:right w:val="single" w:color="000000" w:sz="4" w:space="0"/>
            </w:tcBorders>
            <w:vAlign w:val="center"/>
          </w:tcPr>
          <w:p w14:paraId="0785A759">
            <w:pPr>
              <w:rPr>
                <w:rFonts w:cs="Times New Roman"/>
                <w:bCs/>
                <w:szCs w:val="21"/>
              </w:rPr>
            </w:pPr>
            <w:r>
              <w:rPr>
                <w:rFonts w:cs="Times New Roman"/>
                <w:bCs/>
                <w:szCs w:val="21"/>
              </w:rPr>
              <w:t xml:space="preserve">近1个月，晚上上床睡觉通常在 </w:t>
            </w:r>
            <w:r>
              <w:rPr>
                <w:rFonts w:hint="eastAsia" w:cs="Times New Roman"/>
                <w:bCs/>
                <w:szCs w:val="21"/>
              </w:rPr>
              <w:t xml:space="preserve">  </w:t>
            </w:r>
            <w:r>
              <w:rPr>
                <w:rFonts w:cs="Times New Roman"/>
                <w:bCs/>
                <w:szCs w:val="21"/>
              </w:rPr>
              <w:t>点钟</w:t>
            </w:r>
          </w:p>
        </w:tc>
      </w:tr>
      <w:tr w14:paraId="23D050A6">
        <w:tblPrEx>
          <w:tblCellMar>
            <w:top w:w="0" w:type="dxa"/>
            <w:left w:w="108" w:type="dxa"/>
            <w:bottom w:w="0" w:type="dxa"/>
            <w:right w:w="108" w:type="dxa"/>
          </w:tblCellMar>
        </w:tblPrEx>
        <w:trPr>
          <w:trHeight w:val="312"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tcPr>
          <w:p w14:paraId="7BB41794">
            <w:pPr>
              <w:rPr>
                <w:rFonts w:cs="Times New Roman"/>
                <w:bCs/>
                <w:szCs w:val="21"/>
              </w:rPr>
            </w:pPr>
            <w:r>
              <w:rPr>
                <w:rFonts w:cs="Times New Roman"/>
                <w:bCs/>
                <w:szCs w:val="21"/>
              </w:rPr>
              <w:t xml:space="preserve">2 </w:t>
            </w:r>
          </w:p>
        </w:tc>
        <w:tc>
          <w:tcPr>
            <w:tcW w:w="2064" w:type="dxa"/>
            <w:vMerge w:val="restart"/>
            <w:tcBorders>
              <w:top w:val="single" w:color="000000" w:sz="4" w:space="0"/>
              <w:left w:val="single" w:color="000000" w:sz="4" w:space="0"/>
              <w:bottom w:val="single" w:color="000000" w:sz="4" w:space="0"/>
              <w:right w:val="single" w:color="000000" w:sz="4" w:space="0"/>
            </w:tcBorders>
            <w:vAlign w:val="center"/>
          </w:tcPr>
          <w:p w14:paraId="46F982AD">
            <w:pPr>
              <w:rPr>
                <w:rFonts w:cs="Times New Roman"/>
                <w:bCs/>
                <w:szCs w:val="21"/>
              </w:rPr>
            </w:pPr>
            <w:r>
              <w:rPr>
                <w:rFonts w:cs="Times New Roman"/>
                <w:bCs/>
                <w:szCs w:val="21"/>
              </w:rPr>
              <w:t>近1个月，从上床到入睡通常需要</w:t>
            </w:r>
            <w:r>
              <w:rPr>
                <w:rFonts w:hint="eastAsia" w:cs="Times New Roman"/>
                <w:bCs/>
                <w:szCs w:val="21"/>
              </w:rPr>
              <w:t xml:space="preserve">  </w:t>
            </w:r>
            <w:r>
              <w:rPr>
                <w:rFonts w:cs="Times New Roman"/>
                <w:bCs/>
                <w:szCs w:val="21"/>
              </w:rPr>
              <w:t>|min</w:t>
            </w:r>
          </w:p>
        </w:tc>
        <w:tc>
          <w:tcPr>
            <w:tcW w:w="7490" w:type="dxa"/>
            <w:vMerge w:val="restart"/>
            <w:tcBorders>
              <w:top w:val="single" w:color="000000" w:sz="4" w:space="0"/>
              <w:left w:val="single" w:color="000000" w:sz="4" w:space="0"/>
              <w:bottom w:val="single" w:color="000000" w:sz="4" w:space="0"/>
              <w:right w:val="single" w:color="000000" w:sz="4" w:space="0"/>
            </w:tcBorders>
          </w:tcPr>
          <w:p w14:paraId="6D16EEB4">
            <w:pPr>
              <w:rPr>
                <w:rFonts w:cs="Times New Roman"/>
                <w:bCs/>
                <w:szCs w:val="21"/>
              </w:rPr>
            </w:pPr>
            <w:r>
              <w:rPr>
                <w:rFonts w:cs="Times New Roman"/>
                <w:bCs/>
                <w:szCs w:val="21"/>
              </w:rPr>
              <w:t>□≤15min            □16～30min          □31～60min          □≥60min</w:t>
            </w:r>
          </w:p>
        </w:tc>
      </w:tr>
      <w:tr w14:paraId="0E82BECE">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09B2C175">
            <w:pPr>
              <w:rPr>
                <w:rFonts w:cs="Times New Roman"/>
                <w:bCs/>
                <w:szCs w:val="21"/>
              </w:rPr>
            </w:pPr>
          </w:p>
        </w:tc>
        <w:tc>
          <w:tcPr>
            <w:tcW w:w="2064" w:type="dxa"/>
            <w:vMerge w:val="continue"/>
            <w:tcBorders>
              <w:top w:val="single" w:color="000000" w:sz="4" w:space="0"/>
              <w:left w:val="single" w:color="000000" w:sz="4" w:space="0"/>
              <w:bottom w:val="single" w:color="000000" w:sz="4" w:space="0"/>
              <w:right w:val="single" w:color="000000" w:sz="4" w:space="0"/>
            </w:tcBorders>
            <w:vAlign w:val="center"/>
          </w:tcPr>
          <w:p w14:paraId="29B44E1E">
            <w:pPr>
              <w:rPr>
                <w:rFonts w:cs="Times New Roman"/>
                <w:bCs/>
                <w:szCs w:val="21"/>
              </w:rPr>
            </w:pPr>
          </w:p>
        </w:tc>
        <w:tc>
          <w:tcPr>
            <w:tcW w:w="7490" w:type="dxa"/>
            <w:vMerge w:val="continue"/>
            <w:tcBorders>
              <w:top w:val="single" w:color="000000" w:sz="4" w:space="0"/>
              <w:left w:val="single" w:color="000000" w:sz="4" w:space="0"/>
              <w:bottom w:val="single" w:color="000000" w:sz="4" w:space="0"/>
              <w:right w:val="single" w:color="000000" w:sz="4" w:space="0"/>
            </w:tcBorders>
          </w:tcPr>
          <w:p w14:paraId="0525999D">
            <w:pPr>
              <w:rPr>
                <w:rFonts w:cs="Times New Roman"/>
                <w:bCs/>
                <w:szCs w:val="21"/>
              </w:rPr>
            </w:pPr>
          </w:p>
        </w:tc>
      </w:tr>
      <w:tr w14:paraId="1E58C3F2">
        <w:tblPrEx>
          <w:tblCellMar>
            <w:top w:w="0" w:type="dxa"/>
            <w:left w:w="108" w:type="dxa"/>
            <w:bottom w:w="0" w:type="dxa"/>
            <w:right w:w="108" w:type="dxa"/>
          </w:tblCellMar>
        </w:tblPrEx>
        <w:trPr>
          <w:trHeight w:val="312"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tcPr>
          <w:p w14:paraId="48DEA31A">
            <w:pPr>
              <w:rPr>
                <w:rFonts w:cs="Times New Roman"/>
                <w:bCs/>
                <w:szCs w:val="21"/>
              </w:rPr>
            </w:pPr>
            <w:r>
              <w:rPr>
                <w:rFonts w:cs="Times New Roman"/>
                <w:bCs/>
                <w:szCs w:val="21"/>
              </w:rPr>
              <w:t xml:space="preserve">3 </w:t>
            </w:r>
          </w:p>
        </w:tc>
        <w:tc>
          <w:tcPr>
            <w:tcW w:w="9554"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023F41D">
            <w:pPr>
              <w:rPr>
                <w:rFonts w:cs="Times New Roman"/>
                <w:bCs/>
                <w:szCs w:val="21"/>
              </w:rPr>
            </w:pPr>
            <w:r>
              <w:rPr>
                <w:rFonts w:cs="Times New Roman"/>
                <w:bCs/>
                <w:szCs w:val="21"/>
              </w:rPr>
              <w:t>近1个月，通常早上</w:t>
            </w:r>
            <w:r>
              <w:rPr>
                <w:rFonts w:hint="eastAsia" w:cs="Times New Roman"/>
                <w:bCs/>
                <w:szCs w:val="21"/>
              </w:rPr>
              <w:t xml:space="preserve">   </w:t>
            </w:r>
            <w:r>
              <w:rPr>
                <w:rFonts w:cs="Times New Roman"/>
                <w:bCs/>
                <w:szCs w:val="21"/>
              </w:rPr>
              <w:t>点起床</w:t>
            </w:r>
          </w:p>
        </w:tc>
      </w:tr>
      <w:tr w14:paraId="5B2F5998">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4E61D25C">
            <w:pPr>
              <w:rPr>
                <w:rFonts w:cs="Times New Roman"/>
                <w:bCs/>
                <w:szCs w:val="21"/>
              </w:rPr>
            </w:pPr>
          </w:p>
        </w:tc>
        <w:tc>
          <w:tcPr>
            <w:tcW w:w="955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9CFFD26">
            <w:pPr>
              <w:rPr>
                <w:rFonts w:cs="Times New Roman"/>
                <w:bCs/>
                <w:szCs w:val="21"/>
              </w:rPr>
            </w:pPr>
          </w:p>
        </w:tc>
      </w:tr>
      <w:tr w14:paraId="6A9D519F">
        <w:tblPrEx>
          <w:tblCellMar>
            <w:top w:w="0" w:type="dxa"/>
            <w:left w:w="108" w:type="dxa"/>
            <w:bottom w:w="0" w:type="dxa"/>
            <w:right w:w="108" w:type="dxa"/>
          </w:tblCellMar>
        </w:tblPrEx>
        <w:trPr>
          <w:trHeight w:val="312"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tcPr>
          <w:p w14:paraId="428CFE4D">
            <w:pPr>
              <w:rPr>
                <w:rFonts w:cs="Times New Roman"/>
                <w:bCs/>
                <w:szCs w:val="21"/>
              </w:rPr>
            </w:pPr>
            <w:r>
              <w:rPr>
                <w:rFonts w:cs="Times New Roman"/>
                <w:bCs/>
                <w:szCs w:val="21"/>
              </w:rPr>
              <w:t xml:space="preserve">4 </w:t>
            </w:r>
          </w:p>
        </w:tc>
        <w:tc>
          <w:tcPr>
            <w:tcW w:w="9554"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604A0E5">
            <w:pPr>
              <w:rPr>
                <w:rFonts w:cs="Times New Roman"/>
                <w:bCs/>
                <w:szCs w:val="21"/>
              </w:rPr>
            </w:pPr>
            <w:r>
              <w:rPr>
                <w:rFonts w:cs="Times New Roman"/>
                <w:bCs/>
                <w:szCs w:val="21"/>
              </w:rPr>
              <w:t xml:space="preserve">近1个月，每夜通常实际睡眠 </w:t>
            </w:r>
            <w:r>
              <w:rPr>
                <w:rFonts w:hint="eastAsia" w:cs="Times New Roman"/>
                <w:bCs/>
                <w:szCs w:val="21"/>
              </w:rPr>
              <w:t xml:space="preserve">   </w:t>
            </w:r>
            <w:r>
              <w:rPr>
                <w:rFonts w:cs="Times New Roman"/>
                <w:bCs/>
                <w:szCs w:val="21"/>
              </w:rPr>
              <w:t>h（不等于卧床时间）</w:t>
            </w:r>
          </w:p>
        </w:tc>
      </w:tr>
      <w:tr w14:paraId="27B1849A">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30513833">
            <w:pPr>
              <w:rPr>
                <w:rFonts w:cs="Times New Roman"/>
                <w:bCs/>
                <w:szCs w:val="21"/>
              </w:rPr>
            </w:pPr>
          </w:p>
        </w:tc>
        <w:tc>
          <w:tcPr>
            <w:tcW w:w="955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6E5C489">
            <w:pPr>
              <w:rPr>
                <w:rFonts w:cs="Times New Roman"/>
                <w:bCs/>
                <w:szCs w:val="21"/>
              </w:rPr>
            </w:pPr>
          </w:p>
        </w:tc>
      </w:tr>
      <w:tr w14:paraId="0C6FE99F">
        <w:tblPrEx>
          <w:tblCellMar>
            <w:top w:w="0" w:type="dxa"/>
            <w:left w:w="108" w:type="dxa"/>
            <w:bottom w:w="0" w:type="dxa"/>
            <w:right w:w="108" w:type="dxa"/>
          </w:tblCellMar>
        </w:tblPrEx>
        <w:trPr>
          <w:trHeight w:val="375"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tcPr>
          <w:p w14:paraId="6038D0B3">
            <w:pPr>
              <w:rPr>
                <w:rFonts w:cs="Times New Roman"/>
                <w:bCs/>
                <w:szCs w:val="21"/>
              </w:rPr>
            </w:pPr>
            <w:r>
              <w:rPr>
                <w:rFonts w:cs="Times New Roman"/>
                <w:bCs/>
                <w:szCs w:val="21"/>
              </w:rPr>
              <w:t xml:space="preserve">5 </w:t>
            </w:r>
          </w:p>
        </w:tc>
        <w:tc>
          <w:tcPr>
            <w:tcW w:w="9554" w:type="dxa"/>
            <w:gridSpan w:val="2"/>
            <w:tcBorders>
              <w:top w:val="single" w:color="000000" w:sz="4" w:space="0"/>
              <w:left w:val="single" w:color="000000" w:sz="4" w:space="0"/>
              <w:bottom w:val="single" w:color="000000" w:sz="4" w:space="0"/>
              <w:right w:val="single" w:color="000000" w:sz="4" w:space="0"/>
            </w:tcBorders>
            <w:vAlign w:val="center"/>
          </w:tcPr>
          <w:p w14:paraId="7EAB4B2D">
            <w:pPr>
              <w:rPr>
                <w:rFonts w:cs="Times New Roman"/>
                <w:bCs/>
                <w:szCs w:val="21"/>
              </w:rPr>
            </w:pPr>
            <w:r>
              <w:rPr>
                <w:rFonts w:cs="Times New Roman"/>
                <w:bCs/>
                <w:szCs w:val="21"/>
              </w:rPr>
              <w:t>近1个月，因下列情况影响睡眠而烦恼</w:t>
            </w:r>
          </w:p>
        </w:tc>
      </w:tr>
      <w:tr w14:paraId="271291DD">
        <w:tblPrEx>
          <w:tblCellMar>
            <w:top w:w="0" w:type="dxa"/>
            <w:left w:w="108" w:type="dxa"/>
            <w:bottom w:w="0" w:type="dxa"/>
            <w:right w:w="108" w:type="dxa"/>
          </w:tblCellMar>
        </w:tblPrEx>
        <w:trPr>
          <w:trHeight w:val="435"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3C623E5F">
            <w:pPr>
              <w:rPr>
                <w:rFonts w:cs="Times New Roman"/>
                <w:bCs/>
                <w:szCs w:val="21"/>
              </w:rPr>
            </w:pPr>
          </w:p>
        </w:tc>
        <w:tc>
          <w:tcPr>
            <w:tcW w:w="2064" w:type="dxa"/>
            <w:tcBorders>
              <w:top w:val="single" w:color="000000" w:sz="4" w:space="0"/>
              <w:left w:val="single" w:color="000000" w:sz="4" w:space="0"/>
              <w:bottom w:val="single" w:color="000000" w:sz="4" w:space="0"/>
              <w:right w:val="single" w:color="000000" w:sz="4" w:space="0"/>
            </w:tcBorders>
            <w:vAlign w:val="center"/>
          </w:tcPr>
          <w:p w14:paraId="1FFF928A">
            <w:pPr>
              <w:rPr>
                <w:rFonts w:cs="Times New Roman"/>
                <w:bCs/>
                <w:szCs w:val="21"/>
              </w:rPr>
            </w:pPr>
            <w:r>
              <w:rPr>
                <w:rFonts w:cs="Times New Roman"/>
                <w:bCs/>
                <w:szCs w:val="21"/>
              </w:rPr>
              <w:t>a.入睡困难（30min内不能入睡）</w:t>
            </w:r>
          </w:p>
        </w:tc>
        <w:tc>
          <w:tcPr>
            <w:tcW w:w="7490" w:type="dxa"/>
            <w:tcBorders>
              <w:top w:val="single" w:color="000000" w:sz="4" w:space="0"/>
              <w:left w:val="single" w:color="000000" w:sz="4" w:space="0"/>
              <w:bottom w:val="single" w:color="000000" w:sz="4" w:space="0"/>
              <w:right w:val="single" w:color="000000" w:sz="4" w:space="0"/>
            </w:tcBorders>
          </w:tcPr>
          <w:p w14:paraId="2AA56B4F">
            <w:pPr>
              <w:rPr>
                <w:rFonts w:cs="Times New Roman"/>
                <w:bCs/>
                <w:szCs w:val="21"/>
              </w:rPr>
            </w:pPr>
            <w:r>
              <w:rPr>
                <w:rFonts w:cs="Times New Roman"/>
                <w:bCs/>
                <w:szCs w:val="21"/>
              </w:rPr>
              <w:t>□无                □&lt;1次/周          □1～2次/周         □≥3次/周</w:t>
            </w:r>
          </w:p>
        </w:tc>
      </w:tr>
      <w:tr w14:paraId="71F618CC">
        <w:tblPrEx>
          <w:tblCellMar>
            <w:top w:w="0" w:type="dxa"/>
            <w:left w:w="108" w:type="dxa"/>
            <w:bottom w:w="0" w:type="dxa"/>
            <w:right w:w="108" w:type="dxa"/>
          </w:tblCellMar>
        </w:tblPrEx>
        <w:trPr>
          <w:trHeight w:val="46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0E728ECD">
            <w:pPr>
              <w:rPr>
                <w:rFonts w:cs="Times New Roman"/>
                <w:bCs/>
                <w:szCs w:val="21"/>
              </w:rPr>
            </w:pPr>
          </w:p>
        </w:tc>
        <w:tc>
          <w:tcPr>
            <w:tcW w:w="2064" w:type="dxa"/>
            <w:tcBorders>
              <w:top w:val="single" w:color="000000" w:sz="4" w:space="0"/>
              <w:left w:val="single" w:color="000000" w:sz="4" w:space="0"/>
              <w:bottom w:val="single" w:color="000000" w:sz="4" w:space="0"/>
              <w:right w:val="single" w:color="000000" w:sz="4" w:space="0"/>
            </w:tcBorders>
            <w:vAlign w:val="center"/>
          </w:tcPr>
          <w:p w14:paraId="5BDCF4D6">
            <w:pPr>
              <w:rPr>
                <w:rFonts w:cs="Times New Roman"/>
                <w:bCs/>
                <w:szCs w:val="21"/>
              </w:rPr>
            </w:pPr>
            <w:r>
              <w:rPr>
                <w:rFonts w:cs="Times New Roman"/>
                <w:bCs/>
                <w:szCs w:val="21"/>
              </w:rPr>
              <w:t>b.夜间易醒或早醒</w:t>
            </w:r>
          </w:p>
        </w:tc>
        <w:tc>
          <w:tcPr>
            <w:tcW w:w="7490" w:type="dxa"/>
            <w:tcBorders>
              <w:top w:val="single" w:color="000000" w:sz="4" w:space="0"/>
              <w:left w:val="single" w:color="000000" w:sz="4" w:space="0"/>
              <w:bottom w:val="single" w:color="000000" w:sz="4" w:space="0"/>
              <w:right w:val="single" w:color="000000" w:sz="4" w:space="0"/>
            </w:tcBorders>
          </w:tcPr>
          <w:p w14:paraId="46A98F95">
            <w:pPr>
              <w:rPr>
                <w:rFonts w:cs="Times New Roman"/>
                <w:bCs/>
                <w:szCs w:val="21"/>
              </w:rPr>
            </w:pPr>
            <w:r>
              <w:rPr>
                <w:rFonts w:cs="Times New Roman"/>
                <w:bCs/>
                <w:szCs w:val="21"/>
              </w:rPr>
              <w:t>□无                □&lt;1次/周           □1～2次/周         □≥3次/周</w:t>
            </w:r>
          </w:p>
        </w:tc>
      </w:tr>
      <w:tr w14:paraId="2853B7D7">
        <w:tblPrEx>
          <w:tblCellMar>
            <w:top w:w="0" w:type="dxa"/>
            <w:left w:w="108" w:type="dxa"/>
            <w:bottom w:w="0" w:type="dxa"/>
            <w:right w:w="108" w:type="dxa"/>
          </w:tblCellMar>
        </w:tblPrEx>
        <w:trPr>
          <w:trHeight w:val="435"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092249DE">
            <w:pPr>
              <w:rPr>
                <w:rFonts w:cs="Times New Roman"/>
                <w:bCs/>
                <w:szCs w:val="21"/>
              </w:rPr>
            </w:pPr>
          </w:p>
        </w:tc>
        <w:tc>
          <w:tcPr>
            <w:tcW w:w="2064" w:type="dxa"/>
            <w:tcBorders>
              <w:top w:val="single" w:color="000000" w:sz="4" w:space="0"/>
              <w:left w:val="single" w:color="000000" w:sz="4" w:space="0"/>
              <w:bottom w:val="single" w:color="000000" w:sz="4" w:space="0"/>
              <w:right w:val="single" w:color="000000" w:sz="4" w:space="0"/>
            </w:tcBorders>
            <w:vAlign w:val="center"/>
          </w:tcPr>
          <w:p w14:paraId="03787197">
            <w:pPr>
              <w:rPr>
                <w:rFonts w:cs="Times New Roman"/>
                <w:bCs/>
                <w:szCs w:val="21"/>
              </w:rPr>
            </w:pPr>
            <w:r>
              <w:rPr>
                <w:rFonts w:cs="Times New Roman"/>
                <w:bCs/>
                <w:szCs w:val="21"/>
              </w:rPr>
              <w:t>c.夜间去厕所</w:t>
            </w:r>
          </w:p>
        </w:tc>
        <w:tc>
          <w:tcPr>
            <w:tcW w:w="7490" w:type="dxa"/>
            <w:tcBorders>
              <w:top w:val="single" w:color="000000" w:sz="4" w:space="0"/>
              <w:left w:val="single" w:color="000000" w:sz="4" w:space="0"/>
              <w:bottom w:val="single" w:color="000000" w:sz="4" w:space="0"/>
              <w:right w:val="single" w:color="000000" w:sz="4" w:space="0"/>
            </w:tcBorders>
          </w:tcPr>
          <w:p w14:paraId="3EAA5A37">
            <w:pPr>
              <w:rPr>
                <w:rFonts w:cs="Times New Roman"/>
                <w:bCs/>
                <w:szCs w:val="21"/>
              </w:rPr>
            </w:pPr>
            <w:r>
              <w:rPr>
                <w:rFonts w:cs="Times New Roman"/>
                <w:bCs/>
                <w:szCs w:val="21"/>
              </w:rPr>
              <w:t>□无                □&lt;1次/周          □1～2次/周         □≥3次/周</w:t>
            </w:r>
          </w:p>
        </w:tc>
      </w:tr>
      <w:tr w14:paraId="5F65A895">
        <w:tblPrEx>
          <w:tblCellMar>
            <w:top w:w="0" w:type="dxa"/>
            <w:left w:w="108" w:type="dxa"/>
            <w:bottom w:w="0" w:type="dxa"/>
            <w:right w:w="108" w:type="dxa"/>
          </w:tblCellMar>
        </w:tblPrEx>
        <w:trPr>
          <w:trHeight w:val="375"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2EC06E00">
            <w:pPr>
              <w:rPr>
                <w:rFonts w:cs="Times New Roman"/>
                <w:bCs/>
                <w:szCs w:val="21"/>
              </w:rPr>
            </w:pPr>
          </w:p>
        </w:tc>
        <w:tc>
          <w:tcPr>
            <w:tcW w:w="2064" w:type="dxa"/>
            <w:tcBorders>
              <w:top w:val="single" w:color="000000" w:sz="4" w:space="0"/>
              <w:left w:val="single" w:color="000000" w:sz="4" w:space="0"/>
              <w:bottom w:val="single" w:color="000000" w:sz="4" w:space="0"/>
              <w:right w:val="single" w:color="000000" w:sz="4" w:space="0"/>
            </w:tcBorders>
            <w:vAlign w:val="center"/>
          </w:tcPr>
          <w:p w14:paraId="2748C700">
            <w:pPr>
              <w:rPr>
                <w:rFonts w:cs="Times New Roman"/>
                <w:bCs/>
                <w:szCs w:val="21"/>
              </w:rPr>
            </w:pPr>
            <w:r>
              <w:rPr>
                <w:rFonts w:cs="Times New Roman"/>
                <w:bCs/>
                <w:szCs w:val="21"/>
              </w:rPr>
              <w:t>d.呼吸不畅</w:t>
            </w:r>
          </w:p>
        </w:tc>
        <w:tc>
          <w:tcPr>
            <w:tcW w:w="7490" w:type="dxa"/>
            <w:tcBorders>
              <w:top w:val="single" w:color="000000" w:sz="4" w:space="0"/>
              <w:left w:val="single" w:color="000000" w:sz="4" w:space="0"/>
              <w:bottom w:val="single" w:color="000000" w:sz="4" w:space="0"/>
              <w:right w:val="single" w:color="000000" w:sz="4" w:space="0"/>
            </w:tcBorders>
          </w:tcPr>
          <w:p w14:paraId="2E070C0A">
            <w:pPr>
              <w:rPr>
                <w:rFonts w:cs="Times New Roman"/>
                <w:bCs/>
                <w:szCs w:val="21"/>
              </w:rPr>
            </w:pPr>
            <w:r>
              <w:rPr>
                <w:rFonts w:cs="Times New Roman"/>
                <w:bCs/>
                <w:szCs w:val="21"/>
              </w:rPr>
              <w:t>口 无                □&lt;1次/周           □1～2次/周          □≥3次/周</w:t>
            </w:r>
          </w:p>
        </w:tc>
      </w:tr>
      <w:tr w14:paraId="3DF07204">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5A014ADF">
            <w:pPr>
              <w:rPr>
                <w:rFonts w:cs="Times New Roman"/>
                <w:bCs/>
                <w:szCs w:val="21"/>
              </w:rPr>
            </w:pPr>
          </w:p>
        </w:tc>
        <w:tc>
          <w:tcPr>
            <w:tcW w:w="2064" w:type="dxa"/>
            <w:vMerge w:val="restart"/>
            <w:tcBorders>
              <w:top w:val="single" w:color="000000" w:sz="4" w:space="0"/>
              <w:left w:val="single" w:color="000000" w:sz="4" w:space="0"/>
              <w:bottom w:val="single" w:color="000000" w:sz="4" w:space="0"/>
              <w:right w:val="single" w:color="000000" w:sz="4" w:space="0"/>
            </w:tcBorders>
            <w:vAlign w:val="center"/>
          </w:tcPr>
          <w:p w14:paraId="7EA238AE">
            <w:pPr>
              <w:rPr>
                <w:rFonts w:cs="Times New Roman"/>
                <w:bCs/>
                <w:szCs w:val="21"/>
              </w:rPr>
            </w:pPr>
            <w:r>
              <w:rPr>
                <w:rFonts w:cs="Times New Roman"/>
                <w:bCs/>
                <w:szCs w:val="21"/>
              </w:rPr>
              <w:t>e.咳嗽或鼾声高</w:t>
            </w:r>
          </w:p>
        </w:tc>
        <w:tc>
          <w:tcPr>
            <w:tcW w:w="7490" w:type="dxa"/>
            <w:vMerge w:val="restart"/>
            <w:tcBorders>
              <w:top w:val="single" w:color="000000" w:sz="4" w:space="0"/>
              <w:left w:val="single" w:color="000000" w:sz="4" w:space="0"/>
              <w:bottom w:val="single" w:color="000000" w:sz="4" w:space="0"/>
              <w:right w:val="single" w:color="000000" w:sz="4" w:space="0"/>
            </w:tcBorders>
          </w:tcPr>
          <w:p w14:paraId="30656C17">
            <w:pPr>
              <w:rPr>
                <w:rFonts w:cs="Times New Roman"/>
                <w:bCs/>
                <w:szCs w:val="21"/>
              </w:rPr>
            </w:pPr>
            <w:r>
              <w:rPr>
                <w:rFonts w:cs="Times New Roman"/>
                <w:bCs/>
                <w:szCs w:val="21"/>
              </w:rPr>
              <w:t>□无                □&lt;1次/周          □1～2次/周          □≥3次/周</w:t>
            </w:r>
          </w:p>
        </w:tc>
      </w:tr>
      <w:tr w14:paraId="1DC6984C">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4C52DE1E">
            <w:pPr>
              <w:rPr>
                <w:rFonts w:cs="Times New Roman"/>
                <w:bCs/>
                <w:szCs w:val="21"/>
              </w:rPr>
            </w:pPr>
          </w:p>
        </w:tc>
        <w:tc>
          <w:tcPr>
            <w:tcW w:w="2064" w:type="dxa"/>
            <w:vMerge w:val="continue"/>
            <w:tcBorders>
              <w:top w:val="single" w:color="000000" w:sz="4" w:space="0"/>
              <w:left w:val="single" w:color="000000" w:sz="4" w:space="0"/>
              <w:bottom w:val="single" w:color="000000" w:sz="4" w:space="0"/>
              <w:right w:val="single" w:color="000000" w:sz="4" w:space="0"/>
            </w:tcBorders>
            <w:vAlign w:val="center"/>
          </w:tcPr>
          <w:p w14:paraId="221FF67F">
            <w:pPr>
              <w:rPr>
                <w:rFonts w:cs="Times New Roman"/>
                <w:bCs/>
                <w:szCs w:val="21"/>
              </w:rPr>
            </w:pPr>
          </w:p>
        </w:tc>
        <w:tc>
          <w:tcPr>
            <w:tcW w:w="7490" w:type="dxa"/>
            <w:vMerge w:val="continue"/>
            <w:tcBorders>
              <w:top w:val="single" w:color="000000" w:sz="4" w:space="0"/>
              <w:left w:val="single" w:color="000000" w:sz="4" w:space="0"/>
              <w:bottom w:val="single" w:color="000000" w:sz="4" w:space="0"/>
              <w:right w:val="single" w:color="000000" w:sz="4" w:space="0"/>
            </w:tcBorders>
          </w:tcPr>
          <w:p w14:paraId="3F40388F">
            <w:pPr>
              <w:rPr>
                <w:rFonts w:cs="Times New Roman"/>
                <w:bCs/>
                <w:szCs w:val="21"/>
              </w:rPr>
            </w:pPr>
          </w:p>
        </w:tc>
      </w:tr>
      <w:tr w14:paraId="1132E7B7">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66CD66FC">
            <w:pPr>
              <w:rPr>
                <w:rFonts w:cs="Times New Roman"/>
                <w:bCs/>
                <w:szCs w:val="21"/>
              </w:rPr>
            </w:pPr>
          </w:p>
        </w:tc>
        <w:tc>
          <w:tcPr>
            <w:tcW w:w="2064" w:type="dxa"/>
            <w:vMerge w:val="restart"/>
            <w:tcBorders>
              <w:top w:val="single" w:color="000000" w:sz="4" w:space="0"/>
              <w:left w:val="single" w:color="000000" w:sz="4" w:space="0"/>
              <w:bottom w:val="single" w:color="000000" w:sz="4" w:space="0"/>
              <w:right w:val="single" w:color="000000" w:sz="4" w:space="0"/>
            </w:tcBorders>
          </w:tcPr>
          <w:p w14:paraId="70F4C768">
            <w:pPr>
              <w:rPr>
                <w:rFonts w:cs="Times New Roman"/>
                <w:bCs/>
                <w:szCs w:val="21"/>
              </w:rPr>
            </w:pPr>
            <w:r>
              <w:rPr>
                <w:rFonts w:cs="Times New Roman"/>
                <w:bCs/>
                <w:szCs w:val="21"/>
              </w:rPr>
              <w:t>f.感觉冷</w:t>
            </w:r>
          </w:p>
        </w:tc>
        <w:tc>
          <w:tcPr>
            <w:tcW w:w="7490" w:type="dxa"/>
            <w:vMerge w:val="restart"/>
            <w:tcBorders>
              <w:top w:val="single" w:color="000000" w:sz="4" w:space="0"/>
              <w:left w:val="single" w:color="000000" w:sz="4" w:space="0"/>
              <w:bottom w:val="single" w:color="000000" w:sz="4" w:space="0"/>
              <w:right w:val="single" w:color="000000" w:sz="4" w:space="0"/>
            </w:tcBorders>
          </w:tcPr>
          <w:p w14:paraId="7992D644">
            <w:pPr>
              <w:rPr>
                <w:rFonts w:cs="Times New Roman"/>
                <w:bCs/>
                <w:szCs w:val="21"/>
              </w:rPr>
            </w:pPr>
            <w:r>
              <w:rPr>
                <w:rFonts w:cs="Times New Roman"/>
                <w:bCs/>
                <w:szCs w:val="21"/>
              </w:rPr>
              <w:t>口 无                □&lt;1次/周           □1～2次/周         □≥3次/周</w:t>
            </w:r>
          </w:p>
        </w:tc>
      </w:tr>
      <w:tr w14:paraId="41043EE2">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68F01871">
            <w:pPr>
              <w:rPr>
                <w:rFonts w:cs="Times New Roman"/>
                <w:bCs/>
                <w:szCs w:val="21"/>
              </w:rPr>
            </w:pPr>
          </w:p>
        </w:tc>
        <w:tc>
          <w:tcPr>
            <w:tcW w:w="2064" w:type="dxa"/>
            <w:vMerge w:val="continue"/>
            <w:tcBorders>
              <w:top w:val="single" w:color="000000" w:sz="4" w:space="0"/>
              <w:left w:val="single" w:color="000000" w:sz="4" w:space="0"/>
              <w:bottom w:val="single" w:color="000000" w:sz="4" w:space="0"/>
              <w:right w:val="single" w:color="000000" w:sz="4" w:space="0"/>
            </w:tcBorders>
          </w:tcPr>
          <w:p w14:paraId="5DE69365">
            <w:pPr>
              <w:rPr>
                <w:rFonts w:cs="Times New Roman"/>
                <w:bCs/>
                <w:szCs w:val="21"/>
              </w:rPr>
            </w:pPr>
          </w:p>
        </w:tc>
        <w:tc>
          <w:tcPr>
            <w:tcW w:w="7490" w:type="dxa"/>
            <w:vMerge w:val="continue"/>
            <w:tcBorders>
              <w:top w:val="single" w:color="000000" w:sz="4" w:space="0"/>
              <w:left w:val="single" w:color="000000" w:sz="4" w:space="0"/>
              <w:bottom w:val="single" w:color="000000" w:sz="4" w:space="0"/>
              <w:right w:val="single" w:color="000000" w:sz="4" w:space="0"/>
            </w:tcBorders>
          </w:tcPr>
          <w:p w14:paraId="71B17C8E">
            <w:pPr>
              <w:rPr>
                <w:rFonts w:cs="Times New Roman"/>
                <w:bCs/>
                <w:szCs w:val="21"/>
              </w:rPr>
            </w:pPr>
          </w:p>
        </w:tc>
      </w:tr>
      <w:tr w14:paraId="078844AA">
        <w:tblPrEx>
          <w:tblCellMar>
            <w:top w:w="0" w:type="dxa"/>
            <w:left w:w="108" w:type="dxa"/>
            <w:bottom w:w="0" w:type="dxa"/>
            <w:right w:w="108" w:type="dxa"/>
          </w:tblCellMar>
        </w:tblPrEx>
        <w:trPr>
          <w:trHeight w:val="375"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5AED4223">
            <w:pPr>
              <w:rPr>
                <w:rFonts w:cs="Times New Roman"/>
                <w:bCs/>
                <w:szCs w:val="21"/>
              </w:rPr>
            </w:pPr>
          </w:p>
        </w:tc>
        <w:tc>
          <w:tcPr>
            <w:tcW w:w="2064" w:type="dxa"/>
            <w:tcBorders>
              <w:top w:val="single" w:color="000000" w:sz="4" w:space="0"/>
              <w:left w:val="single" w:color="000000" w:sz="4" w:space="0"/>
              <w:bottom w:val="single" w:color="000000" w:sz="4" w:space="0"/>
              <w:right w:val="single" w:color="000000" w:sz="4" w:space="0"/>
            </w:tcBorders>
            <w:vAlign w:val="center"/>
          </w:tcPr>
          <w:p w14:paraId="5B0F10FB">
            <w:pPr>
              <w:rPr>
                <w:rFonts w:cs="Times New Roman"/>
                <w:bCs/>
                <w:szCs w:val="21"/>
              </w:rPr>
            </w:pPr>
            <w:r>
              <w:rPr>
                <w:rFonts w:cs="Times New Roman"/>
                <w:bCs/>
                <w:szCs w:val="21"/>
              </w:rPr>
              <w:t>g.感觉热</w:t>
            </w:r>
          </w:p>
        </w:tc>
        <w:tc>
          <w:tcPr>
            <w:tcW w:w="7490" w:type="dxa"/>
            <w:tcBorders>
              <w:top w:val="single" w:color="000000" w:sz="4" w:space="0"/>
              <w:left w:val="single" w:color="000000" w:sz="4" w:space="0"/>
              <w:bottom w:val="single" w:color="000000" w:sz="4" w:space="0"/>
              <w:right w:val="single" w:color="000000" w:sz="4" w:space="0"/>
            </w:tcBorders>
          </w:tcPr>
          <w:p w14:paraId="6C0B45F9">
            <w:pPr>
              <w:rPr>
                <w:rFonts w:cs="Times New Roman"/>
                <w:bCs/>
                <w:szCs w:val="21"/>
              </w:rPr>
            </w:pPr>
            <w:r>
              <w:rPr>
                <w:rFonts w:cs="Times New Roman"/>
                <w:bCs/>
                <w:szCs w:val="21"/>
              </w:rPr>
              <w:t>□无                □&lt;1次/周           □1～2次/周          □≥3次/周</w:t>
            </w:r>
          </w:p>
        </w:tc>
      </w:tr>
      <w:tr w14:paraId="027174E0">
        <w:tblPrEx>
          <w:tblCellMar>
            <w:top w:w="0" w:type="dxa"/>
            <w:left w:w="108" w:type="dxa"/>
            <w:bottom w:w="0" w:type="dxa"/>
            <w:right w:w="108" w:type="dxa"/>
          </w:tblCellMar>
        </w:tblPrEx>
        <w:trPr>
          <w:trHeight w:val="435"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11BEF41E">
            <w:pPr>
              <w:rPr>
                <w:rFonts w:cs="Times New Roman"/>
                <w:bCs/>
                <w:szCs w:val="21"/>
              </w:rPr>
            </w:pPr>
          </w:p>
        </w:tc>
        <w:tc>
          <w:tcPr>
            <w:tcW w:w="2064" w:type="dxa"/>
            <w:tcBorders>
              <w:top w:val="single" w:color="000000" w:sz="4" w:space="0"/>
              <w:left w:val="single" w:color="000000" w:sz="4" w:space="0"/>
              <w:bottom w:val="single" w:color="000000" w:sz="4" w:space="0"/>
              <w:right w:val="single" w:color="000000" w:sz="4" w:space="0"/>
            </w:tcBorders>
          </w:tcPr>
          <w:p w14:paraId="65A7EBE0">
            <w:pPr>
              <w:rPr>
                <w:rFonts w:cs="Times New Roman"/>
                <w:bCs/>
                <w:szCs w:val="21"/>
              </w:rPr>
            </w:pPr>
            <w:r>
              <w:rPr>
                <w:rFonts w:cs="Times New Roman"/>
                <w:bCs/>
                <w:szCs w:val="21"/>
              </w:rPr>
              <w:t>h.做噩梦</w:t>
            </w:r>
          </w:p>
        </w:tc>
        <w:tc>
          <w:tcPr>
            <w:tcW w:w="7490" w:type="dxa"/>
            <w:tcBorders>
              <w:top w:val="single" w:color="000000" w:sz="4" w:space="0"/>
              <w:left w:val="single" w:color="000000" w:sz="4" w:space="0"/>
              <w:bottom w:val="single" w:color="000000" w:sz="4" w:space="0"/>
              <w:right w:val="single" w:color="000000" w:sz="4" w:space="0"/>
            </w:tcBorders>
          </w:tcPr>
          <w:p w14:paraId="7610ED6D">
            <w:pPr>
              <w:rPr>
                <w:rFonts w:cs="Times New Roman"/>
                <w:bCs/>
                <w:szCs w:val="21"/>
              </w:rPr>
            </w:pPr>
            <w:r>
              <w:rPr>
                <w:rFonts w:cs="Times New Roman"/>
                <w:bCs/>
                <w:szCs w:val="21"/>
              </w:rPr>
              <w:t>□无                □&lt;1次/周           □1～2次/周         □≥3次/周</w:t>
            </w:r>
          </w:p>
        </w:tc>
      </w:tr>
      <w:tr w14:paraId="56FADC3F">
        <w:tblPrEx>
          <w:tblCellMar>
            <w:top w:w="0" w:type="dxa"/>
            <w:left w:w="108" w:type="dxa"/>
            <w:bottom w:w="0" w:type="dxa"/>
            <w:right w:w="108" w:type="dxa"/>
          </w:tblCellMar>
        </w:tblPrEx>
        <w:trPr>
          <w:trHeight w:val="455"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559D55AB">
            <w:pPr>
              <w:rPr>
                <w:rFonts w:cs="Times New Roman"/>
                <w:bCs/>
                <w:szCs w:val="21"/>
              </w:rPr>
            </w:pPr>
          </w:p>
        </w:tc>
        <w:tc>
          <w:tcPr>
            <w:tcW w:w="2064" w:type="dxa"/>
            <w:tcBorders>
              <w:top w:val="single" w:color="000000" w:sz="4" w:space="0"/>
              <w:left w:val="single" w:color="000000" w:sz="4" w:space="0"/>
              <w:bottom w:val="single" w:color="000000" w:sz="4" w:space="0"/>
              <w:right w:val="single" w:color="000000" w:sz="4" w:space="0"/>
            </w:tcBorders>
            <w:vAlign w:val="center"/>
          </w:tcPr>
          <w:p w14:paraId="0FEC65FB">
            <w:pPr>
              <w:rPr>
                <w:rFonts w:cs="Times New Roman"/>
                <w:bCs/>
                <w:szCs w:val="21"/>
              </w:rPr>
            </w:pPr>
            <w:r>
              <w:rPr>
                <w:rFonts w:cs="Times New Roman"/>
                <w:bCs/>
                <w:szCs w:val="21"/>
              </w:rPr>
              <w:t>i.疼痛不适</w:t>
            </w:r>
          </w:p>
        </w:tc>
        <w:tc>
          <w:tcPr>
            <w:tcW w:w="7490" w:type="dxa"/>
            <w:tcBorders>
              <w:top w:val="single" w:color="000000" w:sz="4" w:space="0"/>
              <w:left w:val="single" w:color="000000" w:sz="4" w:space="0"/>
              <w:bottom w:val="single" w:color="000000" w:sz="4" w:space="0"/>
              <w:right w:val="single" w:color="000000" w:sz="4" w:space="0"/>
            </w:tcBorders>
          </w:tcPr>
          <w:p w14:paraId="7B110507">
            <w:pPr>
              <w:rPr>
                <w:rFonts w:cs="Times New Roman"/>
                <w:bCs/>
                <w:szCs w:val="21"/>
              </w:rPr>
            </w:pPr>
            <w:r>
              <w:rPr>
                <w:rFonts w:cs="Times New Roman"/>
                <w:bCs/>
                <w:szCs w:val="21"/>
              </w:rPr>
              <w:t>□无                □&lt;1次/周           □1～2次/周         □≥3次/周</w:t>
            </w:r>
          </w:p>
        </w:tc>
      </w:tr>
      <w:tr w14:paraId="1075F401">
        <w:tblPrEx>
          <w:tblCellMar>
            <w:top w:w="0" w:type="dxa"/>
            <w:left w:w="108" w:type="dxa"/>
            <w:bottom w:w="0" w:type="dxa"/>
            <w:right w:w="108" w:type="dxa"/>
          </w:tblCellMar>
        </w:tblPrEx>
        <w:trPr>
          <w:trHeight w:val="460"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70E03CB8">
            <w:pPr>
              <w:rPr>
                <w:rFonts w:cs="Times New Roman"/>
                <w:bCs/>
                <w:szCs w:val="21"/>
              </w:rPr>
            </w:pPr>
          </w:p>
        </w:tc>
        <w:tc>
          <w:tcPr>
            <w:tcW w:w="2064" w:type="dxa"/>
            <w:vMerge w:val="restart"/>
            <w:tcBorders>
              <w:top w:val="single" w:color="000000" w:sz="4" w:space="0"/>
              <w:left w:val="single" w:color="000000" w:sz="4" w:space="0"/>
              <w:bottom w:val="single" w:color="000000" w:sz="4" w:space="0"/>
              <w:right w:val="single" w:color="000000" w:sz="4" w:space="0"/>
            </w:tcBorders>
          </w:tcPr>
          <w:p w14:paraId="658644E5">
            <w:pPr>
              <w:rPr>
                <w:rFonts w:cs="Times New Roman"/>
                <w:bCs/>
                <w:szCs w:val="21"/>
              </w:rPr>
            </w:pPr>
            <w:r>
              <w:rPr>
                <w:rFonts w:cs="Times New Roman"/>
                <w:bCs/>
                <w:szCs w:val="21"/>
              </w:rPr>
              <w:t>j.其他影响睡眠的事情</w:t>
            </w:r>
          </w:p>
          <w:p w14:paraId="6B0DEE50">
            <w:pPr>
              <w:rPr>
                <w:rFonts w:cs="Times New Roman"/>
                <w:bCs/>
                <w:szCs w:val="21"/>
              </w:rPr>
            </w:pPr>
            <w:r>
              <w:rPr>
                <w:rFonts w:cs="Times New Roman"/>
                <w:bCs/>
                <w:szCs w:val="21"/>
              </w:rPr>
              <w:t>如有，请说明：</w:t>
            </w:r>
          </w:p>
        </w:tc>
        <w:tc>
          <w:tcPr>
            <w:tcW w:w="7490" w:type="dxa"/>
            <w:vMerge w:val="restart"/>
            <w:tcBorders>
              <w:top w:val="single" w:color="000000" w:sz="4" w:space="0"/>
              <w:left w:val="single" w:color="000000" w:sz="4" w:space="0"/>
              <w:bottom w:val="single" w:color="000000" w:sz="4" w:space="0"/>
              <w:right w:val="single" w:color="000000" w:sz="4" w:space="0"/>
            </w:tcBorders>
          </w:tcPr>
          <w:p w14:paraId="107C6D33">
            <w:pPr>
              <w:rPr>
                <w:rFonts w:cs="Times New Roman"/>
                <w:bCs/>
                <w:szCs w:val="21"/>
              </w:rPr>
            </w:pPr>
            <w:r>
              <w:rPr>
                <w:rFonts w:cs="Times New Roman"/>
                <w:bCs/>
                <w:szCs w:val="21"/>
              </w:rPr>
              <w:t>□无                □&lt;1次/周           □1～2次/周         □≥3次/周</w:t>
            </w:r>
          </w:p>
        </w:tc>
      </w:tr>
      <w:tr w14:paraId="46571E46">
        <w:tblPrEx>
          <w:tblCellMar>
            <w:top w:w="0" w:type="dxa"/>
            <w:left w:w="108" w:type="dxa"/>
            <w:bottom w:w="0" w:type="dxa"/>
            <w:right w:w="108" w:type="dxa"/>
          </w:tblCellMar>
        </w:tblPrEx>
        <w:trPr>
          <w:trHeight w:val="417"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181E7FDD">
            <w:pPr>
              <w:rPr>
                <w:rFonts w:cs="Times New Roman"/>
                <w:bCs/>
                <w:szCs w:val="21"/>
              </w:rPr>
            </w:pPr>
          </w:p>
        </w:tc>
        <w:tc>
          <w:tcPr>
            <w:tcW w:w="2064" w:type="dxa"/>
            <w:vMerge w:val="continue"/>
            <w:tcBorders>
              <w:top w:val="single" w:color="000000" w:sz="4" w:space="0"/>
              <w:left w:val="single" w:color="000000" w:sz="4" w:space="0"/>
              <w:bottom w:val="single" w:color="000000" w:sz="4" w:space="0"/>
              <w:right w:val="single" w:color="000000" w:sz="4" w:space="0"/>
            </w:tcBorders>
          </w:tcPr>
          <w:p w14:paraId="651C0F49">
            <w:pPr>
              <w:rPr>
                <w:rFonts w:cs="Times New Roman"/>
                <w:bCs/>
                <w:szCs w:val="21"/>
              </w:rPr>
            </w:pPr>
          </w:p>
        </w:tc>
        <w:tc>
          <w:tcPr>
            <w:tcW w:w="7490" w:type="dxa"/>
            <w:vMerge w:val="continue"/>
            <w:tcBorders>
              <w:top w:val="single" w:color="000000" w:sz="4" w:space="0"/>
              <w:left w:val="single" w:color="000000" w:sz="4" w:space="0"/>
              <w:bottom w:val="single" w:color="000000" w:sz="4" w:space="0"/>
              <w:right w:val="single" w:color="000000" w:sz="4" w:space="0"/>
            </w:tcBorders>
          </w:tcPr>
          <w:p w14:paraId="008340BC">
            <w:pPr>
              <w:rPr>
                <w:rFonts w:cs="Times New Roman"/>
                <w:bCs/>
                <w:szCs w:val="21"/>
              </w:rPr>
            </w:pPr>
          </w:p>
        </w:tc>
      </w:tr>
      <w:tr w14:paraId="6A825F3C">
        <w:tblPrEx>
          <w:tblCellMar>
            <w:top w:w="0" w:type="dxa"/>
            <w:left w:w="108" w:type="dxa"/>
            <w:bottom w:w="0" w:type="dxa"/>
            <w:right w:w="108" w:type="dxa"/>
          </w:tblCellMar>
        </w:tblPrEx>
        <w:trPr>
          <w:trHeight w:val="375" w:hRule="atLeast"/>
          <w:jc w:val="center"/>
        </w:trPr>
        <w:tc>
          <w:tcPr>
            <w:tcW w:w="528" w:type="dxa"/>
            <w:tcBorders>
              <w:top w:val="single" w:color="000000" w:sz="4" w:space="0"/>
              <w:left w:val="single" w:color="000000" w:sz="4" w:space="0"/>
              <w:bottom w:val="single" w:color="000000" w:sz="4" w:space="0"/>
              <w:right w:val="single" w:color="000000" w:sz="4" w:space="0"/>
            </w:tcBorders>
          </w:tcPr>
          <w:p w14:paraId="17314331">
            <w:pPr>
              <w:rPr>
                <w:rFonts w:cs="Times New Roman"/>
                <w:bCs/>
                <w:szCs w:val="21"/>
              </w:rPr>
            </w:pPr>
            <w:r>
              <w:rPr>
                <w:rFonts w:cs="Times New Roman"/>
                <w:bCs/>
                <w:szCs w:val="21"/>
              </w:rPr>
              <w:t xml:space="preserve">6 </w:t>
            </w:r>
          </w:p>
        </w:tc>
        <w:tc>
          <w:tcPr>
            <w:tcW w:w="2064" w:type="dxa"/>
            <w:tcBorders>
              <w:top w:val="single" w:color="000000" w:sz="4" w:space="0"/>
              <w:left w:val="single" w:color="000000" w:sz="4" w:space="0"/>
              <w:bottom w:val="single" w:color="000000" w:sz="4" w:space="0"/>
              <w:right w:val="single" w:color="000000" w:sz="4" w:space="0"/>
            </w:tcBorders>
          </w:tcPr>
          <w:p w14:paraId="57EB72FC">
            <w:pPr>
              <w:rPr>
                <w:rFonts w:cs="Times New Roman"/>
                <w:bCs/>
                <w:szCs w:val="21"/>
              </w:rPr>
            </w:pPr>
            <w:r>
              <w:rPr>
                <w:rFonts w:cs="Times New Roman"/>
                <w:bCs/>
                <w:szCs w:val="21"/>
              </w:rPr>
              <w:t>近1个月，总的来说，您认为您的睡眠质量：</w:t>
            </w:r>
          </w:p>
        </w:tc>
        <w:tc>
          <w:tcPr>
            <w:tcW w:w="7490" w:type="dxa"/>
            <w:tcBorders>
              <w:top w:val="single" w:color="000000" w:sz="4" w:space="0"/>
              <w:left w:val="single" w:color="000000" w:sz="4" w:space="0"/>
              <w:bottom w:val="single" w:color="000000" w:sz="4" w:space="0"/>
              <w:right w:val="single" w:color="000000" w:sz="4" w:space="0"/>
            </w:tcBorders>
          </w:tcPr>
          <w:p w14:paraId="7EA7129F">
            <w:pPr>
              <w:rPr>
                <w:rFonts w:cs="Times New Roman"/>
                <w:bCs/>
                <w:szCs w:val="21"/>
              </w:rPr>
            </w:pPr>
            <w:r>
              <w:rPr>
                <w:rFonts w:cs="Times New Roman"/>
                <w:bCs/>
                <w:szCs w:val="21"/>
              </w:rPr>
              <w:t>口很好              口较好              口较差              口很差</w:t>
            </w:r>
          </w:p>
        </w:tc>
      </w:tr>
      <w:tr w14:paraId="5B9FB3B2">
        <w:tblPrEx>
          <w:tblCellMar>
            <w:top w:w="0" w:type="dxa"/>
            <w:left w:w="108" w:type="dxa"/>
            <w:bottom w:w="0" w:type="dxa"/>
            <w:right w:w="108" w:type="dxa"/>
          </w:tblCellMar>
        </w:tblPrEx>
        <w:trPr>
          <w:trHeight w:val="440" w:hRule="atLeast"/>
          <w:jc w:val="center"/>
        </w:trPr>
        <w:tc>
          <w:tcPr>
            <w:tcW w:w="528" w:type="dxa"/>
            <w:tcBorders>
              <w:top w:val="single" w:color="000000" w:sz="4" w:space="0"/>
              <w:left w:val="single" w:color="000000" w:sz="4" w:space="0"/>
              <w:bottom w:val="single" w:color="000000" w:sz="4" w:space="0"/>
              <w:right w:val="single" w:color="000000" w:sz="4" w:space="0"/>
            </w:tcBorders>
          </w:tcPr>
          <w:p w14:paraId="268C7C35">
            <w:pPr>
              <w:rPr>
                <w:rFonts w:cs="Times New Roman"/>
                <w:bCs/>
                <w:szCs w:val="21"/>
              </w:rPr>
            </w:pPr>
            <w:r>
              <w:rPr>
                <w:rFonts w:cs="Times New Roman"/>
                <w:bCs/>
                <w:szCs w:val="21"/>
              </w:rPr>
              <w:t xml:space="preserve">7 </w:t>
            </w:r>
          </w:p>
        </w:tc>
        <w:tc>
          <w:tcPr>
            <w:tcW w:w="2064" w:type="dxa"/>
            <w:tcBorders>
              <w:top w:val="single" w:color="000000" w:sz="4" w:space="0"/>
              <w:left w:val="single" w:color="000000" w:sz="4" w:space="0"/>
              <w:bottom w:val="single" w:color="000000" w:sz="4" w:space="0"/>
              <w:right w:val="single" w:color="000000" w:sz="4" w:space="0"/>
            </w:tcBorders>
          </w:tcPr>
          <w:p w14:paraId="7685B6F2">
            <w:pPr>
              <w:rPr>
                <w:rFonts w:cs="Times New Roman"/>
                <w:bCs/>
                <w:szCs w:val="21"/>
              </w:rPr>
            </w:pPr>
            <w:r>
              <w:rPr>
                <w:rFonts w:cs="Times New Roman"/>
                <w:bCs/>
                <w:szCs w:val="21"/>
              </w:rPr>
              <w:t>近1个月，您用药物催眠的情况：</w:t>
            </w:r>
          </w:p>
        </w:tc>
        <w:tc>
          <w:tcPr>
            <w:tcW w:w="7490" w:type="dxa"/>
            <w:tcBorders>
              <w:top w:val="single" w:color="000000" w:sz="4" w:space="0"/>
              <w:left w:val="single" w:color="000000" w:sz="4" w:space="0"/>
              <w:bottom w:val="single" w:color="000000" w:sz="4" w:space="0"/>
              <w:right w:val="single" w:color="000000" w:sz="4" w:space="0"/>
            </w:tcBorders>
          </w:tcPr>
          <w:p w14:paraId="02C85CE0">
            <w:pPr>
              <w:rPr>
                <w:rFonts w:cs="Times New Roman"/>
                <w:bCs/>
                <w:szCs w:val="21"/>
              </w:rPr>
            </w:pPr>
            <w:r>
              <w:rPr>
                <w:rFonts w:cs="Times New Roman"/>
                <w:bCs/>
                <w:szCs w:val="21"/>
              </w:rPr>
              <w:t>□无                □&lt;1次/周           □1～2次/周         □≥3次/周</w:t>
            </w:r>
          </w:p>
        </w:tc>
      </w:tr>
      <w:tr w14:paraId="606C5B21">
        <w:tblPrEx>
          <w:tblCellMar>
            <w:top w:w="0" w:type="dxa"/>
            <w:left w:w="108" w:type="dxa"/>
            <w:bottom w:w="0" w:type="dxa"/>
            <w:right w:w="108" w:type="dxa"/>
          </w:tblCellMar>
        </w:tblPrEx>
        <w:trPr>
          <w:trHeight w:val="400" w:hRule="atLeast"/>
          <w:jc w:val="center"/>
        </w:trPr>
        <w:tc>
          <w:tcPr>
            <w:tcW w:w="528" w:type="dxa"/>
            <w:tcBorders>
              <w:top w:val="single" w:color="000000" w:sz="4" w:space="0"/>
              <w:left w:val="single" w:color="000000" w:sz="4" w:space="0"/>
              <w:bottom w:val="single" w:color="000000" w:sz="4" w:space="0"/>
              <w:right w:val="single" w:color="000000" w:sz="4" w:space="0"/>
            </w:tcBorders>
          </w:tcPr>
          <w:p w14:paraId="18BDA7F5">
            <w:pPr>
              <w:rPr>
                <w:rFonts w:cs="Times New Roman"/>
                <w:bCs/>
                <w:szCs w:val="21"/>
              </w:rPr>
            </w:pPr>
            <w:r>
              <w:rPr>
                <w:rFonts w:cs="Times New Roman"/>
                <w:bCs/>
                <w:szCs w:val="21"/>
              </w:rPr>
              <w:t xml:space="preserve">8 </w:t>
            </w:r>
          </w:p>
        </w:tc>
        <w:tc>
          <w:tcPr>
            <w:tcW w:w="2064" w:type="dxa"/>
            <w:tcBorders>
              <w:top w:val="single" w:color="000000" w:sz="4" w:space="0"/>
              <w:left w:val="single" w:color="000000" w:sz="4" w:space="0"/>
              <w:bottom w:val="single" w:color="000000" w:sz="4" w:space="0"/>
              <w:right w:val="single" w:color="000000" w:sz="4" w:space="0"/>
            </w:tcBorders>
          </w:tcPr>
          <w:p w14:paraId="3EE128E3">
            <w:pPr>
              <w:rPr>
                <w:rFonts w:cs="Times New Roman"/>
                <w:bCs/>
                <w:szCs w:val="21"/>
              </w:rPr>
            </w:pPr>
            <w:r>
              <w:rPr>
                <w:rFonts w:cs="Times New Roman"/>
                <w:bCs/>
                <w:szCs w:val="21"/>
              </w:rPr>
              <w:t>近1个月，您常感到困倦吗？</w:t>
            </w:r>
          </w:p>
        </w:tc>
        <w:tc>
          <w:tcPr>
            <w:tcW w:w="7490" w:type="dxa"/>
            <w:tcBorders>
              <w:top w:val="single" w:color="000000" w:sz="4" w:space="0"/>
              <w:left w:val="single" w:color="000000" w:sz="4" w:space="0"/>
              <w:bottom w:val="single" w:color="000000" w:sz="4" w:space="0"/>
              <w:right w:val="single" w:color="000000" w:sz="4" w:space="0"/>
            </w:tcBorders>
          </w:tcPr>
          <w:p w14:paraId="5EEA5FDC">
            <w:pPr>
              <w:rPr>
                <w:rFonts w:cs="Times New Roman"/>
                <w:bCs/>
                <w:szCs w:val="21"/>
              </w:rPr>
            </w:pPr>
            <w:r>
              <w:rPr>
                <w:rFonts w:cs="Times New Roman"/>
                <w:bCs/>
                <w:szCs w:val="21"/>
              </w:rPr>
              <w:t>□无                □&lt;1次/周           □1～2次/周         □≥3次/周</w:t>
            </w:r>
          </w:p>
        </w:tc>
      </w:tr>
      <w:tr w14:paraId="64277943">
        <w:tblPrEx>
          <w:tblCellMar>
            <w:top w:w="0" w:type="dxa"/>
            <w:left w:w="108" w:type="dxa"/>
            <w:bottom w:w="0" w:type="dxa"/>
            <w:right w:w="108" w:type="dxa"/>
          </w:tblCellMar>
        </w:tblPrEx>
        <w:trPr>
          <w:trHeight w:val="312" w:hRule="atLeast"/>
          <w:jc w:val="center"/>
        </w:trPr>
        <w:tc>
          <w:tcPr>
            <w:tcW w:w="528" w:type="dxa"/>
            <w:vMerge w:val="restart"/>
            <w:tcBorders>
              <w:top w:val="single" w:color="000000" w:sz="4" w:space="0"/>
              <w:left w:val="single" w:color="000000" w:sz="4" w:space="0"/>
              <w:bottom w:val="single" w:color="000000" w:sz="4" w:space="0"/>
              <w:right w:val="single" w:color="000000" w:sz="4" w:space="0"/>
            </w:tcBorders>
          </w:tcPr>
          <w:p w14:paraId="37F0E385">
            <w:pPr>
              <w:rPr>
                <w:rFonts w:cs="Times New Roman"/>
                <w:bCs/>
                <w:szCs w:val="21"/>
              </w:rPr>
            </w:pPr>
            <w:r>
              <w:rPr>
                <w:rFonts w:cs="Times New Roman"/>
                <w:bCs/>
                <w:szCs w:val="21"/>
              </w:rPr>
              <w:t xml:space="preserve">9 </w:t>
            </w:r>
          </w:p>
        </w:tc>
        <w:tc>
          <w:tcPr>
            <w:tcW w:w="2064" w:type="dxa"/>
            <w:vMerge w:val="restart"/>
            <w:tcBorders>
              <w:top w:val="single" w:color="000000" w:sz="4" w:space="0"/>
              <w:left w:val="single" w:color="000000" w:sz="4" w:space="0"/>
              <w:bottom w:val="single" w:color="000000" w:sz="4" w:space="0"/>
              <w:right w:val="single" w:color="000000" w:sz="4" w:space="0"/>
            </w:tcBorders>
            <w:vAlign w:val="center"/>
          </w:tcPr>
          <w:p w14:paraId="2F5539B0">
            <w:pPr>
              <w:rPr>
                <w:rFonts w:cs="Times New Roman"/>
                <w:bCs/>
                <w:szCs w:val="21"/>
              </w:rPr>
            </w:pPr>
            <w:r>
              <w:rPr>
                <w:rFonts w:cs="Times New Roman"/>
                <w:bCs/>
                <w:szCs w:val="21"/>
              </w:rPr>
              <w:t>近1个月您做事情的精力不足吗？</w:t>
            </w:r>
          </w:p>
        </w:tc>
        <w:tc>
          <w:tcPr>
            <w:tcW w:w="7490" w:type="dxa"/>
            <w:vMerge w:val="restart"/>
            <w:tcBorders>
              <w:top w:val="single" w:color="000000" w:sz="4" w:space="0"/>
              <w:left w:val="single" w:color="000000" w:sz="4" w:space="0"/>
              <w:bottom w:val="single" w:color="000000" w:sz="4" w:space="0"/>
              <w:right w:val="single" w:color="000000" w:sz="4" w:space="0"/>
            </w:tcBorders>
            <w:vAlign w:val="center"/>
          </w:tcPr>
          <w:p w14:paraId="7392DCA4">
            <w:pPr>
              <w:rPr>
                <w:rFonts w:cs="Times New Roman"/>
                <w:bCs/>
                <w:szCs w:val="21"/>
              </w:rPr>
            </w:pPr>
            <w:r>
              <w:rPr>
                <w:rFonts w:cs="Times New Roman"/>
                <w:bCs/>
                <w:szCs w:val="21"/>
              </w:rPr>
              <w:t>口没有              口偶尔有            口有时有            口经常有</w:t>
            </w:r>
          </w:p>
        </w:tc>
      </w:tr>
      <w:tr w14:paraId="2553E7E1">
        <w:tblPrEx>
          <w:tblCellMar>
            <w:top w:w="0" w:type="dxa"/>
            <w:left w:w="108" w:type="dxa"/>
            <w:bottom w:w="0" w:type="dxa"/>
            <w:right w:w="108" w:type="dxa"/>
          </w:tblCellMar>
        </w:tblPrEx>
        <w:trPr>
          <w:trHeight w:val="312" w:hRule="atLeast"/>
          <w:jc w:val="center"/>
        </w:trPr>
        <w:tc>
          <w:tcPr>
            <w:tcW w:w="528" w:type="dxa"/>
            <w:vMerge w:val="continue"/>
            <w:tcBorders>
              <w:top w:val="single" w:color="000000" w:sz="4" w:space="0"/>
              <w:left w:val="single" w:color="000000" w:sz="4" w:space="0"/>
              <w:bottom w:val="single" w:color="000000" w:sz="4" w:space="0"/>
              <w:right w:val="single" w:color="000000" w:sz="4" w:space="0"/>
            </w:tcBorders>
          </w:tcPr>
          <w:p w14:paraId="5963D894">
            <w:pPr>
              <w:rPr>
                <w:rFonts w:cs="Times New Roman"/>
                <w:bCs/>
                <w:szCs w:val="21"/>
              </w:rPr>
            </w:pPr>
          </w:p>
        </w:tc>
        <w:tc>
          <w:tcPr>
            <w:tcW w:w="2064" w:type="dxa"/>
            <w:vMerge w:val="continue"/>
            <w:tcBorders>
              <w:top w:val="single" w:color="000000" w:sz="4" w:space="0"/>
              <w:left w:val="single" w:color="000000" w:sz="4" w:space="0"/>
              <w:bottom w:val="single" w:color="000000" w:sz="4" w:space="0"/>
              <w:right w:val="single" w:color="000000" w:sz="4" w:space="0"/>
            </w:tcBorders>
            <w:vAlign w:val="center"/>
          </w:tcPr>
          <w:p w14:paraId="66788C6A">
            <w:pPr>
              <w:rPr>
                <w:rFonts w:cs="Times New Roman"/>
                <w:bCs/>
                <w:szCs w:val="21"/>
              </w:rPr>
            </w:pPr>
          </w:p>
        </w:tc>
        <w:tc>
          <w:tcPr>
            <w:tcW w:w="7490" w:type="dxa"/>
            <w:vMerge w:val="continue"/>
            <w:tcBorders>
              <w:top w:val="single" w:color="000000" w:sz="4" w:space="0"/>
              <w:left w:val="single" w:color="000000" w:sz="4" w:space="0"/>
              <w:bottom w:val="single" w:color="000000" w:sz="4" w:space="0"/>
              <w:right w:val="single" w:color="000000" w:sz="4" w:space="0"/>
            </w:tcBorders>
            <w:vAlign w:val="center"/>
          </w:tcPr>
          <w:p w14:paraId="39AFB8DE">
            <w:pPr>
              <w:rPr>
                <w:rFonts w:cs="Times New Roman"/>
                <w:bCs/>
                <w:szCs w:val="21"/>
              </w:rPr>
            </w:pPr>
          </w:p>
        </w:tc>
      </w:tr>
    </w:tbl>
    <w:p w14:paraId="7A5BB556">
      <w:pPr>
        <w:rPr>
          <w:rFonts w:hint="eastAsia"/>
          <w:b/>
          <w:sz w:val="22"/>
        </w:rPr>
      </w:pPr>
    </w:p>
    <w:p w14:paraId="2B489C81">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6 Duke活动状态指数问卷（Duke Activity Status Index, DASI）</w:t>
      </w:r>
    </w:p>
    <w:p w14:paraId="1BA8C8DF">
      <w:pPr>
        <w:rPr>
          <w:b/>
          <w:szCs w:val="21"/>
        </w:rPr>
      </w:pPr>
    </w:p>
    <w:tbl>
      <w:tblPr>
        <w:tblStyle w:val="17"/>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6335"/>
        <w:gridCol w:w="1603"/>
        <w:gridCol w:w="1418"/>
      </w:tblGrid>
      <w:tr w14:paraId="0490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vAlign w:val="center"/>
          </w:tcPr>
          <w:p w14:paraId="352EDBD8">
            <w:pPr>
              <w:rPr>
                <w:rFonts w:cs="Times New Roman"/>
                <w:kern w:val="0"/>
                <w:sz w:val="18"/>
                <w:szCs w:val="18"/>
              </w:rPr>
            </w:pPr>
            <w:r>
              <w:rPr>
                <w:rFonts w:cs="Times New Roman"/>
                <w:kern w:val="0"/>
                <w:sz w:val="18"/>
                <w:szCs w:val="18"/>
              </w:rPr>
              <w:t>序</w:t>
            </w:r>
            <w:r>
              <w:rPr>
                <w:rFonts w:hint="eastAsia" w:cs="Times New Roman"/>
                <w:kern w:val="0"/>
                <w:sz w:val="18"/>
                <w:szCs w:val="18"/>
              </w:rPr>
              <w:t xml:space="preserve"> </w:t>
            </w:r>
            <w:r>
              <w:rPr>
                <w:rFonts w:cs="Times New Roman"/>
                <w:kern w:val="0"/>
                <w:sz w:val="18"/>
                <w:szCs w:val="18"/>
              </w:rPr>
              <w:t>号</w:t>
            </w:r>
          </w:p>
        </w:tc>
        <w:tc>
          <w:tcPr>
            <w:tcW w:w="6335" w:type="dxa"/>
            <w:vAlign w:val="center"/>
          </w:tcPr>
          <w:p w14:paraId="61B4B639">
            <w:pPr>
              <w:rPr>
                <w:rFonts w:cs="Times New Roman"/>
                <w:kern w:val="0"/>
                <w:sz w:val="18"/>
                <w:szCs w:val="18"/>
              </w:rPr>
            </w:pPr>
            <w:r>
              <w:rPr>
                <w:rFonts w:cs="Times New Roman"/>
                <w:kern w:val="0"/>
                <w:sz w:val="18"/>
                <w:szCs w:val="18"/>
              </w:rPr>
              <w:t>内</w:t>
            </w:r>
            <w:r>
              <w:rPr>
                <w:rFonts w:hint="eastAsia" w:cs="Times New Roman"/>
                <w:kern w:val="0"/>
                <w:sz w:val="18"/>
                <w:szCs w:val="18"/>
              </w:rPr>
              <w:t xml:space="preserve"> </w:t>
            </w:r>
            <w:r>
              <w:rPr>
                <w:rFonts w:cs="Times New Roman"/>
                <w:kern w:val="0"/>
                <w:sz w:val="18"/>
                <w:szCs w:val="18"/>
              </w:rPr>
              <w:t>容</w:t>
            </w:r>
          </w:p>
        </w:tc>
        <w:tc>
          <w:tcPr>
            <w:tcW w:w="1603" w:type="dxa"/>
            <w:vAlign w:val="center"/>
          </w:tcPr>
          <w:p w14:paraId="6CBF90DB">
            <w:pPr>
              <w:jc w:val="center"/>
              <w:rPr>
                <w:rFonts w:cs="Times New Roman"/>
                <w:kern w:val="0"/>
                <w:sz w:val="18"/>
                <w:szCs w:val="18"/>
              </w:rPr>
            </w:pPr>
            <w:r>
              <w:rPr>
                <w:rFonts w:cs="Times New Roman"/>
                <w:kern w:val="0"/>
                <w:sz w:val="18"/>
                <w:szCs w:val="18"/>
              </w:rPr>
              <w:t>是</w:t>
            </w:r>
          </w:p>
        </w:tc>
        <w:tc>
          <w:tcPr>
            <w:tcW w:w="1418" w:type="dxa"/>
            <w:vAlign w:val="center"/>
          </w:tcPr>
          <w:p w14:paraId="0C250DD5">
            <w:pPr>
              <w:jc w:val="center"/>
              <w:rPr>
                <w:rFonts w:cs="Times New Roman"/>
                <w:kern w:val="0"/>
                <w:sz w:val="18"/>
                <w:szCs w:val="18"/>
              </w:rPr>
            </w:pPr>
            <w:r>
              <w:rPr>
                <w:rFonts w:cs="Times New Roman"/>
                <w:kern w:val="0"/>
                <w:sz w:val="18"/>
                <w:szCs w:val="18"/>
              </w:rPr>
              <w:t>否</w:t>
            </w:r>
          </w:p>
        </w:tc>
      </w:tr>
      <w:tr w14:paraId="5A07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333EDEEF">
            <w:pPr>
              <w:rPr>
                <w:rFonts w:cs="Times New Roman"/>
                <w:kern w:val="0"/>
                <w:sz w:val="18"/>
                <w:szCs w:val="18"/>
              </w:rPr>
            </w:pPr>
            <w:r>
              <w:rPr>
                <w:rFonts w:cs="Times New Roman"/>
                <w:kern w:val="0"/>
                <w:sz w:val="18"/>
                <w:szCs w:val="18"/>
              </w:rPr>
              <w:t>1</w:t>
            </w:r>
          </w:p>
        </w:tc>
        <w:tc>
          <w:tcPr>
            <w:tcW w:w="6335" w:type="dxa"/>
            <w:vAlign w:val="center"/>
          </w:tcPr>
          <w:p w14:paraId="0DFB505E">
            <w:pPr>
              <w:rPr>
                <w:rFonts w:cs="Times New Roman"/>
                <w:kern w:val="0"/>
                <w:sz w:val="18"/>
                <w:szCs w:val="18"/>
              </w:rPr>
            </w:pPr>
            <w:r>
              <w:rPr>
                <w:rFonts w:cs="Times New Roman"/>
                <w:kern w:val="0"/>
                <w:sz w:val="18"/>
                <w:szCs w:val="18"/>
              </w:rPr>
              <w:t>照顾好自己（例如吃饭，穿衣，洗澡，上厕所）</w:t>
            </w:r>
          </w:p>
        </w:tc>
        <w:tc>
          <w:tcPr>
            <w:tcW w:w="1603" w:type="dxa"/>
            <w:vAlign w:val="center"/>
          </w:tcPr>
          <w:p w14:paraId="7D46DBF2">
            <w:pPr>
              <w:jc w:val="center"/>
              <w:rPr>
                <w:rFonts w:cs="Times New Roman"/>
                <w:kern w:val="0"/>
                <w:sz w:val="18"/>
                <w:szCs w:val="18"/>
              </w:rPr>
            </w:pPr>
            <w:r>
              <w:rPr>
                <w:rFonts w:cs="Times New Roman"/>
                <w:kern w:val="0"/>
                <w:sz w:val="18"/>
                <w:szCs w:val="18"/>
              </w:rPr>
              <w:t>+2.75</w:t>
            </w:r>
          </w:p>
        </w:tc>
        <w:tc>
          <w:tcPr>
            <w:tcW w:w="1418" w:type="dxa"/>
            <w:vAlign w:val="center"/>
          </w:tcPr>
          <w:p w14:paraId="2270BCCA">
            <w:pPr>
              <w:jc w:val="center"/>
              <w:rPr>
                <w:rFonts w:cs="Times New Roman"/>
                <w:kern w:val="0"/>
                <w:sz w:val="18"/>
                <w:szCs w:val="18"/>
              </w:rPr>
            </w:pPr>
            <w:r>
              <w:rPr>
                <w:rFonts w:cs="Times New Roman"/>
                <w:kern w:val="0"/>
                <w:sz w:val="18"/>
                <w:szCs w:val="18"/>
              </w:rPr>
              <w:t>0</w:t>
            </w:r>
          </w:p>
        </w:tc>
      </w:tr>
      <w:tr w14:paraId="4D34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67B511E1">
            <w:pPr>
              <w:rPr>
                <w:rFonts w:cs="Times New Roman"/>
                <w:kern w:val="0"/>
                <w:sz w:val="18"/>
                <w:szCs w:val="18"/>
              </w:rPr>
            </w:pPr>
            <w:r>
              <w:rPr>
                <w:rFonts w:cs="Times New Roman"/>
                <w:kern w:val="0"/>
                <w:sz w:val="18"/>
                <w:szCs w:val="18"/>
              </w:rPr>
              <w:t>2</w:t>
            </w:r>
          </w:p>
        </w:tc>
        <w:tc>
          <w:tcPr>
            <w:tcW w:w="6335" w:type="dxa"/>
            <w:vAlign w:val="center"/>
          </w:tcPr>
          <w:p w14:paraId="287BD8A7">
            <w:pPr>
              <w:rPr>
                <w:rFonts w:cs="Times New Roman"/>
                <w:kern w:val="0"/>
                <w:sz w:val="18"/>
                <w:szCs w:val="18"/>
              </w:rPr>
            </w:pPr>
            <w:r>
              <w:rPr>
                <w:rFonts w:cs="Times New Roman"/>
                <w:kern w:val="0"/>
                <w:sz w:val="18"/>
                <w:szCs w:val="18"/>
              </w:rPr>
              <w:t>室内步行</w:t>
            </w:r>
          </w:p>
        </w:tc>
        <w:tc>
          <w:tcPr>
            <w:tcW w:w="1603" w:type="dxa"/>
            <w:vAlign w:val="center"/>
          </w:tcPr>
          <w:p w14:paraId="3233586F">
            <w:pPr>
              <w:jc w:val="center"/>
              <w:rPr>
                <w:rFonts w:cs="Times New Roman"/>
                <w:kern w:val="0"/>
                <w:sz w:val="18"/>
                <w:szCs w:val="18"/>
              </w:rPr>
            </w:pPr>
            <w:r>
              <w:rPr>
                <w:rFonts w:cs="Times New Roman"/>
                <w:kern w:val="0"/>
                <w:sz w:val="18"/>
                <w:szCs w:val="18"/>
              </w:rPr>
              <w:t>+1.75</w:t>
            </w:r>
          </w:p>
        </w:tc>
        <w:tc>
          <w:tcPr>
            <w:tcW w:w="1418" w:type="dxa"/>
            <w:vAlign w:val="center"/>
          </w:tcPr>
          <w:p w14:paraId="76D46506">
            <w:pPr>
              <w:jc w:val="center"/>
              <w:rPr>
                <w:rFonts w:cs="Times New Roman"/>
                <w:kern w:val="0"/>
                <w:sz w:val="18"/>
                <w:szCs w:val="18"/>
              </w:rPr>
            </w:pPr>
            <w:r>
              <w:rPr>
                <w:rFonts w:cs="Times New Roman"/>
                <w:kern w:val="0"/>
                <w:sz w:val="18"/>
                <w:szCs w:val="18"/>
              </w:rPr>
              <w:t>0</w:t>
            </w:r>
          </w:p>
        </w:tc>
      </w:tr>
      <w:tr w14:paraId="74F3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762D35EF">
            <w:pPr>
              <w:rPr>
                <w:rFonts w:cs="Times New Roman"/>
                <w:kern w:val="0"/>
                <w:sz w:val="18"/>
                <w:szCs w:val="18"/>
              </w:rPr>
            </w:pPr>
            <w:r>
              <w:rPr>
                <w:rFonts w:cs="Times New Roman"/>
                <w:kern w:val="0"/>
                <w:sz w:val="18"/>
                <w:szCs w:val="18"/>
              </w:rPr>
              <w:t>3</w:t>
            </w:r>
          </w:p>
        </w:tc>
        <w:tc>
          <w:tcPr>
            <w:tcW w:w="6335" w:type="dxa"/>
            <w:vAlign w:val="center"/>
          </w:tcPr>
          <w:p w14:paraId="3F7B0776">
            <w:pPr>
              <w:rPr>
                <w:rFonts w:cs="Times New Roman"/>
                <w:kern w:val="0"/>
                <w:sz w:val="18"/>
                <w:szCs w:val="18"/>
              </w:rPr>
            </w:pPr>
            <w:r>
              <w:rPr>
                <w:rFonts w:cs="Times New Roman"/>
                <w:kern w:val="0"/>
                <w:sz w:val="18"/>
                <w:szCs w:val="18"/>
              </w:rPr>
              <w:t>在平地上步行1—2个街区</w:t>
            </w:r>
          </w:p>
        </w:tc>
        <w:tc>
          <w:tcPr>
            <w:tcW w:w="1603" w:type="dxa"/>
            <w:vAlign w:val="center"/>
          </w:tcPr>
          <w:p w14:paraId="6DDA1A99">
            <w:pPr>
              <w:jc w:val="center"/>
              <w:rPr>
                <w:rFonts w:cs="Times New Roman"/>
                <w:kern w:val="0"/>
                <w:sz w:val="18"/>
                <w:szCs w:val="18"/>
              </w:rPr>
            </w:pPr>
            <w:r>
              <w:rPr>
                <w:rFonts w:cs="Times New Roman"/>
                <w:kern w:val="0"/>
                <w:sz w:val="18"/>
                <w:szCs w:val="18"/>
              </w:rPr>
              <w:t>+2.75</w:t>
            </w:r>
          </w:p>
        </w:tc>
        <w:tc>
          <w:tcPr>
            <w:tcW w:w="1418" w:type="dxa"/>
            <w:vAlign w:val="center"/>
          </w:tcPr>
          <w:p w14:paraId="633B4C87">
            <w:pPr>
              <w:jc w:val="center"/>
              <w:rPr>
                <w:rFonts w:cs="Times New Roman"/>
                <w:kern w:val="0"/>
                <w:sz w:val="18"/>
                <w:szCs w:val="18"/>
              </w:rPr>
            </w:pPr>
            <w:r>
              <w:rPr>
                <w:rFonts w:cs="Times New Roman"/>
                <w:kern w:val="0"/>
                <w:sz w:val="18"/>
                <w:szCs w:val="18"/>
              </w:rPr>
              <w:t>0</w:t>
            </w:r>
          </w:p>
        </w:tc>
      </w:tr>
      <w:tr w14:paraId="116F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44769888">
            <w:pPr>
              <w:rPr>
                <w:rFonts w:cs="Times New Roman"/>
                <w:kern w:val="0"/>
                <w:sz w:val="18"/>
                <w:szCs w:val="18"/>
              </w:rPr>
            </w:pPr>
            <w:r>
              <w:rPr>
                <w:rFonts w:cs="Times New Roman"/>
                <w:kern w:val="0"/>
                <w:sz w:val="18"/>
                <w:szCs w:val="18"/>
              </w:rPr>
              <w:t>4</w:t>
            </w:r>
          </w:p>
        </w:tc>
        <w:tc>
          <w:tcPr>
            <w:tcW w:w="6335" w:type="dxa"/>
            <w:vAlign w:val="center"/>
          </w:tcPr>
          <w:p w14:paraId="14C67259">
            <w:pPr>
              <w:rPr>
                <w:rFonts w:cs="Times New Roman"/>
                <w:kern w:val="0"/>
                <w:sz w:val="18"/>
                <w:szCs w:val="18"/>
              </w:rPr>
            </w:pPr>
            <w:r>
              <w:rPr>
                <w:rFonts w:cs="Times New Roman"/>
                <w:kern w:val="0"/>
                <w:sz w:val="18"/>
                <w:szCs w:val="18"/>
              </w:rPr>
              <w:t>爬上一段楼梯或走上一座小山</w:t>
            </w:r>
          </w:p>
        </w:tc>
        <w:tc>
          <w:tcPr>
            <w:tcW w:w="1603" w:type="dxa"/>
            <w:vAlign w:val="center"/>
          </w:tcPr>
          <w:p w14:paraId="1C1D8B1D">
            <w:pPr>
              <w:jc w:val="center"/>
              <w:rPr>
                <w:rFonts w:cs="Times New Roman"/>
                <w:kern w:val="0"/>
                <w:sz w:val="18"/>
                <w:szCs w:val="18"/>
              </w:rPr>
            </w:pPr>
            <w:r>
              <w:rPr>
                <w:rFonts w:cs="Times New Roman"/>
                <w:kern w:val="0"/>
                <w:sz w:val="18"/>
                <w:szCs w:val="18"/>
              </w:rPr>
              <w:t>+5.5</w:t>
            </w:r>
          </w:p>
        </w:tc>
        <w:tc>
          <w:tcPr>
            <w:tcW w:w="1418" w:type="dxa"/>
            <w:vAlign w:val="center"/>
          </w:tcPr>
          <w:p w14:paraId="346E95A7">
            <w:pPr>
              <w:jc w:val="center"/>
              <w:rPr>
                <w:rFonts w:cs="Times New Roman"/>
                <w:kern w:val="0"/>
                <w:sz w:val="18"/>
                <w:szCs w:val="18"/>
              </w:rPr>
            </w:pPr>
            <w:r>
              <w:rPr>
                <w:rFonts w:cs="Times New Roman"/>
                <w:kern w:val="0"/>
                <w:sz w:val="18"/>
                <w:szCs w:val="18"/>
              </w:rPr>
              <w:t>0</w:t>
            </w:r>
          </w:p>
        </w:tc>
      </w:tr>
      <w:tr w14:paraId="7DA2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0E8CA5B5">
            <w:pPr>
              <w:rPr>
                <w:rFonts w:cs="Times New Roman"/>
                <w:kern w:val="0"/>
                <w:sz w:val="18"/>
                <w:szCs w:val="18"/>
              </w:rPr>
            </w:pPr>
            <w:r>
              <w:rPr>
                <w:rFonts w:cs="Times New Roman"/>
                <w:kern w:val="0"/>
                <w:sz w:val="18"/>
                <w:szCs w:val="18"/>
              </w:rPr>
              <w:t>5</w:t>
            </w:r>
          </w:p>
        </w:tc>
        <w:tc>
          <w:tcPr>
            <w:tcW w:w="6335" w:type="dxa"/>
            <w:vAlign w:val="center"/>
          </w:tcPr>
          <w:p w14:paraId="44BDC774">
            <w:pPr>
              <w:rPr>
                <w:rFonts w:cs="Times New Roman"/>
                <w:kern w:val="0"/>
                <w:sz w:val="18"/>
                <w:szCs w:val="18"/>
              </w:rPr>
            </w:pPr>
            <w:r>
              <w:rPr>
                <w:rFonts w:cs="Times New Roman"/>
                <w:kern w:val="0"/>
                <w:sz w:val="18"/>
                <w:szCs w:val="18"/>
              </w:rPr>
              <w:t>跑一小段路</w:t>
            </w:r>
          </w:p>
        </w:tc>
        <w:tc>
          <w:tcPr>
            <w:tcW w:w="1603" w:type="dxa"/>
            <w:vAlign w:val="center"/>
          </w:tcPr>
          <w:p w14:paraId="3F99778B">
            <w:pPr>
              <w:jc w:val="center"/>
              <w:rPr>
                <w:rFonts w:cs="Times New Roman"/>
                <w:kern w:val="0"/>
                <w:sz w:val="18"/>
                <w:szCs w:val="18"/>
              </w:rPr>
            </w:pPr>
            <w:r>
              <w:rPr>
                <w:rFonts w:cs="Times New Roman"/>
                <w:kern w:val="0"/>
                <w:sz w:val="18"/>
                <w:szCs w:val="18"/>
              </w:rPr>
              <w:t>+8.0</w:t>
            </w:r>
          </w:p>
        </w:tc>
        <w:tc>
          <w:tcPr>
            <w:tcW w:w="1418" w:type="dxa"/>
            <w:vAlign w:val="center"/>
          </w:tcPr>
          <w:p w14:paraId="7D8BF77E">
            <w:pPr>
              <w:jc w:val="center"/>
              <w:rPr>
                <w:rFonts w:cs="Times New Roman"/>
                <w:kern w:val="0"/>
                <w:sz w:val="18"/>
                <w:szCs w:val="18"/>
              </w:rPr>
            </w:pPr>
            <w:r>
              <w:rPr>
                <w:rFonts w:cs="Times New Roman"/>
                <w:kern w:val="0"/>
                <w:sz w:val="18"/>
                <w:szCs w:val="18"/>
              </w:rPr>
              <w:t>0</w:t>
            </w:r>
          </w:p>
        </w:tc>
      </w:tr>
      <w:tr w14:paraId="45FF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63196CCE">
            <w:pPr>
              <w:rPr>
                <w:rFonts w:cs="Times New Roman"/>
                <w:kern w:val="0"/>
                <w:sz w:val="18"/>
                <w:szCs w:val="18"/>
              </w:rPr>
            </w:pPr>
            <w:r>
              <w:rPr>
                <w:rFonts w:cs="Times New Roman"/>
                <w:kern w:val="0"/>
                <w:sz w:val="18"/>
                <w:szCs w:val="18"/>
              </w:rPr>
              <w:t>6</w:t>
            </w:r>
          </w:p>
        </w:tc>
        <w:tc>
          <w:tcPr>
            <w:tcW w:w="6335" w:type="dxa"/>
            <w:vAlign w:val="center"/>
          </w:tcPr>
          <w:p w14:paraId="6170108C">
            <w:pPr>
              <w:rPr>
                <w:rFonts w:cs="Times New Roman"/>
                <w:kern w:val="0"/>
                <w:sz w:val="18"/>
                <w:szCs w:val="18"/>
              </w:rPr>
            </w:pPr>
            <w:r>
              <w:rPr>
                <w:rFonts w:cs="Times New Roman"/>
                <w:kern w:val="0"/>
                <w:sz w:val="18"/>
                <w:szCs w:val="18"/>
              </w:rPr>
              <w:t>做轻度家务（例如除尘，洗碗）</w:t>
            </w:r>
          </w:p>
        </w:tc>
        <w:tc>
          <w:tcPr>
            <w:tcW w:w="1603" w:type="dxa"/>
            <w:vAlign w:val="center"/>
          </w:tcPr>
          <w:p w14:paraId="2337B26A">
            <w:pPr>
              <w:jc w:val="center"/>
              <w:rPr>
                <w:rFonts w:cs="Times New Roman"/>
                <w:kern w:val="0"/>
                <w:sz w:val="18"/>
                <w:szCs w:val="18"/>
              </w:rPr>
            </w:pPr>
            <w:r>
              <w:rPr>
                <w:rFonts w:cs="Times New Roman"/>
                <w:kern w:val="0"/>
                <w:sz w:val="18"/>
                <w:szCs w:val="18"/>
              </w:rPr>
              <w:t>+2.7</w:t>
            </w:r>
          </w:p>
        </w:tc>
        <w:tc>
          <w:tcPr>
            <w:tcW w:w="1418" w:type="dxa"/>
            <w:vAlign w:val="center"/>
          </w:tcPr>
          <w:p w14:paraId="2AC44109">
            <w:pPr>
              <w:jc w:val="center"/>
              <w:rPr>
                <w:rFonts w:cs="Times New Roman"/>
                <w:kern w:val="0"/>
                <w:sz w:val="18"/>
                <w:szCs w:val="18"/>
              </w:rPr>
            </w:pPr>
            <w:r>
              <w:rPr>
                <w:rFonts w:cs="Times New Roman"/>
                <w:kern w:val="0"/>
                <w:sz w:val="18"/>
                <w:szCs w:val="18"/>
              </w:rPr>
              <w:t>0</w:t>
            </w:r>
          </w:p>
        </w:tc>
      </w:tr>
      <w:tr w14:paraId="7295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7E05A033">
            <w:pPr>
              <w:rPr>
                <w:rFonts w:cs="Times New Roman"/>
                <w:kern w:val="0"/>
                <w:sz w:val="18"/>
                <w:szCs w:val="18"/>
              </w:rPr>
            </w:pPr>
            <w:r>
              <w:rPr>
                <w:rFonts w:cs="Times New Roman"/>
                <w:kern w:val="0"/>
                <w:sz w:val="18"/>
                <w:szCs w:val="18"/>
              </w:rPr>
              <w:t>7</w:t>
            </w:r>
          </w:p>
        </w:tc>
        <w:tc>
          <w:tcPr>
            <w:tcW w:w="6335" w:type="dxa"/>
            <w:vAlign w:val="center"/>
          </w:tcPr>
          <w:p w14:paraId="38DFBE5D">
            <w:pPr>
              <w:rPr>
                <w:rFonts w:cs="Times New Roman"/>
                <w:kern w:val="0"/>
                <w:sz w:val="18"/>
                <w:szCs w:val="18"/>
              </w:rPr>
            </w:pPr>
            <w:r>
              <w:rPr>
                <w:rFonts w:cs="Times New Roman"/>
                <w:kern w:val="0"/>
                <w:sz w:val="18"/>
                <w:szCs w:val="18"/>
              </w:rPr>
              <w:t>做中等强度的家务（例如吸尘，清扫地板，携带杂货）</w:t>
            </w:r>
          </w:p>
        </w:tc>
        <w:tc>
          <w:tcPr>
            <w:tcW w:w="1603" w:type="dxa"/>
            <w:vAlign w:val="center"/>
          </w:tcPr>
          <w:p w14:paraId="7A96B6BF">
            <w:pPr>
              <w:jc w:val="center"/>
              <w:rPr>
                <w:rFonts w:cs="Times New Roman"/>
                <w:kern w:val="0"/>
                <w:sz w:val="18"/>
                <w:szCs w:val="18"/>
              </w:rPr>
            </w:pPr>
            <w:r>
              <w:rPr>
                <w:rFonts w:cs="Times New Roman"/>
                <w:kern w:val="0"/>
                <w:sz w:val="18"/>
                <w:szCs w:val="18"/>
              </w:rPr>
              <w:t>+3.5</w:t>
            </w:r>
          </w:p>
        </w:tc>
        <w:tc>
          <w:tcPr>
            <w:tcW w:w="1418" w:type="dxa"/>
            <w:vAlign w:val="center"/>
          </w:tcPr>
          <w:p w14:paraId="02EDA9BD">
            <w:pPr>
              <w:jc w:val="center"/>
              <w:rPr>
                <w:rFonts w:cs="Times New Roman"/>
                <w:kern w:val="0"/>
                <w:sz w:val="18"/>
                <w:szCs w:val="18"/>
              </w:rPr>
            </w:pPr>
            <w:r>
              <w:rPr>
                <w:rFonts w:cs="Times New Roman"/>
                <w:kern w:val="0"/>
                <w:sz w:val="18"/>
                <w:szCs w:val="18"/>
              </w:rPr>
              <w:t>0</w:t>
            </w:r>
          </w:p>
        </w:tc>
      </w:tr>
      <w:tr w14:paraId="12AA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67420626">
            <w:pPr>
              <w:rPr>
                <w:rFonts w:cs="Times New Roman"/>
                <w:kern w:val="0"/>
                <w:sz w:val="18"/>
                <w:szCs w:val="18"/>
              </w:rPr>
            </w:pPr>
            <w:r>
              <w:rPr>
                <w:rFonts w:cs="Times New Roman"/>
                <w:kern w:val="0"/>
                <w:sz w:val="18"/>
                <w:szCs w:val="18"/>
              </w:rPr>
              <w:t>8</w:t>
            </w:r>
          </w:p>
        </w:tc>
        <w:tc>
          <w:tcPr>
            <w:tcW w:w="6335" w:type="dxa"/>
            <w:vAlign w:val="center"/>
          </w:tcPr>
          <w:p w14:paraId="6AF2CCAC">
            <w:pPr>
              <w:rPr>
                <w:rFonts w:cs="Times New Roman"/>
                <w:kern w:val="0"/>
                <w:sz w:val="18"/>
                <w:szCs w:val="18"/>
              </w:rPr>
            </w:pPr>
            <w:r>
              <w:rPr>
                <w:rFonts w:cs="Times New Roman"/>
                <w:kern w:val="0"/>
                <w:sz w:val="18"/>
                <w:szCs w:val="18"/>
              </w:rPr>
              <w:t>做繁重的家务（例如擦洗地板，举起或搬运重型家具）</w:t>
            </w:r>
          </w:p>
        </w:tc>
        <w:tc>
          <w:tcPr>
            <w:tcW w:w="1603" w:type="dxa"/>
            <w:vAlign w:val="center"/>
          </w:tcPr>
          <w:p w14:paraId="7FA2DFC3">
            <w:pPr>
              <w:jc w:val="center"/>
              <w:rPr>
                <w:rFonts w:cs="Times New Roman"/>
                <w:kern w:val="0"/>
                <w:sz w:val="18"/>
                <w:szCs w:val="18"/>
              </w:rPr>
            </w:pPr>
            <w:r>
              <w:rPr>
                <w:rFonts w:cs="Times New Roman"/>
                <w:kern w:val="0"/>
                <w:sz w:val="18"/>
                <w:szCs w:val="18"/>
              </w:rPr>
              <w:t>+8.0</w:t>
            </w:r>
          </w:p>
        </w:tc>
        <w:tc>
          <w:tcPr>
            <w:tcW w:w="1418" w:type="dxa"/>
            <w:vAlign w:val="center"/>
          </w:tcPr>
          <w:p w14:paraId="266F30A8">
            <w:pPr>
              <w:jc w:val="center"/>
              <w:rPr>
                <w:rFonts w:cs="Times New Roman"/>
                <w:kern w:val="0"/>
                <w:sz w:val="18"/>
                <w:szCs w:val="18"/>
              </w:rPr>
            </w:pPr>
            <w:r>
              <w:rPr>
                <w:rFonts w:cs="Times New Roman"/>
                <w:kern w:val="0"/>
                <w:sz w:val="18"/>
                <w:szCs w:val="18"/>
              </w:rPr>
              <w:t>0</w:t>
            </w:r>
          </w:p>
        </w:tc>
      </w:tr>
      <w:tr w14:paraId="7744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2BE7D101">
            <w:pPr>
              <w:rPr>
                <w:rFonts w:cs="Times New Roman"/>
                <w:kern w:val="0"/>
                <w:sz w:val="18"/>
                <w:szCs w:val="18"/>
              </w:rPr>
            </w:pPr>
            <w:r>
              <w:rPr>
                <w:rFonts w:cs="Times New Roman"/>
                <w:kern w:val="0"/>
                <w:sz w:val="18"/>
                <w:szCs w:val="18"/>
              </w:rPr>
              <w:t>9</w:t>
            </w:r>
          </w:p>
        </w:tc>
        <w:tc>
          <w:tcPr>
            <w:tcW w:w="6335" w:type="dxa"/>
            <w:vAlign w:val="center"/>
          </w:tcPr>
          <w:p w14:paraId="7749CAE2">
            <w:pPr>
              <w:rPr>
                <w:rFonts w:cs="Times New Roman"/>
                <w:kern w:val="0"/>
                <w:sz w:val="18"/>
                <w:szCs w:val="18"/>
              </w:rPr>
            </w:pPr>
            <w:r>
              <w:rPr>
                <w:rFonts w:cs="Times New Roman"/>
                <w:kern w:val="0"/>
                <w:sz w:val="18"/>
                <w:szCs w:val="18"/>
              </w:rPr>
              <w:t>做庭院劳动（例如耙树叶，除草，推动割草机）</w:t>
            </w:r>
          </w:p>
        </w:tc>
        <w:tc>
          <w:tcPr>
            <w:tcW w:w="1603" w:type="dxa"/>
            <w:vAlign w:val="center"/>
          </w:tcPr>
          <w:p w14:paraId="64F930CB">
            <w:pPr>
              <w:jc w:val="center"/>
              <w:rPr>
                <w:rFonts w:cs="Times New Roman"/>
                <w:kern w:val="0"/>
                <w:sz w:val="18"/>
                <w:szCs w:val="18"/>
              </w:rPr>
            </w:pPr>
            <w:r>
              <w:rPr>
                <w:rFonts w:cs="Times New Roman"/>
                <w:kern w:val="0"/>
                <w:sz w:val="18"/>
                <w:szCs w:val="18"/>
              </w:rPr>
              <w:t>+4.5</w:t>
            </w:r>
          </w:p>
        </w:tc>
        <w:tc>
          <w:tcPr>
            <w:tcW w:w="1418" w:type="dxa"/>
            <w:vAlign w:val="center"/>
          </w:tcPr>
          <w:p w14:paraId="46D1BCC7">
            <w:pPr>
              <w:jc w:val="center"/>
              <w:rPr>
                <w:rFonts w:cs="Times New Roman"/>
                <w:kern w:val="0"/>
                <w:sz w:val="18"/>
                <w:szCs w:val="18"/>
              </w:rPr>
            </w:pPr>
            <w:r>
              <w:rPr>
                <w:rFonts w:cs="Times New Roman"/>
                <w:kern w:val="0"/>
                <w:sz w:val="18"/>
                <w:szCs w:val="18"/>
              </w:rPr>
              <w:t>0</w:t>
            </w:r>
          </w:p>
        </w:tc>
      </w:tr>
      <w:tr w14:paraId="03DA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06DD9328">
            <w:pPr>
              <w:rPr>
                <w:rFonts w:cs="Times New Roman"/>
                <w:kern w:val="0"/>
                <w:sz w:val="18"/>
                <w:szCs w:val="18"/>
              </w:rPr>
            </w:pPr>
            <w:r>
              <w:rPr>
                <w:rFonts w:cs="Times New Roman"/>
                <w:kern w:val="0"/>
                <w:sz w:val="18"/>
                <w:szCs w:val="18"/>
              </w:rPr>
              <w:t>10</w:t>
            </w:r>
          </w:p>
        </w:tc>
        <w:tc>
          <w:tcPr>
            <w:tcW w:w="6335" w:type="dxa"/>
            <w:vAlign w:val="center"/>
          </w:tcPr>
          <w:p w14:paraId="7D630B11">
            <w:pPr>
              <w:rPr>
                <w:rFonts w:cs="Times New Roman"/>
                <w:kern w:val="0"/>
                <w:sz w:val="18"/>
                <w:szCs w:val="18"/>
              </w:rPr>
            </w:pPr>
            <w:r>
              <w:rPr>
                <w:rFonts w:cs="Times New Roman"/>
                <w:kern w:val="0"/>
                <w:sz w:val="18"/>
                <w:szCs w:val="18"/>
              </w:rPr>
              <w:t>有性关系</w:t>
            </w:r>
          </w:p>
        </w:tc>
        <w:tc>
          <w:tcPr>
            <w:tcW w:w="1603" w:type="dxa"/>
            <w:vAlign w:val="center"/>
          </w:tcPr>
          <w:p w14:paraId="5BAC8B74">
            <w:pPr>
              <w:jc w:val="center"/>
              <w:rPr>
                <w:rFonts w:cs="Times New Roman"/>
                <w:kern w:val="0"/>
                <w:sz w:val="18"/>
                <w:szCs w:val="18"/>
              </w:rPr>
            </w:pPr>
            <w:r>
              <w:rPr>
                <w:rFonts w:cs="Times New Roman"/>
                <w:kern w:val="0"/>
                <w:sz w:val="18"/>
                <w:szCs w:val="18"/>
              </w:rPr>
              <w:t>+5.25</w:t>
            </w:r>
          </w:p>
        </w:tc>
        <w:tc>
          <w:tcPr>
            <w:tcW w:w="1418" w:type="dxa"/>
            <w:vAlign w:val="center"/>
          </w:tcPr>
          <w:p w14:paraId="056EB9C9">
            <w:pPr>
              <w:jc w:val="center"/>
              <w:rPr>
                <w:rFonts w:cs="Times New Roman"/>
                <w:kern w:val="0"/>
                <w:sz w:val="18"/>
                <w:szCs w:val="18"/>
              </w:rPr>
            </w:pPr>
            <w:r>
              <w:rPr>
                <w:rFonts w:cs="Times New Roman"/>
                <w:kern w:val="0"/>
                <w:sz w:val="18"/>
                <w:szCs w:val="18"/>
              </w:rPr>
              <w:t>0</w:t>
            </w:r>
          </w:p>
        </w:tc>
      </w:tr>
      <w:tr w14:paraId="22AA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5DAF0CB2">
            <w:pPr>
              <w:rPr>
                <w:rFonts w:cs="Times New Roman"/>
                <w:kern w:val="0"/>
                <w:sz w:val="18"/>
                <w:szCs w:val="18"/>
              </w:rPr>
            </w:pPr>
            <w:r>
              <w:rPr>
                <w:rFonts w:cs="Times New Roman"/>
                <w:kern w:val="0"/>
                <w:sz w:val="18"/>
                <w:szCs w:val="18"/>
              </w:rPr>
              <w:t>11</w:t>
            </w:r>
          </w:p>
        </w:tc>
        <w:tc>
          <w:tcPr>
            <w:tcW w:w="6335" w:type="dxa"/>
            <w:vAlign w:val="center"/>
          </w:tcPr>
          <w:p w14:paraId="1F86F743">
            <w:pPr>
              <w:rPr>
                <w:rFonts w:cs="Times New Roman"/>
                <w:kern w:val="0"/>
                <w:sz w:val="18"/>
                <w:szCs w:val="18"/>
              </w:rPr>
            </w:pPr>
            <w:r>
              <w:rPr>
                <w:rFonts w:cs="Times New Roman"/>
                <w:kern w:val="0"/>
                <w:sz w:val="18"/>
                <w:szCs w:val="18"/>
              </w:rPr>
              <w:t>参加适度的娱乐活动（例如高尔夫，保龄球，跳舞，双打网球，投掷棒球或橄榄球）</w:t>
            </w:r>
          </w:p>
        </w:tc>
        <w:tc>
          <w:tcPr>
            <w:tcW w:w="1603" w:type="dxa"/>
            <w:vAlign w:val="center"/>
          </w:tcPr>
          <w:p w14:paraId="17C87CB7">
            <w:pPr>
              <w:jc w:val="center"/>
              <w:rPr>
                <w:rFonts w:cs="Times New Roman"/>
                <w:kern w:val="0"/>
                <w:sz w:val="18"/>
                <w:szCs w:val="18"/>
              </w:rPr>
            </w:pPr>
            <w:r>
              <w:rPr>
                <w:rFonts w:cs="Times New Roman"/>
                <w:kern w:val="0"/>
                <w:sz w:val="18"/>
                <w:szCs w:val="18"/>
              </w:rPr>
              <w:t>+6.0</w:t>
            </w:r>
          </w:p>
        </w:tc>
        <w:tc>
          <w:tcPr>
            <w:tcW w:w="1418" w:type="dxa"/>
            <w:vAlign w:val="center"/>
          </w:tcPr>
          <w:p w14:paraId="016534E0">
            <w:pPr>
              <w:jc w:val="center"/>
              <w:rPr>
                <w:rFonts w:cs="Times New Roman"/>
                <w:kern w:val="0"/>
                <w:sz w:val="18"/>
                <w:szCs w:val="18"/>
              </w:rPr>
            </w:pPr>
            <w:r>
              <w:rPr>
                <w:rFonts w:cs="Times New Roman"/>
                <w:kern w:val="0"/>
                <w:sz w:val="18"/>
                <w:szCs w:val="18"/>
              </w:rPr>
              <w:t>0</w:t>
            </w:r>
          </w:p>
        </w:tc>
      </w:tr>
      <w:tr w14:paraId="2B05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4" w:type="dxa"/>
          </w:tcPr>
          <w:p w14:paraId="773E2A39">
            <w:pPr>
              <w:rPr>
                <w:rFonts w:cs="Times New Roman"/>
                <w:kern w:val="0"/>
                <w:sz w:val="18"/>
                <w:szCs w:val="18"/>
              </w:rPr>
            </w:pPr>
            <w:r>
              <w:rPr>
                <w:rFonts w:cs="Times New Roman"/>
                <w:kern w:val="0"/>
                <w:sz w:val="18"/>
                <w:szCs w:val="18"/>
              </w:rPr>
              <w:t>12</w:t>
            </w:r>
          </w:p>
        </w:tc>
        <w:tc>
          <w:tcPr>
            <w:tcW w:w="6335" w:type="dxa"/>
            <w:vAlign w:val="center"/>
          </w:tcPr>
          <w:p w14:paraId="26E6D305">
            <w:pPr>
              <w:rPr>
                <w:rFonts w:cs="Times New Roman"/>
                <w:kern w:val="0"/>
                <w:sz w:val="18"/>
                <w:szCs w:val="18"/>
              </w:rPr>
            </w:pPr>
            <w:r>
              <w:rPr>
                <w:rFonts w:cs="Times New Roman"/>
                <w:kern w:val="0"/>
                <w:sz w:val="18"/>
                <w:szCs w:val="18"/>
              </w:rPr>
              <w:t>参加剧烈运动（例如游泳，单打网球，足球，篮球，滑雪）</w:t>
            </w:r>
          </w:p>
        </w:tc>
        <w:tc>
          <w:tcPr>
            <w:tcW w:w="1603" w:type="dxa"/>
            <w:vAlign w:val="center"/>
          </w:tcPr>
          <w:p w14:paraId="003A1DE5">
            <w:pPr>
              <w:jc w:val="center"/>
              <w:rPr>
                <w:rFonts w:cs="Times New Roman"/>
                <w:kern w:val="0"/>
                <w:sz w:val="18"/>
                <w:szCs w:val="18"/>
              </w:rPr>
            </w:pPr>
            <w:r>
              <w:rPr>
                <w:rFonts w:cs="Times New Roman"/>
                <w:kern w:val="0"/>
                <w:sz w:val="18"/>
                <w:szCs w:val="18"/>
              </w:rPr>
              <w:t>+7.5</w:t>
            </w:r>
          </w:p>
        </w:tc>
        <w:tc>
          <w:tcPr>
            <w:tcW w:w="1418" w:type="dxa"/>
            <w:vAlign w:val="center"/>
          </w:tcPr>
          <w:p w14:paraId="50997AB6">
            <w:pPr>
              <w:jc w:val="center"/>
              <w:rPr>
                <w:rFonts w:cs="Times New Roman"/>
                <w:kern w:val="0"/>
                <w:sz w:val="18"/>
                <w:szCs w:val="18"/>
              </w:rPr>
            </w:pPr>
            <w:r>
              <w:rPr>
                <w:rFonts w:cs="Times New Roman"/>
                <w:kern w:val="0"/>
                <w:sz w:val="18"/>
                <w:szCs w:val="18"/>
              </w:rPr>
              <w:t>0</w:t>
            </w:r>
          </w:p>
        </w:tc>
      </w:tr>
    </w:tbl>
    <w:p w14:paraId="09FA6F30">
      <w:pPr>
        <w:rPr>
          <w:b/>
          <w:sz w:val="22"/>
        </w:rPr>
      </w:pPr>
    </w:p>
    <w:p w14:paraId="67883BCF">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7  6分钟步行试验操作规范</w:t>
      </w:r>
    </w:p>
    <w:p w14:paraId="7C03CB4F">
      <w:pPr>
        <w:jc w:val="center"/>
        <w:rPr>
          <w:rFonts w:hint="eastAsia" w:asciiTheme="minorEastAsia" w:hAnsiTheme="minorEastAsia" w:eastAsiaTheme="minorEastAsia"/>
          <w:b/>
          <w:szCs w:val="21"/>
        </w:rPr>
      </w:pPr>
    </w:p>
    <w:tbl>
      <w:tblPr>
        <w:tblStyle w:val="17"/>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4253"/>
        <w:gridCol w:w="3295"/>
      </w:tblGrid>
      <w:tr w14:paraId="2FF7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Align w:val="center"/>
          </w:tcPr>
          <w:p w14:paraId="706B56F4">
            <w:pPr>
              <w:rPr>
                <w:rFonts w:cs="Times New Roman"/>
                <w:b/>
                <w:kern w:val="0"/>
                <w:sz w:val="18"/>
                <w:szCs w:val="18"/>
              </w:rPr>
            </w:pPr>
            <w:r>
              <w:rPr>
                <w:rFonts w:cs="Times New Roman"/>
                <w:b/>
                <w:kern w:val="0"/>
                <w:sz w:val="18"/>
                <w:szCs w:val="18"/>
              </w:rPr>
              <w:t>步</w:t>
            </w:r>
            <w:r>
              <w:rPr>
                <w:rFonts w:hint="eastAsia" w:cs="Times New Roman"/>
                <w:b/>
                <w:kern w:val="0"/>
                <w:sz w:val="18"/>
                <w:szCs w:val="18"/>
              </w:rPr>
              <w:t xml:space="preserve"> </w:t>
            </w:r>
            <w:r>
              <w:rPr>
                <w:rFonts w:cs="Times New Roman"/>
                <w:b/>
                <w:kern w:val="0"/>
                <w:sz w:val="18"/>
                <w:szCs w:val="18"/>
              </w:rPr>
              <w:t>骤</w:t>
            </w:r>
          </w:p>
        </w:tc>
        <w:tc>
          <w:tcPr>
            <w:tcW w:w="4253" w:type="dxa"/>
            <w:vAlign w:val="center"/>
          </w:tcPr>
          <w:p w14:paraId="60F3B7EA">
            <w:pPr>
              <w:rPr>
                <w:rFonts w:cs="Times New Roman"/>
                <w:b/>
                <w:kern w:val="0"/>
                <w:sz w:val="18"/>
                <w:szCs w:val="18"/>
              </w:rPr>
            </w:pPr>
            <w:r>
              <w:rPr>
                <w:rFonts w:cs="Times New Roman"/>
                <w:b/>
                <w:kern w:val="0"/>
                <w:sz w:val="18"/>
                <w:szCs w:val="18"/>
              </w:rPr>
              <w:t>方</w:t>
            </w:r>
            <w:r>
              <w:rPr>
                <w:rFonts w:hint="eastAsia" w:cs="Times New Roman"/>
                <w:b/>
                <w:kern w:val="0"/>
                <w:sz w:val="18"/>
                <w:szCs w:val="18"/>
              </w:rPr>
              <w:t xml:space="preserve"> </w:t>
            </w:r>
            <w:r>
              <w:rPr>
                <w:rFonts w:cs="Times New Roman"/>
                <w:b/>
                <w:kern w:val="0"/>
                <w:sz w:val="18"/>
                <w:szCs w:val="18"/>
              </w:rPr>
              <w:t>法</w:t>
            </w:r>
          </w:p>
        </w:tc>
        <w:tc>
          <w:tcPr>
            <w:tcW w:w="3295" w:type="dxa"/>
            <w:vAlign w:val="center"/>
          </w:tcPr>
          <w:p w14:paraId="00E36DCB">
            <w:pPr>
              <w:rPr>
                <w:rFonts w:cs="Times New Roman"/>
                <w:b/>
                <w:kern w:val="0"/>
                <w:sz w:val="18"/>
                <w:szCs w:val="18"/>
              </w:rPr>
            </w:pPr>
            <w:r>
              <w:rPr>
                <w:rFonts w:cs="Times New Roman"/>
                <w:b/>
                <w:kern w:val="0"/>
                <w:sz w:val="18"/>
                <w:szCs w:val="18"/>
              </w:rPr>
              <w:t>注意事项</w:t>
            </w:r>
          </w:p>
        </w:tc>
      </w:tr>
      <w:tr w14:paraId="543B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D9F91AA">
            <w:pPr>
              <w:rPr>
                <w:rFonts w:cs="Times New Roman"/>
                <w:b/>
                <w:kern w:val="0"/>
                <w:sz w:val="18"/>
                <w:szCs w:val="18"/>
              </w:rPr>
            </w:pPr>
            <w:r>
              <w:rPr>
                <w:rFonts w:cs="Times New Roman"/>
                <w:b/>
                <w:kern w:val="0"/>
                <w:sz w:val="18"/>
                <w:szCs w:val="18"/>
              </w:rPr>
              <w:t>准</w:t>
            </w:r>
            <w:r>
              <w:rPr>
                <w:rFonts w:hint="eastAsia" w:cs="Times New Roman"/>
                <w:b/>
                <w:kern w:val="0"/>
                <w:sz w:val="18"/>
                <w:szCs w:val="18"/>
              </w:rPr>
              <w:t xml:space="preserve"> </w:t>
            </w:r>
            <w:r>
              <w:rPr>
                <w:rFonts w:cs="Times New Roman"/>
                <w:b/>
                <w:kern w:val="0"/>
                <w:sz w:val="18"/>
                <w:szCs w:val="18"/>
              </w:rPr>
              <w:t>备</w:t>
            </w:r>
          </w:p>
        </w:tc>
        <w:tc>
          <w:tcPr>
            <w:tcW w:w="4253" w:type="dxa"/>
          </w:tcPr>
          <w:p w14:paraId="7DA401D4">
            <w:pPr>
              <w:rPr>
                <w:rFonts w:cs="Times New Roman"/>
                <w:kern w:val="0"/>
                <w:sz w:val="18"/>
                <w:szCs w:val="18"/>
              </w:rPr>
            </w:pPr>
            <w:r>
              <w:rPr>
                <w:rFonts w:cs="Times New Roman"/>
                <w:kern w:val="0"/>
                <w:sz w:val="18"/>
                <w:szCs w:val="18"/>
              </w:rPr>
              <w:t>患者准备：穿着舒适的鞋；可携带其日常步行辅助工具（如手杖）；患者知晓试验过程和目的</w:t>
            </w:r>
          </w:p>
          <w:p w14:paraId="17E72D16">
            <w:pPr>
              <w:rPr>
                <w:rFonts w:cs="Times New Roman"/>
                <w:kern w:val="0"/>
                <w:sz w:val="18"/>
                <w:szCs w:val="18"/>
              </w:rPr>
            </w:pPr>
            <w:r>
              <w:rPr>
                <w:rFonts w:cs="Times New Roman"/>
                <w:kern w:val="0"/>
                <w:sz w:val="18"/>
                <w:szCs w:val="18"/>
              </w:rPr>
              <w:t>医生准备：计时器、计数器、记录表、椅子和标记折返点的标记物，监测用脉氧仪、12导便携式心电监护和血压监护，还要准备好硝酸甘油、氧气、血压计和除颤器等急救设备。</w:t>
            </w:r>
          </w:p>
        </w:tc>
        <w:tc>
          <w:tcPr>
            <w:tcW w:w="3295" w:type="dxa"/>
          </w:tcPr>
          <w:p w14:paraId="1AB95D44">
            <w:pPr>
              <w:rPr>
                <w:rFonts w:cs="Times New Roman"/>
                <w:kern w:val="0"/>
                <w:sz w:val="18"/>
                <w:szCs w:val="18"/>
              </w:rPr>
            </w:pPr>
            <w:r>
              <w:rPr>
                <w:rFonts w:cs="Times New Roman"/>
                <w:kern w:val="0"/>
                <w:sz w:val="18"/>
                <w:szCs w:val="18"/>
              </w:rPr>
              <w:t>告知患者要尽全力步行而不是跑步；感到精疲力竭时可放慢速度或停下休息，恢复后应继续步行，患者日常服用药物不能停用；清晨或午后测试前可少许进食；试验开始前2 h内避免剧烈活动。试验开始前患者在起点处休息10min。</w:t>
            </w:r>
          </w:p>
        </w:tc>
      </w:tr>
      <w:tr w14:paraId="348D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12CE1419">
            <w:pPr>
              <w:rPr>
                <w:rFonts w:cs="Times New Roman"/>
                <w:b/>
                <w:kern w:val="0"/>
                <w:sz w:val="18"/>
                <w:szCs w:val="18"/>
              </w:rPr>
            </w:pPr>
            <w:r>
              <w:rPr>
                <w:rFonts w:cs="Times New Roman"/>
                <w:b/>
                <w:kern w:val="0"/>
                <w:sz w:val="18"/>
                <w:szCs w:val="18"/>
              </w:rPr>
              <w:t>规范操作</w:t>
            </w:r>
          </w:p>
        </w:tc>
        <w:tc>
          <w:tcPr>
            <w:tcW w:w="4253" w:type="dxa"/>
          </w:tcPr>
          <w:p w14:paraId="06E5C2ED">
            <w:pPr>
              <w:rPr>
                <w:rFonts w:cs="Times New Roman"/>
                <w:kern w:val="0"/>
                <w:sz w:val="18"/>
                <w:szCs w:val="18"/>
              </w:rPr>
            </w:pPr>
            <w:r>
              <w:rPr>
                <w:rFonts w:cs="Times New Roman"/>
                <w:kern w:val="0"/>
                <w:sz w:val="18"/>
                <w:szCs w:val="18"/>
              </w:rPr>
              <w:t>患者在起点处坐椅子休息，核查有无禁忌证，测量脉搏、血压和血氧饱和度，Borg评分等，填写记录表，设定秒表计时6</w:t>
            </w:r>
            <w:r>
              <w:rPr>
                <w:rFonts w:hint="eastAsia" w:cs="Times New Roman"/>
                <w:kern w:val="0"/>
                <w:sz w:val="18"/>
                <w:szCs w:val="18"/>
              </w:rPr>
              <w:t xml:space="preserve"> min。</w:t>
            </w:r>
          </w:p>
          <w:p w14:paraId="3773A848">
            <w:pPr>
              <w:rPr>
                <w:rFonts w:cs="Times New Roman"/>
                <w:kern w:val="0"/>
                <w:sz w:val="18"/>
                <w:szCs w:val="18"/>
              </w:rPr>
            </w:pPr>
            <w:r>
              <w:rPr>
                <w:rFonts w:cs="Times New Roman"/>
                <w:kern w:val="0"/>
                <w:sz w:val="18"/>
                <w:szCs w:val="18"/>
              </w:rPr>
              <w:t>开始步行和计时，用规范的语言告知和鼓励患者：</w:t>
            </w:r>
          </w:p>
          <w:p w14:paraId="6B0BB61C">
            <w:pPr>
              <w:rPr>
                <w:rFonts w:cs="Times New Roman"/>
                <w:kern w:val="0"/>
                <w:sz w:val="18"/>
                <w:szCs w:val="18"/>
              </w:rPr>
            </w:pPr>
            <w:r>
              <w:rPr>
                <w:rFonts w:cs="Times New Roman"/>
                <w:kern w:val="0"/>
                <w:sz w:val="18"/>
                <w:szCs w:val="18"/>
              </w:rPr>
              <w:t>1分钟后：“您做得很好，还有5分钟。”</w:t>
            </w:r>
          </w:p>
          <w:p w14:paraId="3B5635DA">
            <w:pPr>
              <w:rPr>
                <w:rFonts w:cs="Times New Roman"/>
                <w:kern w:val="0"/>
                <w:sz w:val="18"/>
                <w:szCs w:val="18"/>
              </w:rPr>
            </w:pPr>
            <w:r>
              <w:rPr>
                <w:rFonts w:cs="Times New Roman"/>
                <w:kern w:val="0"/>
                <w:sz w:val="18"/>
                <w:szCs w:val="18"/>
              </w:rPr>
              <w:t>2分钟后：“再接再厉，您还有4分钟。”</w:t>
            </w:r>
          </w:p>
          <w:p w14:paraId="755CB266">
            <w:pPr>
              <w:rPr>
                <w:rFonts w:cs="Times New Roman"/>
                <w:kern w:val="0"/>
                <w:sz w:val="18"/>
                <w:szCs w:val="18"/>
              </w:rPr>
            </w:pPr>
            <w:r>
              <w:rPr>
                <w:rFonts w:cs="Times New Roman"/>
                <w:kern w:val="0"/>
                <w:sz w:val="18"/>
                <w:szCs w:val="18"/>
              </w:rPr>
              <w:t>3分钟后：“很好，已经一半了。”</w:t>
            </w:r>
          </w:p>
          <w:p w14:paraId="0034FAD4">
            <w:pPr>
              <w:rPr>
                <w:rFonts w:cs="Times New Roman"/>
                <w:kern w:val="0"/>
                <w:sz w:val="18"/>
                <w:szCs w:val="18"/>
              </w:rPr>
            </w:pPr>
            <w:r>
              <w:rPr>
                <w:rFonts w:cs="Times New Roman"/>
                <w:kern w:val="0"/>
                <w:sz w:val="18"/>
                <w:szCs w:val="18"/>
              </w:rPr>
              <w:t>4分钟后：“加油，您只剩2分钟了。”</w:t>
            </w:r>
          </w:p>
          <w:p w14:paraId="0B874F97">
            <w:pPr>
              <w:rPr>
                <w:rFonts w:cs="Times New Roman"/>
                <w:kern w:val="0"/>
                <w:sz w:val="18"/>
                <w:szCs w:val="18"/>
              </w:rPr>
            </w:pPr>
            <w:r>
              <w:rPr>
                <w:rFonts w:cs="Times New Roman"/>
                <w:kern w:val="0"/>
                <w:sz w:val="18"/>
                <w:szCs w:val="18"/>
              </w:rPr>
              <w:t>5分钟后：“很好，再走1分钟就结束。”</w:t>
            </w:r>
          </w:p>
          <w:p w14:paraId="61050CA7">
            <w:pPr>
              <w:rPr>
                <w:rFonts w:cs="Times New Roman"/>
                <w:kern w:val="0"/>
                <w:sz w:val="18"/>
                <w:szCs w:val="18"/>
              </w:rPr>
            </w:pPr>
            <w:r>
              <w:rPr>
                <w:rFonts w:cs="Times New Roman"/>
                <w:kern w:val="0"/>
                <w:sz w:val="18"/>
                <w:szCs w:val="18"/>
              </w:rPr>
              <w:t>记录数据</w:t>
            </w:r>
          </w:p>
          <w:p w14:paraId="19C33EC0">
            <w:pPr>
              <w:rPr>
                <w:rFonts w:cs="Times New Roman"/>
                <w:kern w:val="0"/>
                <w:sz w:val="18"/>
                <w:szCs w:val="18"/>
              </w:rPr>
            </w:pPr>
            <w:r>
              <w:rPr>
                <w:rFonts w:cs="Times New Roman"/>
                <w:kern w:val="0"/>
                <w:sz w:val="18"/>
                <w:szCs w:val="18"/>
              </w:rPr>
              <w:t>步行距离，运动最大心率，恢复期1分钟心率下降，运动血压，血氧饱和度，心电图ST-T变化，心律失常，Borg评分，发生的事件</w:t>
            </w:r>
            <w:r>
              <w:rPr>
                <w:rFonts w:hint="eastAsia" w:cs="Times New Roman"/>
                <w:kern w:val="0"/>
                <w:sz w:val="18"/>
                <w:szCs w:val="18"/>
              </w:rPr>
              <w:t>。</w:t>
            </w:r>
          </w:p>
        </w:tc>
        <w:tc>
          <w:tcPr>
            <w:tcW w:w="3295" w:type="dxa"/>
            <w:vAlign w:val="center"/>
          </w:tcPr>
          <w:p w14:paraId="724AF901">
            <w:pPr>
              <w:rPr>
                <w:rFonts w:cs="Times New Roman"/>
                <w:kern w:val="0"/>
                <w:sz w:val="18"/>
                <w:szCs w:val="18"/>
              </w:rPr>
            </w:pPr>
            <w:r>
              <w:rPr>
                <w:rFonts w:cs="Times New Roman"/>
                <w:kern w:val="0"/>
                <w:sz w:val="18"/>
                <w:szCs w:val="18"/>
              </w:rPr>
              <w:t xml:space="preserve"> 测试前不应进行“热身”运动；</w:t>
            </w:r>
          </w:p>
          <w:p w14:paraId="413F907A">
            <w:pPr>
              <w:rPr>
                <w:rFonts w:cs="Times New Roman"/>
                <w:kern w:val="0"/>
                <w:sz w:val="18"/>
                <w:szCs w:val="18"/>
              </w:rPr>
            </w:pPr>
            <w:r>
              <w:rPr>
                <w:rFonts w:cs="Times New Roman"/>
                <w:kern w:val="0"/>
                <w:sz w:val="18"/>
                <w:szCs w:val="18"/>
              </w:rPr>
              <w:t xml:space="preserve"> 测试时操作者注意力要集中，不要和他人交谈，</w:t>
            </w:r>
          </w:p>
          <w:p w14:paraId="3E966E90">
            <w:pPr>
              <w:rPr>
                <w:rFonts w:cs="Times New Roman"/>
                <w:kern w:val="0"/>
                <w:sz w:val="18"/>
                <w:szCs w:val="18"/>
              </w:rPr>
            </w:pPr>
            <w:r>
              <w:rPr>
                <w:rFonts w:cs="Times New Roman"/>
                <w:kern w:val="0"/>
                <w:sz w:val="18"/>
                <w:szCs w:val="18"/>
              </w:rPr>
              <w:t xml:space="preserve"> 全程12导心电监护监测、血压监测和</w:t>
            </w:r>
            <w:r>
              <w:rPr>
                <w:rFonts w:hint="eastAsia" w:cs="Times New Roman"/>
                <w:kern w:val="0"/>
                <w:sz w:val="18"/>
                <w:szCs w:val="18"/>
              </w:rPr>
              <w:t>指</w:t>
            </w:r>
            <w:r>
              <w:rPr>
                <w:rFonts w:cs="Times New Roman"/>
                <w:kern w:val="0"/>
                <w:sz w:val="18"/>
                <w:szCs w:val="18"/>
              </w:rPr>
              <w:t>脉氧饱和度监测；</w:t>
            </w:r>
          </w:p>
          <w:p w14:paraId="2C1C66C7">
            <w:pPr>
              <w:rPr>
                <w:rFonts w:cs="Times New Roman"/>
                <w:kern w:val="0"/>
                <w:sz w:val="18"/>
                <w:szCs w:val="18"/>
              </w:rPr>
            </w:pPr>
            <w:r>
              <w:rPr>
                <w:rFonts w:cs="Times New Roman"/>
                <w:kern w:val="0"/>
                <w:sz w:val="18"/>
                <w:szCs w:val="18"/>
              </w:rPr>
              <w:t xml:space="preserve"> 应在每天的同一时间点测试，减少差异。</w:t>
            </w:r>
          </w:p>
          <w:p w14:paraId="589F9950">
            <w:pPr>
              <w:rPr>
                <w:rFonts w:cs="Times New Roman"/>
                <w:kern w:val="0"/>
                <w:sz w:val="18"/>
                <w:szCs w:val="18"/>
              </w:rPr>
            </w:pPr>
            <w:r>
              <w:rPr>
                <w:rFonts w:cs="Times New Roman"/>
                <w:kern w:val="0"/>
                <w:sz w:val="18"/>
                <w:szCs w:val="18"/>
              </w:rPr>
              <w:t xml:space="preserve"> 出现以下情况中止试验：血氧饱和度&lt;80%；胸痛；不能耐受的喘憋；步态不稳；大汗；面色苍白。</w:t>
            </w:r>
          </w:p>
          <w:p w14:paraId="7DC974AA">
            <w:pPr>
              <w:rPr>
                <w:rFonts w:cs="Times New Roman"/>
                <w:kern w:val="0"/>
                <w:sz w:val="18"/>
                <w:szCs w:val="18"/>
              </w:rPr>
            </w:pPr>
            <w:r>
              <w:rPr>
                <w:rFonts w:cs="Times New Roman"/>
                <w:kern w:val="0"/>
                <w:sz w:val="18"/>
                <w:szCs w:val="18"/>
              </w:rPr>
              <w:t xml:space="preserve"> 6.测试结束，患者休息5分钟返回病房</w:t>
            </w:r>
            <w:r>
              <w:rPr>
                <w:rFonts w:hint="eastAsia" w:cs="Times New Roman"/>
                <w:kern w:val="0"/>
                <w:sz w:val="18"/>
                <w:szCs w:val="18"/>
              </w:rPr>
              <w:t>。</w:t>
            </w:r>
          </w:p>
        </w:tc>
      </w:tr>
      <w:tr w14:paraId="19E7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82B3587">
            <w:pPr>
              <w:rPr>
                <w:rFonts w:cs="Times New Roman"/>
                <w:b/>
                <w:kern w:val="0"/>
                <w:sz w:val="18"/>
                <w:szCs w:val="18"/>
              </w:rPr>
            </w:pPr>
            <w:r>
              <w:rPr>
                <w:rFonts w:cs="Times New Roman"/>
                <w:b/>
                <w:kern w:val="0"/>
                <w:sz w:val="18"/>
                <w:szCs w:val="18"/>
              </w:rPr>
              <w:t>结果评估</w:t>
            </w:r>
          </w:p>
        </w:tc>
        <w:tc>
          <w:tcPr>
            <w:tcW w:w="4253" w:type="dxa"/>
          </w:tcPr>
          <w:p w14:paraId="6CB156B4">
            <w:pPr>
              <w:rPr>
                <w:rFonts w:cs="Times New Roman"/>
                <w:kern w:val="0"/>
                <w:sz w:val="18"/>
                <w:szCs w:val="18"/>
              </w:rPr>
            </w:pPr>
            <w:r>
              <w:rPr>
                <w:rFonts w:cs="Times New Roman"/>
                <w:kern w:val="0"/>
                <w:sz w:val="18"/>
                <w:szCs w:val="18"/>
              </w:rPr>
              <w:t>1级：&lt;150</w:t>
            </w:r>
            <w:r>
              <w:rPr>
                <w:rFonts w:hint="eastAsia" w:cs="Times New Roman"/>
                <w:kern w:val="0"/>
                <w:sz w:val="18"/>
                <w:szCs w:val="18"/>
              </w:rPr>
              <w:t xml:space="preserve"> </w:t>
            </w:r>
            <w:r>
              <w:rPr>
                <w:rFonts w:cs="Times New Roman"/>
                <w:kern w:val="0"/>
                <w:sz w:val="18"/>
                <w:szCs w:val="18"/>
              </w:rPr>
              <w:t>m为心肺功能差</w:t>
            </w:r>
          </w:p>
          <w:p w14:paraId="6A582F59">
            <w:pPr>
              <w:rPr>
                <w:rFonts w:cs="Times New Roman"/>
                <w:kern w:val="0"/>
                <w:sz w:val="18"/>
                <w:szCs w:val="18"/>
              </w:rPr>
            </w:pPr>
            <w:r>
              <w:rPr>
                <w:rFonts w:cs="Times New Roman"/>
                <w:kern w:val="0"/>
                <w:sz w:val="18"/>
                <w:szCs w:val="18"/>
              </w:rPr>
              <w:t>2级：150-300</w:t>
            </w:r>
            <w:r>
              <w:rPr>
                <w:rFonts w:hint="eastAsia" w:cs="Times New Roman"/>
                <w:kern w:val="0"/>
                <w:sz w:val="18"/>
                <w:szCs w:val="18"/>
              </w:rPr>
              <w:t xml:space="preserve"> m</w:t>
            </w:r>
            <w:r>
              <w:rPr>
                <w:rFonts w:cs="Times New Roman"/>
                <w:kern w:val="0"/>
                <w:sz w:val="18"/>
                <w:szCs w:val="18"/>
              </w:rPr>
              <w:t>为心肺功能一般偏差</w:t>
            </w:r>
          </w:p>
          <w:p w14:paraId="541D6231">
            <w:pPr>
              <w:rPr>
                <w:rFonts w:cs="Times New Roman"/>
                <w:kern w:val="0"/>
                <w:sz w:val="18"/>
                <w:szCs w:val="18"/>
              </w:rPr>
            </w:pPr>
            <w:r>
              <w:rPr>
                <w:rFonts w:cs="Times New Roman"/>
                <w:kern w:val="0"/>
                <w:sz w:val="18"/>
                <w:szCs w:val="18"/>
              </w:rPr>
              <w:t>3级：300米-450</w:t>
            </w:r>
            <w:r>
              <w:rPr>
                <w:rFonts w:hint="eastAsia" w:cs="Times New Roman"/>
                <w:kern w:val="0"/>
                <w:sz w:val="18"/>
                <w:szCs w:val="18"/>
              </w:rPr>
              <w:t xml:space="preserve"> m</w:t>
            </w:r>
            <w:r>
              <w:rPr>
                <w:rFonts w:cs="Times New Roman"/>
                <w:kern w:val="0"/>
                <w:sz w:val="18"/>
                <w:szCs w:val="18"/>
              </w:rPr>
              <w:t>为心肺功能一般偏好</w:t>
            </w:r>
          </w:p>
          <w:p w14:paraId="064CCB1F">
            <w:pPr>
              <w:rPr>
                <w:rFonts w:cs="Times New Roman"/>
                <w:kern w:val="0"/>
                <w:sz w:val="18"/>
                <w:szCs w:val="18"/>
              </w:rPr>
            </w:pPr>
            <w:r>
              <w:rPr>
                <w:rFonts w:cs="Times New Roman"/>
                <w:kern w:val="0"/>
                <w:sz w:val="18"/>
                <w:szCs w:val="18"/>
              </w:rPr>
              <w:t>4级：&gt;450</w:t>
            </w:r>
            <w:r>
              <w:rPr>
                <w:rFonts w:hint="eastAsia" w:cs="Times New Roman"/>
                <w:kern w:val="0"/>
                <w:sz w:val="18"/>
                <w:szCs w:val="18"/>
              </w:rPr>
              <w:t xml:space="preserve"> m</w:t>
            </w:r>
            <w:r>
              <w:rPr>
                <w:rFonts w:cs="Times New Roman"/>
                <w:kern w:val="0"/>
                <w:sz w:val="18"/>
                <w:szCs w:val="18"/>
              </w:rPr>
              <w:t>以上为心肺功能良好</w:t>
            </w:r>
          </w:p>
        </w:tc>
        <w:tc>
          <w:tcPr>
            <w:tcW w:w="3295" w:type="dxa"/>
          </w:tcPr>
          <w:p w14:paraId="4B190528">
            <w:pPr>
              <w:rPr>
                <w:rFonts w:cs="Times New Roman"/>
                <w:kern w:val="0"/>
                <w:sz w:val="18"/>
                <w:szCs w:val="18"/>
              </w:rPr>
            </w:pPr>
            <w:r>
              <w:rPr>
                <w:rFonts w:cs="Times New Roman"/>
                <w:kern w:val="0"/>
                <w:sz w:val="18"/>
                <w:szCs w:val="18"/>
              </w:rPr>
              <w:t>级别越低心肺功能越差。达到3级与4级者，可说心肺功能接近或已达到正常。步行距离小于300</w:t>
            </w:r>
            <w:r>
              <w:rPr>
                <w:rFonts w:hint="eastAsia" w:cs="Times New Roman"/>
                <w:kern w:val="0"/>
                <w:sz w:val="18"/>
                <w:szCs w:val="18"/>
              </w:rPr>
              <w:t xml:space="preserve"> m</w:t>
            </w:r>
            <w:r>
              <w:rPr>
                <w:rFonts w:cs="Times New Roman"/>
                <w:kern w:val="0"/>
                <w:sz w:val="18"/>
                <w:szCs w:val="18"/>
              </w:rPr>
              <w:t>的患者，6MWT与峰值摄氧量的预测价值相似</w:t>
            </w:r>
            <w:r>
              <w:rPr>
                <w:rFonts w:hint="eastAsia" w:cs="Times New Roman"/>
                <w:kern w:val="0"/>
                <w:sz w:val="18"/>
                <w:szCs w:val="18"/>
              </w:rPr>
              <w:t>。</w:t>
            </w:r>
          </w:p>
        </w:tc>
      </w:tr>
    </w:tbl>
    <w:p w14:paraId="65DB2462"/>
    <w:p w14:paraId="230FA802">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8 心肺运动试验常用参数</w:t>
      </w:r>
    </w:p>
    <w:p w14:paraId="335FB374">
      <w:pPr>
        <w:jc w:val="center"/>
        <w:rPr>
          <w:rFonts w:hint="eastAsia" w:ascii="宋体" w:hAnsi="宋体" w:cs="Times New Roman"/>
          <w:b/>
          <w:szCs w:val="21"/>
        </w:rPr>
      </w:pPr>
    </w:p>
    <w:tbl>
      <w:tblPr>
        <w:tblStyle w:val="17"/>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7"/>
        <w:gridCol w:w="1985"/>
        <w:gridCol w:w="2551"/>
        <w:gridCol w:w="2297"/>
      </w:tblGrid>
      <w:tr w14:paraId="5E90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17" w:type="dxa"/>
            <w:vAlign w:val="center"/>
          </w:tcPr>
          <w:p w14:paraId="2AAD177D">
            <w:pPr>
              <w:rPr>
                <w:rFonts w:cs="Times New Roman"/>
                <w:b/>
                <w:kern w:val="0"/>
                <w:sz w:val="18"/>
                <w:szCs w:val="18"/>
              </w:rPr>
            </w:pPr>
            <w:r>
              <w:rPr>
                <w:rFonts w:cs="Times New Roman"/>
                <w:b/>
                <w:kern w:val="0"/>
                <w:sz w:val="18"/>
                <w:szCs w:val="18"/>
              </w:rPr>
              <w:t>测量参数</w:t>
            </w:r>
          </w:p>
        </w:tc>
        <w:tc>
          <w:tcPr>
            <w:tcW w:w="1985" w:type="dxa"/>
            <w:vAlign w:val="center"/>
          </w:tcPr>
          <w:p w14:paraId="4D6AEA2E">
            <w:pPr>
              <w:rPr>
                <w:rFonts w:cs="Times New Roman"/>
                <w:b/>
                <w:kern w:val="0"/>
                <w:sz w:val="18"/>
                <w:szCs w:val="18"/>
              </w:rPr>
            </w:pPr>
            <w:r>
              <w:rPr>
                <w:rFonts w:cs="Times New Roman"/>
                <w:b/>
                <w:kern w:val="0"/>
                <w:sz w:val="18"/>
                <w:szCs w:val="18"/>
              </w:rPr>
              <w:t>定</w:t>
            </w:r>
            <w:r>
              <w:rPr>
                <w:rFonts w:hint="eastAsia" w:cs="Times New Roman"/>
                <w:b/>
                <w:kern w:val="0"/>
                <w:sz w:val="18"/>
                <w:szCs w:val="18"/>
              </w:rPr>
              <w:t xml:space="preserve"> </w:t>
            </w:r>
            <w:r>
              <w:rPr>
                <w:rFonts w:cs="Times New Roman"/>
                <w:b/>
                <w:kern w:val="0"/>
                <w:sz w:val="18"/>
                <w:szCs w:val="18"/>
              </w:rPr>
              <w:t>义</w:t>
            </w:r>
          </w:p>
        </w:tc>
        <w:tc>
          <w:tcPr>
            <w:tcW w:w="2551" w:type="dxa"/>
            <w:vAlign w:val="center"/>
          </w:tcPr>
          <w:p w14:paraId="19A6C366">
            <w:pPr>
              <w:rPr>
                <w:rFonts w:cs="Times New Roman"/>
                <w:b/>
                <w:kern w:val="0"/>
                <w:sz w:val="18"/>
                <w:szCs w:val="18"/>
              </w:rPr>
            </w:pPr>
            <w:r>
              <w:rPr>
                <w:rFonts w:cs="Times New Roman"/>
                <w:b/>
                <w:kern w:val="0"/>
                <w:sz w:val="18"/>
                <w:szCs w:val="18"/>
              </w:rPr>
              <w:t>参考值</w:t>
            </w:r>
          </w:p>
        </w:tc>
        <w:tc>
          <w:tcPr>
            <w:tcW w:w="2297" w:type="dxa"/>
            <w:vAlign w:val="center"/>
          </w:tcPr>
          <w:p w14:paraId="2DA2EDFB">
            <w:pPr>
              <w:rPr>
                <w:rFonts w:cs="Times New Roman"/>
                <w:b/>
                <w:kern w:val="0"/>
                <w:sz w:val="18"/>
                <w:szCs w:val="18"/>
              </w:rPr>
            </w:pPr>
            <w:r>
              <w:rPr>
                <w:rFonts w:cs="Times New Roman"/>
                <w:b/>
                <w:kern w:val="0"/>
                <w:sz w:val="18"/>
                <w:szCs w:val="18"/>
              </w:rPr>
              <w:t>意</w:t>
            </w:r>
            <w:r>
              <w:rPr>
                <w:rFonts w:hint="eastAsia" w:cs="Times New Roman"/>
                <w:b/>
                <w:kern w:val="0"/>
                <w:sz w:val="18"/>
                <w:szCs w:val="18"/>
              </w:rPr>
              <w:t xml:space="preserve"> </w:t>
            </w:r>
            <w:r>
              <w:rPr>
                <w:rFonts w:cs="Times New Roman"/>
                <w:b/>
                <w:kern w:val="0"/>
                <w:sz w:val="18"/>
                <w:szCs w:val="18"/>
              </w:rPr>
              <w:t>义</w:t>
            </w:r>
          </w:p>
        </w:tc>
      </w:tr>
      <w:tr w14:paraId="69DD271F">
        <w:tblPrEx>
          <w:tblCellMar>
            <w:top w:w="0" w:type="dxa"/>
            <w:left w:w="108" w:type="dxa"/>
            <w:bottom w:w="0" w:type="dxa"/>
            <w:right w:w="108" w:type="dxa"/>
          </w:tblCellMar>
        </w:tblPrEx>
        <w:trPr>
          <w:jc w:val="center"/>
        </w:trPr>
        <w:tc>
          <w:tcPr>
            <w:tcW w:w="2017" w:type="dxa"/>
            <w:vAlign w:val="center"/>
          </w:tcPr>
          <w:p w14:paraId="6A680E0F">
            <w:pPr>
              <w:rPr>
                <w:rFonts w:cs="Times New Roman"/>
                <w:b/>
                <w:kern w:val="0"/>
                <w:sz w:val="18"/>
                <w:szCs w:val="18"/>
              </w:rPr>
            </w:pPr>
            <w:r>
              <w:rPr>
                <w:rFonts w:cs="Times New Roman"/>
                <w:b/>
                <w:kern w:val="0"/>
                <w:sz w:val="18"/>
                <w:szCs w:val="18"/>
              </w:rPr>
              <w:t>最大摄氧量（VO2max）</w:t>
            </w:r>
          </w:p>
        </w:tc>
        <w:tc>
          <w:tcPr>
            <w:tcW w:w="1985" w:type="dxa"/>
          </w:tcPr>
          <w:p w14:paraId="34F034D5">
            <w:pPr>
              <w:rPr>
                <w:rFonts w:cs="Times New Roman"/>
                <w:kern w:val="0"/>
                <w:sz w:val="18"/>
                <w:szCs w:val="18"/>
              </w:rPr>
            </w:pPr>
            <w:r>
              <w:rPr>
                <w:rFonts w:cs="Times New Roman"/>
                <w:kern w:val="0"/>
                <w:sz w:val="18"/>
                <w:szCs w:val="18"/>
              </w:rPr>
              <w:t>指最大运动时获得的最高O</w:t>
            </w:r>
            <w:r>
              <w:rPr>
                <w:rFonts w:cs="Times New Roman"/>
                <w:kern w:val="0"/>
                <w:sz w:val="18"/>
                <w:szCs w:val="18"/>
                <w:vertAlign w:val="subscript"/>
              </w:rPr>
              <w:t>2</w:t>
            </w:r>
            <w:r>
              <w:rPr>
                <w:rFonts w:cs="Times New Roman"/>
                <w:kern w:val="0"/>
                <w:sz w:val="18"/>
                <w:szCs w:val="18"/>
              </w:rPr>
              <w:t>摄入，常用峰值摄氧量来代替</w:t>
            </w:r>
          </w:p>
        </w:tc>
        <w:tc>
          <w:tcPr>
            <w:tcW w:w="2551" w:type="dxa"/>
            <w:vAlign w:val="center"/>
          </w:tcPr>
          <w:p w14:paraId="7E27B1FB">
            <w:pPr>
              <w:rPr>
                <w:rFonts w:cs="Times New Roman"/>
                <w:kern w:val="0"/>
                <w:sz w:val="18"/>
                <w:szCs w:val="18"/>
              </w:rPr>
            </w:pPr>
            <w:r>
              <w:rPr>
                <w:rFonts w:cs="Times New Roman"/>
                <w:kern w:val="0"/>
                <w:sz w:val="18"/>
                <w:szCs w:val="18"/>
              </w:rPr>
              <w:t>受年龄和性别影响，参考值为预测值的85%以上</w:t>
            </w:r>
          </w:p>
        </w:tc>
        <w:tc>
          <w:tcPr>
            <w:tcW w:w="2297" w:type="dxa"/>
            <w:vAlign w:val="center"/>
          </w:tcPr>
          <w:p w14:paraId="53E3EBE2">
            <w:pPr>
              <w:rPr>
                <w:rFonts w:cs="Times New Roman"/>
                <w:kern w:val="0"/>
                <w:sz w:val="18"/>
                <w:szCs w:val="18"/>
              </w:rPr>
            </w:pPr>
            <w:r>
              <w:rPr>
                <w:rFonts w:cs="Times New Roman"/>
                <w:kern w:val="0"/>
                <w:sz w:val="18"/>
                <w:szCs w:val="18"/>
              </w:rPr>
              <w:t>表示患者的心肺功能储备和外周组织摄氧能力</w:t>
            </w:r>
          </w:p>
        </w:tc>
      </w:tr>
      <w:tr w14:paraId="1AF9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7" w:type="dxa"/>
            <w:vAlign w:val="center"/>
          </w:tcPr>
          <w:p w14:paraId="6432D149">
            <w:pPr>
              <w:rPr>
                <w:rFonts w:cs="Times New Roman"/>
                <w:b/>
                <w:kern w:val="0"/>
                <w:sz w:val="18"/>
                <w:szCs w:val="18"/>
              </w:rPr>
            </w:pPr>
            <w:r>
              <w:rPr>
                <w:rFonts w:cs="Times New Roman"/>
                <w:b/>
                <w:kern w:val="0"/>
                <w:sz w:val="18"/>
                <w:szCs w:val="18"/>
              </w:rPr>
              <w:t>无氧阈</w:t>
            </w:r>
            <w:r>
              <w:rPr>
                <w:rFonts w:hint="eastAsia" w:cs="Times New Roman"/>
                <w:b/>
                <w:kern w:val="0"/>
                <w:sz w:val="18"/>
                <w:szCs w:val="18"/>
              </w:rPr>
              <w:t>值</w:t>
            </w:r>
            <w:r>
              <w:rPr>
                <w:rFonts w:cs="Times New Roman"/>
                <w:b/>
                <w:kern w:val="0"/>
                <w:sz w:val="18"/>
                <w:szCs w:val="18"/>
              </w:rPr>
              <w:t>（AT）</w:t>
            </w:r>
          </w:p>
        </w:tc>
        <w:tc>
          <w:tcPr>
            <w:tcW w:w="1985" w:type="dxa"/>
          </w:tcPr>
          <w:p w14:paraId="0C93D57C">
            <w:pPr>
              <w:rPr>
                <w:rFonts w:cs="Times New Roman"/>
                <w:kern w:val="0"/>
                <w:sz w:val="18"/>
                <w:szCs w:val="18"/>
              </w:rPr>
            </w:pPr>
            <w:r>
              <w:rPr>
                <w:rFonts w:cs="Times New Roman"/>
                <w:kern w:val="0"/>
                <w:sz w:val="18"/>
                <w:szCs w:val="18"/>
              </w:rPr>
              <w:t>指机体有氧代谢的运动强度上限</w:t>
            </w:r>
            <w:r>
              <w:rPr>
                <w:rFonts w:hint="eastAsia" w:cs="Times New Roman"/>
                <w:kern w:val="0"/>
                <w:sz w:val="18"/>
                <w:szCs w:val="18"/>
              </w:rPr>
              <w:t>值</w:t>
            </w:r>
          </w:p>
        </w:tc>
        <w:tc>
          <w:tcPr>
            <w:tcW w:w="2551" w:type="dxa"/>
          </w:tcPr>
          <w:p w14:paraId="1E71A21B">
            <w:pPr>
              <w:rPr>
                <w:rFonts w:cs="Times New Roman"/>
                <w:kern w:val="0"/>
                <w:sz w:val="18"/>
                <w:szCs w:val="18"/>
              </w:rPr>
            </w:pPr>
            <w:r>
              <w:rPr>
                <w:rFonts w:cs="Times New Roman"/>
                <w:kern w:val="0"/>
                <w:sz w:val="18"/>
                <w:szCs w:val="18"/>
              </w:rPr>
              <w:t>AT是可预测VO</w:t>
            </w:r>
            <w:r>
              <w:rPr>
                <w:rFonts w:cs="Times New Roman"/>
                <w:kern w:val="0"/>
                <w:sz w:val="18"/>
                <w:szCs w:val="18"/>
                <w:vertAlign w:val="subscript"/>
              </w:rPr>
              <w:t>2</w:t>
            </w:r>
            <w:r>
              <w:rPr>
                <w:rFonts w:cs="Times New Roman"/>
                <w:kern w:val="0"/>
                <w:sz w:val="18"/>
                <w:szCs w:val="18"/>
              </w:rPr>
              <w:t>max的50%—60%</w:t>
            </w:r>
          </w:p>
        </w:tc>
        <w:tc>
          <w:tcPr>
            <w:tcW w:w="2297" w:type="dxa"/>
          </w:tcPr>
          <w:p w14:paraId="0864B829">
            <w:pPr>
              <w:rPr>
                <w:rFonts w:cs="Times New Roman"/>
                <w:kern w:val="0"/>
                <w:sz w:val="18"/>
                <w:szCs w:val="18"/>
              </w:rPr>
            </w:pPr>
            <w:r>
              <w:rPr>
                <w:rFonts w:cs="Times New Roman"/>
                <w:kern w:val="0"/>
                <w:sz w:val="18"/>
                <w:szCs w:val="18"/>
              </w:rPr>
              <w:t>在AT以下的运动持续维持有氧代谢，制定运动处方</w:t>
            </w:r>
          </w:p>
        </w:tc>
      </w:tr>
      <w:tr w14:paraId="1E83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7" w:type="dxa"/>
            <w:vAlign w:val="center"/>
          </w:tcPr>
          <w:p w14:paraId="75C53724">
            <w:pPr>
              <w:rPr>
                <w:rFonts w:cs="Times New Roman"/>
                <w:b/>
                <w:kern w:val="0"/>
                <w:sz w:val="18"/>
                <w:szCs w:val="18"/>
              </w:rPr>
            </w:pPr>
            <w:r>
              <w:rPr>
                <w:rFonts w:cs="Times New Roman"/>
                <w:b/>
                <w:kern w:val="0"/>
                <w:sz w:val="18"/>
                <w:szCs w:val="18"/>
              </w:rPr>
              <w:t>二氧化碳排出量（VCO</w:t>
            </w:r>
            <w:r>
              <w:rPr>
                <w:rFonts w:cs="Times New Roman"/>
                <w:b/>
                <w:kern w:val="0"/>
                <w:sz w:val="18"/>
                <w:szCs w:val="18"/>
                <w:vertAlign w:val="subscript"/>
              </w:rPr>
              <w:t>2</w:t>
            </w:r>
            <w:r>
              <w:rPr>
                <w:rFonts w:cs="Times New Roman"/>
                <w:b/>
                <w:kern w:val="0"/>
                <w:sz w:val="18"/>
                <w:szCs w:val="18"/>
              </w:rPr>
              <w:t>）</w:t>
            </w:r>
          </w:p>
        </w:tc>
        <w:tc>
          <w:tcPr>
            <w:tcW w:w="1985" w:type="dxa"/>
            <w:vAlign w:val="center"/>
          </w:tcPr>
          <w:p w14:paraId="29E15591">
            <w:pPr>
              <w:rPr>
                <w:rFonts w:cs="Times New Roman"/>
                <w:kern w:val="0"/>
                <w:sz w:val="18"/>
                <w:szCs w:val="18"/>
              </w:rPr>
            </w:pPr>
            <w:r>
              <w:rPr>
                <w:rFonts w:cs="Times New Roman"/>
                <w:kern w:val="0"/>
                <w:sz w:val="18"/>
                <w:szCs w:val="18"/>
              </w:rPr>
              <w:t>指呼气中CO</w:t>
            </w:r>
            <w:r>
              <w:rPr>
                <w:rFonts w:cs="Times New Roman"/>
                <w:kern w:val="0"/>
                <w:sz w:val="18"/>
                <w:szCs w:val="18"/>
                <w:vertAlign w:val="subscript"/>
              </w:rPr>
              <w:t>2</w:t>
            </w:r>
            <w:r>
              <w:rPr>
                <w:rFonts w:cs="Times New Roman"/>
                <w:kern w:val="0"/>
                <w:sz w:val="18"/>
                <w:szCs w:val="18"/>
              </w:rPr>
              <w:t>排出量</w:t>
            </w:r>
          </w:p>
        </w:tc>
        <w:tc>
          <w:tcPr>
            <w:tcW w:w="2551" w:type="dxa"/>
            <w:vAlign w:val="center"/>
          </w:tcPr>
          <w:p w14:paraId="449C6E52">
            <w:pPr>
              <w:rPr>
                <w:rFonts w:cs="Times New Roman"/>
                <w:kern w:val="0"/>
                <w:sz w:val="18"/>
                <w:szCs w:val="18"/>
              </w:rPr>
            </w:pPr>
            <w:r>
              <w:rPr>
                <w:rFonts w:cs="Times New Roman"/>
                <w:kern w:val="0"/>
                <w:sz w:val="18"/>
                <w:szCs w:val="18"/>
              </w:rPr>
              <w:t>运动时每分通气量VE和VCO</w:t>
            </w:r>
            <w:r>
              <w:rPr>
                <w:rFonts w:cs="Times New Roman"/>
                <w:kern w:val="0"/>
                <w:sz w:val="18"/>
                <w:szCs w:val="18"/>
                <w:vertAlign w:val="subscript"/>
              </w:rPr>
              <w:t>2</w:t>
            </w:r>
            <w:r>
              <w:rPr>
                <w:rFonts w:cs="Times New Roman"/>
                <w:kern w:val="0"/>
                <w:sz w:val="18"/>
                <w:szCs w:val="18"/>
              </w:rPr>
              <w:t>紧密相关</w:t>
            </w:r>
          </w:p>
        </w:tc>
        <w:tc>
          <w:tcPr>
            <w:tcW w:w="2297" w:type="dxa"/>
          </w:tcPr>
          <w:p w14:paraId="4041270A">
            <w:pPr>
              <w:rPr>
                <w:rFonts w:cs="Times New Roman"/>
                <w:kern w:val="0"/>
                <w:sz w:val="18"/>
                <w:szCs w:val="18"/>
              </w:rPr>
            </w:pPr>
            <w:r>
              <w:rPr>
                <w:rFonts w:cs="Times New Roman"/>
                <w:kern w:val="0"/>
                <w:sz w:val="18"/>
                <w:szCs w:val="18"/>
              </w:rPr>
              <w:t>受心搏量、血液CO</w:t>
            </w:r>
            <w:r>
              <w:rPr>
                <w:rFonts w:cs="Times New Roman"/>
                <w:kern w:val="0"/>
                <w:sz w:val="18"/>
                <w:szCs w:val="18"/>
                <w:vertAlign w:val="subscript"/>
              </w:rPr>
              <w:t>2</w:t>
            </w:r>
            <w:r>
              <w:rPr>
                <w:rFonts w:cs="Times New Roman"/>
                <w:kern w:val="0"/>
                <w:sz w:val="18"/>
                <w:szCs w:val="18"/>
              </w:rPr>
              <w:t>携带能力、CO</w:t>
            </w:r>
            <w:r>
              <w:rPr>
                <w:rFonts w:cs="Times New Roman"/>
                <w:kern w:val="0"/>
                <w:sz w:val="18"/>
                <w:szCs w:val="18"/>
                <w:vertAlign w:val="subscript"/>
              </w:rPr>
              <w:t>2</w:t>
            </w:r>
            <w:r>
              <w:rPr>
                <w:rFonts w:cs="Times New Roman"/>
                <w:kern w:val="0"/>
                <w:sz w:val="18"/>
                <w:szCs w:val="18"/>
              </w:rPr>
              <w:t>在组织之间的交换等因素影响</w:t>
            </w:r>
          </w:p>
        </w:tc>
      </w:tr>
      <w:tr w14:paraId="032E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7" w:type="dxa"/>
            <w:vAlign w:val="center"/>
          </w:tcPr>
          <w:p w14:paraId="383893B7">
            <w:pPr>
              <w:rPr>
                <w:rFonts w:cs="Times New Roman"/>
                <w:b/>
                <w:kern w:val="0"/>
                <w:sz w:val="18"/>
                <w:szCs w:val="18"/>
              </w:rPr>
            </w:pPr>
            <w:r>
              <w:rPr>
                <w:rFonts w:cs="Times New Roman"/>
                <w:b/>
                <w:kern w:val="0"/>
                <w:sz w:val="18"/>
                <w:szCs w:val="18"/>
              </w:rPr>
              <w:t>呼吸交换率（RER）</w:t>
            </w:r>
          </w:p>
        </w:tc>
        <w:tc>
          <w:tcPr>
            <w:tcW w:w="1985" w:type="dxa"/>
            <w:vAlign w:val="center"/>
          </w:tcPr>
          <w:p w14:paraId="6D87980A">
            <w:pPr>
              <w:rPr>
                <w:rFonts w:cs="Times New Roman"/>
                <w:kern w:val="0"/>
                <w:sz w:val="18"/>
                <w:szCs w:val="18"/>
              </w:rPr>
            </w:pPr>
            <w:r>
              <w:rPr>
                <w:rFonts w:cs="Times New Roman"/>
                <w:kern w:val="0"/>
                <w:sz w:val="18"/>
                <w:szCs w:val="18"/>
              </w:rPr>
              <w:t>VCO</w:t>
            </w:r>
            <w:r>
              <w:rPr>
                <w:rFonts w:cs="Times New Roman"/>
                <w:kern w:val="0"/>
                <w:sz w:val="18"/>
                <w:szCs w:val="18"/>
                <w:vertAlign w:val="superscript"/>
              </w:rPr>
              <w:t>2</w:t>
            </w:r>
            <w:r>
              <w:rPr>
                <w:rFonts w:cs="Times New Roman"/>
                <w:kern w:val="0"/>
                <w:sz w:val="18"/>
                <w:szCs w:val="18"/>
              </w:rPr>
              <w:t>/VO</w:t>
            </w:r>
            <w:r>
              <w:rPr>
                <w:rFonts w:cs="Times New Roman"/>
                <w:kern w:val="0"/>
                <w:sz w:val="18"/>
                <w:szCs w:val="18"/>
                <w:vertAlign w:val="superscript"/>
              </w:rPr>
              <w:t>2</w:t>
            </w:r>
            <w:r>
              <w:rPr>
                <w:rFonts w:cs="Times New Roman"/>
                <w:kern w:val="0"/>
                <w:sz w:val="18"/>
                <w:szCs w:val="18"/>
              </w:rPr>
              <w:t>的比值</w:t>
            </w:r>
          </w:p>
        </w:tc>
        <w:tc>
          <w:tcPr>
            <w:tcW w:w="2551" w:type="dxa"/>
          </w:tcPr>
          <w:p w14:paraId="05E09931">
            <w:pPr>
              <w:rPr>
                <w:rFonts w:cs="Times New Roman"/>
                <w:kern w:val="0"/>
                <w:sz w:val="18"/>
                <w:szCs w:val="18"/>
              </w:rPr>
            </w:pPr>
            <w:r>
              <w:rPr>
                <w:rFonts w:cs="Times New Roman"/>
                <w:kern w:val="0"/>
                <w:sz w:val="18"/>
                <w:szCs w:val="18"/>
              </w:rPr>
              <w:t>峰值RER≥1.10</w:t>
            </w:r>
            <w:r>
              <w:rPr>
                <w:rFonts w:hint="eastAsia" w:cs="Times New Roman"/>
                <w:kern w:val="0"/>
                <w:sz w:val="18"/>
                <w:szCs w:val="18"/>
              </w:rPr>
              <w:t>，代表</w:t>
            </w:r>
            <w:r>
              <w:rPr>
                <w:rFonts w:cs="Times New Roman"/>
                <w:kern w:val="0"/>
                <w:sz w:val="18"/>
                <w:szCs w:val="18"/>
              </w:rPr>
              <w:t>非常努力地运动</w:t>
            </w:r>
          </w:p>
        </w:tc>
        <w:tc>
          <w:tcPr>
            <w:tcW w:w="2297" w:type="dxa"/>
          </w:tcPr>
          <w:p w14:paraId="1461B376">
            <w:pPr>
              <w:rPr>
                <w:rFonts w:cs="Times New Roman"/>
                <w:kern w:val="0"/>
                <w:sz w:val="18"/>
                <w:szCs w:val="18"/>
              </w:rPr>
            </w:pPr>
            <w:r>
              <w:rPr>
                <w:rFonts w:cs="Times New Roman"/>
                <w:kern w:val="0"/>
                <w:sz w:val="18"/>
                <w:szCs w:val="18"/>
              </w:rPr>
              <w:t>表示运动</w:t>
            </w:r>
            <w:r>
              <w:rPr>
                <w:rFonts w:hint="eastAsia" w:cs="Times New Roman"/>
                <w:kern w:val="0"/>
                <w:sz w:val="18"/>
                <w:szCs w:val="18"/>
              </w:rPr>
              <w:t>费</w:t>
            </w:r>
            <w:r>
              <w:rPr>
                <w:rFonts w:cs="Times New Roman"/>
                <w:kern w:val="0"/>
                <w:sz w:val="18"/>
                <w:szCs w:val="18"/>
              </w:rPr>
              <w:t>力程度的判断指标</w:t>
            </w:r>
          </w:p>
        </w:tc>
      </w:tr>
      <w:tr w14:paraId="27A9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7" w:type="dxa"/>
            <w:vAlign w:val="center"/>
          </w:tcPr>
          <w:p w14:paraId="2832B3A2">
            <w:pPr>
              <w:rPr>
                <w:rFonts w:cs="Times New Roman"/>
                <w:b/>
                <w:kern w:val="0"/>
                <w:sz w:val="18"/>
                <w:szCs w:val="18"/>
              </w:rPr>
            </w:pPr>
            <w:r>
              <w:rPr>
                <w:rFonts w:cs="Times New Roman"/>
                <w:b/>
                <w:kern w:val="0"/>
                <w:sz w:val="18"/>
                <w:szCs w:val="18"/>
              </w:rPr>
              <w:t>VE/VCO</w:t>
            </w:r>
            <w:r>
              <w:rPr>
                <w:rFonts w:cs="Times New Roman"/>
                <w:b/>
                <w:kern w:val="0"/>
                <w:sz w:val="18"/>
                <w:szCs w:val="18"/>
                <w:vertAlign w:val="subscript"/>
              </w:rPr>
              <w:t>2</w:t>
            </w:r>
            <w:r>
              <w:rPr>
                <w:rFonts w:cs="Times New Roman"/>
                <w:b/>
                <w:kern w:val="0"/>
                <w:sz w:val="18"/>
                <w:szCs w:val="18"/>
              </w:rPr>
              <w:t>斜率</w:t>
            </w:r>
          </w:p>
        </w:tc>
        <w:tc>
          <w:tcPr>
            <w:tcW w:w="1985" w:type="dxa"/>
            <w:vAlign w:val="center"/>
          </w:tcPr>
          <w:p w14:paraId="3C2208E6">
            <w:pPr>
              <w:rPr>
                <w:rFonts w:cs="Times New Roman"/>
                <w:kern w:val="0"/>
                <w:sz w:val="18"/>
                <w:szCs w:val="18"/>
              </w:rPr>
            </w:pPr>
            <w:r>
              <w:rPr>
                <w:rFonts w:cs="Times New Roman"/>
                <w:kern w:val="0"/>
                <w:sz w:val="18"/>
                <w:szCs w:val="18"/>
              </w:rPr>
              <w:t>指VE/VCO</w:t>
            </w:r>
            <w:r>
              <w:rPr>
                <w:rFonts w:cs="Times New Roman"/>
                <w:kern w:val="0"/>
                <w:sz w:val="18"/>
                <w:szCs w:val="18"/>
                <w:vertAlign w:val="subscript"/>
              </w:rPr>
              <w:t>2</w:t>
            </w:r>
            <w:r>
              <w:rPr>
                <w:rFonts w:cs="Times New Roman"/>
                <w:kern w:val="0"/>
                <w:sz w:val="18"/>
                <w:szCs w:val="18"/>
              </w:rPr>
              <w:t>的比值，在无氧</w:t>
            </w:r>
            <w:r>
              <w:rPr>
                <w:rFonts w:hint="eastAsia" w:cs="Times New Roman"/>
                <w:kern w:val="0"/>
                <w:sz w:val="18"/>
                <w:szCs w:val="18"/>
              </w:rPr>
              <w:t>阈值时，</w:t>
            </w:r>
            <w:r>
              <w:rPr>
                <w:rFonts w:cs="Times New Roman"/>
                <w:kern w:val="0"/>
                <w:sz w:val="18"/>
                <w:szCs w:val="18"/>
              </w:rPr>
              <w:t>斜率与</w:t>
            </w:r>
            <w:r>
              <w:rPr>
                <w:rFonts w:hint="eastAsia" w:cs="Times New Roman"/>
                <w:kern w:val="0"/>
                <w:sz w:val="18"/>
                <w:szCs w:val="18"/>
              </w:rPr>
              <w:t>生理性</w:t>
            </w:r>
            <w:r>
              <w:rPr>
                <w:rFonts w:cs="Times New Roman"/>
                <w:kern w:val="0"/>
                <w:sz w:val="18"/>
                <w:szCs w:val="18"/>
              </w:rPr>
              <w:t>死腔有关</w:t>
            </w:r>
          </w:p>
        </w:tc>
        <w:tc>
          <w:tcPr>
            <w:tcW w:w="2551" w:type="dxa"/>
          </w:tcPr>
          <w:p w14:paraId="00BC2F22">
            <w:pPr>
              <w:rPr>
                <w:rFonts w:cs="Times New Roman"/>
                <w:kern w:val="0"/>
                <w:sz w:val="18"/>
                <w:szCs w:val="18"/>
              </w:rPr>
            </w:pPr>
            <w:r>
              <w:rPr>
                <w:rFonts w:cs="Times New Roman"/>
                <w:kern w:val="0"/>
                <w:sz w:val="18"/>
                <w:szCs w:val="18"/>
              </w:rPr>
              <w:t>正常参考值小于30，随着年龄的增加，数值会轻微增加，大于40提示预后不良</w:t>
            </w:r>
          </w:p>
        </w:tc>
        <w:tc>
          <w:tcPr>
            <w:tcW w:w="2297" w:type="dxa"/>
            <w:vAlign w:val="center"/>
          </w:tcPr>
          <w:p w14:paraId="4E68DB15">
            <w:pPr>
              <w:rPr>
                <w:rFonts w:cs="Times New Roman"/>
                <w:kern w:val="0"/>
                <w:sz w:val="18"/>
                <w:szCs w:val="18"/>
              </w:rPr>
            </w:pPr>
            <w:r>
              <w:rPr>
                <w:rFonts w:cs="Times New Roman"/>
                <w:kern w:val="0"/>
                <w:sz w:val="18"/>
                <w:szCs w:val="18"/>
              </w:rPr>
              <w:t>提示心血管－肺的通气和灌注之间的匹配</w:t>
            </w:r>
          </w:p>
        </w:tc>
      </w:tr>
      <w:tr w14:paraId="2954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7" w:type="dxa"/>
            <w:vAlign w:val="center"/>
          </w:tcPr>
          <w:p w14:paraId="2D196242">
            <w:pPr>
              <w:rPr>
                <w:rFonts w:cs="Times New Roman"/>
                <w:b/>
                <w:kern w:val="0"/>
                <w:sz w:val="18"/>
                <w:szCs w:val="18"/>
              </w:rPr>
            </w:pPr>
            <w:r>
              <w:rPr>
                <w:rFonts w:cs="Times New Roman"/>
                <w:b/>
                <w:kern w:val="0"/>
                <w:sz w:val="18"/>
                <w:szCs w:val="18"/>
              </w:rPr>
              <w:t>每搏氧耗量（O</w:t>
            </w:r>
            <w:r>
              <w:rPr>
                <w:rFonts w:cs="Times New Roman"/>
                <w:b/>
                <w:kern w:val="0"/>
                <w:sz w:val="18"/>
                <w:szCs w:val="18"/>
                <w:vertAlign w:val="subscript"/>
              </w:rPr>
              <w:t>2</w:t>
            </w:r>
            <w:r>
              <w:rPr>
                <w:rFonts w:cs="Times New Roman"/>
                <w:b/>
                <w:kern w:val="0"/>
                <w:sz w:val="18"/>
                <w:szCs w:val="18"/>
              </w:rPr>
              <w:t>pulse）</w:t>
            </w:r>
          </w:p>
        </w:tc>
        <w:tc>
          <w:tcPr>
            <w:tcW w:w="1985" w:type="dxa"/>
            <w:vAlign w:val="center"/>
          </w:tcPr>
          <w:p w14:paraId="41DB57D1">
            <w:pPr>
              <w:rPr>
                <w:rFonts w:cs="Times New Roman"/>
                <w:kern w:val="0"/>
                <w:sz w:val="18"/>
                <w:szCs w:val="18"/>
              </w:rPr>
            </w:pPr>
            <w:r>
              <w:rPr>
                <w:rFonts w:cs="Times New Roman"/>
                <w:kern w:val="0"/>
                <w:sz w:val="18"/>
                <w:szCs w:val="18"/>
              </w:rPr>
              <w:t>是VO</w:t>
            </w:r>
            <w:r>
              <w:rPr>
                <w:rFonts w:cs="Times New Roman"/>
                <w:kern w:val="0"/>
                <w:sz w:val="18"/>
                <w:szCs w:val="18"/>
                <w:vertAlign w:val="subscript"/>
              </w:rPr>
              <w:t>2</w:t>
            </w:r>
            <w:r>
              <w:rPr>
                <w:rFonts w:cs="Times New Roman"/>
                <w:kern w:val="0"/>
                <w:sz w:val="18"/>
                <w:szCs w:val="18"/>
              </w:rPr>
              <w:t xml:space="preserve">与HR的比值，代表心脏每次射血的供氧能力 </w:t>
            </w:r>
          </w:p>
        </w:tc>
        <w:tc>
          <w:tcPr>
            <w:tcW w:w="2551" w:type="dxa"/>
          </w:tcPr>
          <w:p w14:paraId="16C4BE9A">
            <w:pPr>
              <w:rPr>
                <w:rFonts w:cs="Times New Roman"/>
                <w:kern w:val="0"/>
                <w:sz w:val="18"/>
                <w:szCs w:val="18"/>
              </w:rPr>
            </w:pPr>
            <w:r>
              <w:rPr>
                <w:rFonts w:cs="Times New Roman"/>
                <w:kern w:val="0"/>
                <w:sz w:val="18"/>
                <w:szCs w:val="18"/>
              </w:rPr>
              <w:t>低</w:t>
            </w:r>
            <w:r>
              <w:rPr>
                <w:rFonts w:hint="eastAsia" w:cs="Times New Roman"/>
                <w:kern w:val="0"/>
                <w:sz w:val="18"/>
                <w:szCs w:val="18"/>
              </w:rPr>
              <w:t>强度</w:t>
            </w:r>
            <w:r>
              <w:rPr>
                <w:rFonts w:cs="Times New Roman"/>
                <w:kern w:val="0"/>
                <w:sz w:val="18"/>
                <w:szCs w:val="18"/>
              </w:rPr>
              <w:t>运动时氧脉搏快速增加，随</w:t>
            </w:r>
            <w:r>
              <w:rPr>
                <w:rFonts w:hint="eastAsia" w:cs="Times New Roman"/>
                <w:kern w:val="0"/>
                <w:sz w:val="18"/>
                <w:szCs w:val="18"/>
              </w:rPr>
              <w:t>运动强度</w:t>
            </w:r>
            <w:r>
              <w:rPr>
                <w:rFonts w:cs="Times New Roman"/>
                <w:kern w:val="0"/>
                <w:sz w:val="18"/>
                <w:szCs w:val="18"/>
              </w:rPr>
              <w:t>逐步增加，氧脉搏增加缓慢接近</w:t>
            </w:r>
            <w:r>
              <w:rPr>
                <w:rFonts w:hint="eastAsia" w:cs="Times New Roman"/>
                <w:kern w:val="0"/>
                <w:sz w:val="18"/>
                <w:szCs w:val="18"/>
              </w:rPr>
              <w:t>上限</w:t>
            </w:r>
            <w:r>
              <w:rPr>
                <w:rFonts w:cs="Times New Roman"/>
                <w:kern w:val="0"/>
                <w:sz w:val="18"/>
                <w:szCs w:val="18"/>
              </w:rPr>
              <w:t>值，8.5</w:t>
            </w:r>
            <w:r>
              <w:rPr>
                <w:rFonts w:hint="eastAsia" w:cs="Times New Roman"/>
                <w:kern w:val="0"/>
                <w:sz w:val="18"/>
                <w:szCs w:val="18"/>
              </w:rPr>
              <w:t>-</w:t>
            </w:r>
            <w:r>
              <w:rPr>
                <w:rFonts w:cs="Times New Roman"/>
                <w:kern w:val="0"/>
                <w:sz w:val="18"/>
                <w:szCs w:val="18"/>
              </w:rPr>
              <w:t>11</w:t>
            </w:r>
            <w:r>
              <w:rPr>
                <w:rFonts w:hint="eastAsia" w:cs="Times New Roman"/>
                <w:kern w:val="0"/>
                <w:sz w:val="18"/>
                <w:szCs w:val="18"/>
              </w:rPr>
              <w:t xml:space="preserve"> </w:t>
            </w:r>
            <w:r>
              <w:rPr>
                <w:rFonts w:cs="Times New Roman"/>
                <w:kern w:val="0"/>
                <w:sz w:val="18"/>
                <w:szCs w:val="18"/>
              </w:rPr>
              <w:t>ml/min•w</w:t>
            </w:r>
          </w:p>
        </w:tc>
        <w:tc>
          <w:tcPr>
            <w:tcW w:w="2297" w:type="dxa"/>
          </w:tcPr>
          <w:p w14:paraId="14D0CCF9">
            <w:pPr>
              <w:rPr>
                <w:rFonts w:cs="Times New Roman"/>
                <w:kern w:val="0"/>
                <w:sz w:val="18"/>
                <w:szCs w:val="18"/>
              </w:rPr>
            </w:pPr>
            <w:r>
              <w:rPr>
                <w:rFonts w:cs="Times New Roman"/>
                <w:kern w:val="0"/>
                <w:sz w:val="18"/>
                <w:szCs w:val="18"/>
              </w:rPr>
              <w:t>随着</w:t>
            </w:r>
            <w:r>
              <w:rPr>
                <w:rFonts w:hint="eastAsia" w:cs="Times New Roman"/>
                <w:kern w:val="0"/>
                <w:sz w:val="18"/>
                <w:szCs w:val="18"/>
              </w:rPr>
              <w:t>运动强度</w:t>
            </w:r>
            <w:r>
              <w:rPr>
                <w:rFonts w:cs="Times New Roman"/>
                <w:kern w:val="0"/>
                <w:sz w:val="18"/>
                <w:szCs w:val="18"/>
              </w:rPr>
              <w:t>增加，每搏氧耗量曲线低平</w:t>
            </w:r>
            <w:r>
              <w:rPr>
                <w:rFonts w:hint="eastAsia" w:cs="Times New Roman"/>
                <w:kern w:val="0"/>
                <w:sz w:val="18"/>
                <w:szCs w:val="18"/>
              </w:rPr>
              <w:t>或</w:t>
            </w:r>
            <w:r>
              <w:rPr>
                <w:rFonts w:cs="Times New Roman"/>
                <w:kern w:val="0"/>
                <w:sz w:val="18"/>
                <w:szCs w:val="18"/>
              </w:rPr>
              <w:t>不变化，反映心搏量降低和或骨骼肌氧摄取受限</w:t>
            </w:r>
          </w:p>
        </w:tc>
      </w:tr>
    </w:tbl>
    <w:p w14:paraId="1F5C1754"/>
    <w:p w14:paraId="4D2F214C">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9 自感劳累程度评分表(Borg RPE 量表（6-20分级）)</w:t>
      </w:r>
    </w:p>
    <w:p w14:paraId="44008E98">
      <w:pPr>
        <w:jc w:val="center"/>
        <w:rPr>
          <w:rFonts w:hint="eastAsia" w:cs="Times New Roman"/>
          <w:b/>
          <w:sz w:val="22"/>
        </w:rPr>
      </w:pPr>
    </w:p>
    <w:tbl>
      <w:tblPr>
        <w:tblStyle w:val="16"/>
        <w:tblW w:w="8789" w:type="dxa"/>
        <w:tblInd w:w="-289" w:type="dxa"/>
        <w:tblLayout w:type="autofit"/>
        <w:tblCellMar>
          <w:top w:w="0" w:type="dxa"/>
          <w:left w:w="108" w:type="dxa"/>
          <w:bottom w:w="0" w:type="dxa"/>
          <w:right w:w="108" w:type="dxa"/>
        </w:tblCellMar>
      </w:tblPr>
      <w:tblGrid>
        <w:gridCol w:w="2362"/>
        <w:gridCol w:w="3071"/>
        <w:gridCol w:w="3356"/>
      </w:tblGrid>
      <w:tr w14:paraId="3E174DBA">
        <w:tblPrEx>
          <w:tblCellMar>
            <w:top w:w="0" w:type="dxa"/>
            <w:left w:w="108" w:type="dxa"/>
            <w:bottom w:w="0" w:type="dxa"/>
            <w:right w:w="108" w:type="dxa"/>
          </w:tblCellMar>
        </w:tblPrEx>
        <w:trPr>
          <w:trHeight w:val="670" w:hRule="atLeast"/>
        </w:trPr>
        <w:tc>
          <w:tcPr>
            <w:tcW w:w="2362" w:type="dxa"/>
            <w:tcBorders>
              <w:top w:val="single" w:color="000000" w:sz="4" w:space="0"/>
              <w:left w:val="single" w:color="000000" w:sz="4" w:space="0"/>
              <w:bottom w:val="single" w:color="000000" w:sz="4" w:space="0"/>
              <w:right w:val="single" w:color="000000" w:sz="4" w:space="0"/>
            </w:tcBorders>
            <w:vAlign w:val="center"/>
          </w:tcPr>
          <w:p w14:paraId="7D2D6BA7">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RPE</w:t>
            </w:r>
          </w:p>
        </w:tc>
        <w:tc>
          <w:tcPr>
            <w:tcW w:w="3071" w:type="dxa"/>
            <w:tcBorders>
              <w:top w:val="single" w:color="000000" w:sz="4" w:space="0"/>
              <w:left w:val="single" w:color="000000" w:sz="4" w:space="0"/>
              <w:bottom w:val="single" w:color="000000" w:sz="4" w:space="0"/>
              <w:right w:val="single" w:color="000000" w:sz="4" w:space="0"/>
            </w:tcBorders>
            <w:vAlign w:val="center"/>
          </w:tcPr>
          <w:p w14:paraId="5287E08D">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主观运动感觉</w:t>
            </w:r>
          </w:p>
        </w:tc>
        <w:tc>
          <w:tcPr>
            <w:tcW w:w="3356" w:type="dxa"/>
            <w:tcBorders>
              <w:top w:val="single" w:color="000000" w:sz="4" w:space="0"/>
              <w:left w:val="single" w:color="000000" w:sz="4" w:space="0"/>
              <w:bottom w:val="single" w:color="000000" w:sz="4" w:space="0"/>
              <w:right w:val="single" w:color="000000" w:sz="4" w:space="0"/>
            </w:tcBorders>
            <w:vAlign w:val="center"/>
          </w:tcPr>
          <w:p w14:paraId="41BE56DE">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对应参考心率</w:t>
            </w:r>
          </w:p>
        </w:tc>
      </w:tr>
      <w:tr w14:paraId="23F76022">
        <w:tblPrEx>
          <w:tblCellMar>
            <w:top w:w="0" w:type="dxa"/>
            <w:left w:w="108" w:type="dxa"/>
            <w:bottom w:w="0" w:type="dxa"/>
            <w:right w:w="108" w:type="dxa"/>
          </w:tblCellMar>
        </w:tblPrEx>
        <w:trPr>
          <w:trHeight w:val="633" w:hRule="atLeast"/>
        </w:trPr>
        <w:tc>
          <w:tcPr>
            <w:tcW w:w="2362" w:type="dxa"/>
            <w:tcBorders>
              <w:top w:val="single" w:color="000000" w:sz="4" w:space="0"/>
              <w:left w:val="single" w:color="000000" w:sz="4" w:space="0"/>
              <w:bottom w:val="single" w:color="000000" w:sz="4" w:space="0"/>
              <w:right w:val="single" w:color="000000" w:sz="4" w:space="0"/>
            </w:tcBorders>
            <w:shd w:val="clear" w:color="auto" w:fill="F8FAED"/>
          </w:tcPr>
          <w:p w14:paraId="1F0DB290">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6 </w:t>
            </w:r>
          </w:p>
        </w:tc>
        <w:tc>
          <w:tcPr>
            <w:tcW w:w="3071" w:type="dxa"/>
            <w:tcBorders>
              <w:top w:val="single" w:color="000000" w:sz="4" w:space="0"/>
              <w:left w:val="single" w:color="000000" w:sz="4" w:space="0"/>
              <w:bottom w:val="single" w:color="000000" w:sz="4" w:space="0"/>
              <w:right w:val="single" w:color="000000" w:sz="4" w:space="0"/>
            </w:tcBorders>
            <w:shd w:val="clear" w:color="auto" w:fill="F8FAED"/>
            <w:vAlign w:val="center"/>
          </w:tcPr>
          <w:p w14:paraId="6B87F78E">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安静，不费力</w:t>
            </w:r>
          </w:p>
        </w:tc>
        <w:tc>
          <w:tcPr>
            <w:tcW w:w="3356" w:type="dxa"/>
            <w:tcBorders>
              <w:top w:val="single" w:color="000000" w:sz="4" w:space="0"/>
              <w:left w:val="single" w:color="000000" w:sz="4" w:space="0"/>
              <w:bottom w:val="single" w:color="000000" w:sz="4" w:space="0"/>
              <w:right w:val="single" w:color="000000" w:sz="4" w:space="0"/>
            </w:tcBorders>
            <w:shd w:val="clear" w:color="auto" w:fill="F8FAEE"/>
            <w:vAlign w:val="center"/>
          </w:tcPr>
          <w:p w14:paraId="5A30FA18">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静息心率</w:t>
            </w:r>
          </w:p>
        </w:tc>
      </w:tr>
      <w:tr w14:paraId="425E683C">
        <w:tblPrEx>
          <w:tblCellMar>
            <w:top w:w="0" w:type="dxa"/>
            <w:left w:w="108" w:type="dxa"/>
            <w:bottom w:w="0" w:type="dxa"/>
            <w:right w:w="108" w:type="dxa"/>
          </w:tblCellMar>
        </w:tblPrEx>
        <w:trPr>
          <w:trHeight w:val="375" w:hRule="atLeast"/>
        </w:trPr>
        <w:tc>
          <w:tcPr>
            <w:tcW w:w="2362" w:type="dxa"/>
            <w:vMerge w:val="restart"/>
            <w:tcBorders>
              <w:top w:val="single" w:color="000000" w:sz="4" w:space="0"/>
              <w:left w:val="single" w:color="000000" w:sz="4" w:space="0"/>
              <w:bottom w:val="single" w:color="000000" w:sz="4" w:space="0"/>
              <w:right w:val="single" w:color="000000" w:sz="4" w:space="0"/>
            </w:tcBorders>
            <w:shd w:val="clear" w:color="auto" w:fill="F8FAEE"/>
          </w:tcPr>
          <w:p w14:paraId="642FC407">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7 </w:t>
            </w:r>
          </w:p>
        </w:tc>
        <w:tc>
          <w:tcPr>
            <w:tcW w:w="3071" w:type="dxa"/>
            <w:vMerge w:val="restart"/>
            <w:tcBorders>
              <w:top w:val="single" w:color="000000" w:sz="4" w:space="0"/>
              <w:left w:val="single" w:color="000000" w:sz="4" w:space="0"/>
              <w:bottom w:val="single" w:color="000000" w:sz="4" w:space="0"/>
              <w:right w:val="single" w:color="000000" w:sz="4" w:space="0"/>
            </w:tcBorders>
            <w:shd w:val="clear" w:color="auto" w:fill="F8FAED"/>
            <w:vAlign w:val="center"/>
          </w:tcPr>
          <w:p w14:paraId="17802BEB">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极其轻松</w:t>
            </w:r>
          </w:p>
        </w:tc>
        <w:tc>
          <w:tcPr>
            <w:tcW w:w="3356" w:type="dxa"/>
            <w:vMerge w:val="restart"/>
            <w:tcBorders>
              <w:top w:val="single" w:color="000000" w:sz="4" w:space="0"/>
              <w:left w:val="single" w:color="000000" w:sz="4" w:space="0"/>
              <w:bottom w:val="single" w:color="000000" w:sz="4" w:space="0"/>
              <w:right w:val="single" w:color="000000" w:sz="4" w:space="0"/>
            </w:tcBorders>
            <w:shd w:val="clear" w:color="auto" w:fill="F8FBEE"/>
            <w:vAlign w:val="center"/>
          </w:tcPr>
          <w:p w14:paraId="2B219503">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70 </w:t>
            </w:r>
          </w:p>
        </w:tc>
      </w:tr>
      <w:tr w14:paraId="5AA6DFF5">
        <w:tblPrEx>
          <w:tblCellMar>
            <w:top w:w="0" w:type="dxa"/>
            <w:left w:w="108" w:type="dxa"/>
            <w:bottom w:w="0" w:type="dxa"/>
            <w:right w:w="108" w:type="dxa"/>
          </w:tblCellMar>
        </w:tblPrEx>
        <w:trPr>
          <w:trHeight w:val="312" w:hRule="atLeast"/>
        </w:trPr>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F8FAEE"/>
          </w:tcPr>
          <w:p w14:paraId="3AD19EF6">
            <w:pPr>
              <w:rPr>
                <w:rFonts w:cs="Times New Roman" w:asciiTheme="minorEastAsia" w:hAnsiTheme="minorEastAsia" w:eastAsiaTheme="minorEastAsia"/>
                <w:sz w:val="18"/>
                <w:szCs w:val="18"/>
              </w:rPr>
            </w:pP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8FAED"/>
            <w:vAlign w:val="center"/>
          </w:tcPr>
          <w:p w14:paraId="16CC230E">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8FBEE"/>
            <w:vAlign w:val="center"/>
          </w:tcPr>
          <w:p w14:paraId="306981D7">
            <w:pPr>
              <w:rPr>
                <w:rFonts w:cs="Times New Roman" w:asciiTheme="minorEastAsia" w:hAnsiTheme="minorEastAsia" w:eastAsiaTheme="minorEastAsia"/>
                <w:sz w:val="18"/>
                <w:szCs w:val="18"/>
              </w:rPr>
            </w:pPr>
          </w:p>
        </w:tc>
      </w:tr>
      <w:tr w14:paraId="26587E79">
        <w:tblPrEx>
          <w:tblCellMar>
            <w:top w:w="0" w:type="dxa"/>
            <w:left w:w="108" w:type="dxa"/>
            <w:bottom w:w="0" w:type="dxa"/>
            <w:right w:w="108" w:type="dxa"/>
          </w:tblCellMar>
        </w:tblPrEx>
        <w:trPr>
          <w:trHeight w:val="312" w:hRule="atLeast"/>
        </w:trPr>
        <w:tc>
          <w:tcPr>
            <w:tcW w:w="2362" w:type="dxa"/>
            <w:vMerge w:val="restart"/>
            <w:tcBorders>
              <w:top w:val="single" w:color="000000" w:sz="4" w:space="0"/>
              <w:left w:val="single" w:color="000000" w:sz="4" w:space="0"/>
              <w:bottom w:val="single" w:color="000000" w:sz="4" w:space="0"/>
              <w:right w:val="single" w:color="000000" w:sz="4" w:space="0"/>
            </w:tcBorders>
            <w:shd w:val="clear" w:color="auto" w:fill="F8FAED"/>
          </w:tcPr>
          <w:p w14:paraId="4EEAA573">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8 </w:t>
            </w: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8FAED"/>
            <w:vAlign w:val="center"/>
          </w:tcPr>
          <w:p w14:paraId="1ADA18C0">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8FBEE"/>
            <w:vAlign w:val="center"/>
          </w:tcPr>
          <w:p w14:paraId="3BF44DC6">
            <w:pPr>
              <w:rPr>
                <w:rFonts w:cs="Times New Roman" w:asciiTheme="minorEastAsia" w:hAnsiTheme="minorEastAsia" w:eastAsiaTheme="minorEastAsia"/>
                <w:sz w:val="18"/>
                <w:szCs w:val="18"/>
              </w:rPr>
            </w:pPr>
          </w:p>
        </w:tc>
      </w:tr>
      <w:tr w14:paraId="2231B30E">
        <w:tblPrEx>
          <w:tblCellMar>
            <w:top w:w="0" w:type="dxa"/>
            <w:left w:w="108" w:type="dxa"/>
            <w:bottom w:w="0" w:type="dxa"/>
            <w:right w:w="108" w:type="dxa"/>
          </w:tblCellMar>
        </w:tblPrEx>
        <w:trPr>
          <w:trHeight w:val="312" w:hRule="atLeast"/>
        </w:trPr>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F8FAED"/>
          </w:tcPr>
          <w:p w14:paraId="2BF89DC2">
            <w:pPr>
              <w:rPr>
                <w:rFonts w:cs="Times New Roman" w:asciiTheme="minorEastAsia" w:hAnsiTheme="minorEastAsia" w:eastAsiaTheme="minorEastAsia"/>
                <w:sz w:val="18"/>
                <w:szCs w:val="18"/>
              </w:rPr>
            </w:pP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8FAED"/>
            <w:vAlign w:val="center"/>
          </w:tcPr>
          <w:p w14:paraId="7BC8DEFC">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8FBEE"/>
            <w:vAlign w:val="center"/>
          </w:tcPr>
          <w:p w14:paraId="641F5CA3">
            <w:pPr>
              <w:rPr>
                <w:rFonts w:cs="Times New Roman" w:asciiTheme="minorEastAsia" w:hAnsiTheme="minorEastAsia" w:eastAsiaTheme="minorEastAsia"/>
                <w:sz w:val="18"/>
                <w:szCs w:val="18"/>
              </w:rPr>
            </w:pPr>
          </w:p>
        </w:tc>
      </w:tr>
      <w:tr w14:paraId="42B21F21">
        <w:tblPrEx>
          <w:tblCellMar>
            <w:top w:w="0" w:type="dxa"/>
            <w:left w:w="108" w:type="dxa"/>
            <w:bottom w:w="0" w:type="dxa"/>
            <w:right w:w="108" w:type="dxa"/>
          </w:tblCellMar>
        </w:tblPrEx>
        <w:trPr>
          <w:trHeight w:val="312" w:hRule="atLeast"/>
        </w:trPr>
        <w:tc>
          <w:tcPr>
            <w:tcW w:w="2362" w:type="dxa"/>
            <w:vMerge w:val="restart"/>
            <w:tcBorders>
              <w:top w:val="single" w:color="000000" w:sz="4" w:space="0"/>
              <w:left w:val="single" w:color="000000" w:sz="4" w:space="0"/>
              <w:bottom w:val="single" w:color="000000" w:sz="4" w:space="0"/>
              <w:right w:val="single" w:color="000000" w:sz="4" w:space="0"/>
            </w:tcBorders>
            <w:shd w:val="clear" w:color="auto" w:fill="F3FEEE"/>
          </w:tcPr>
          <w:p w14:paraId="67AEF1C1">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9 </w:t>
            </w:r>
          </w:p>
        </w:tc>
        <w:tc>
          <w:tcPr>
            <w:tcW w:w="3071" w:type="dxa"/>
            <w:vMerge w:val="restart"/>
            <w:tcBorders>
              <w:top w:val="single" w:color="000000" w:sz="4" w:space="0"/>
              <w:left w:val="single" w:color="000000" w:sz="4" w:space="0"/>
              <w:bottom w:val="single" w:color="000000" w:sz="4" w:space="0"/>
              <w:right w:val="single" w:color="000000" w:sz="4" w:space="0"/>
            </w:tcBorders>
            <w:shd w:val="clear" w:color="auto" w:fill="F3FEEE"/>
            <w:vAlign w:val="center"/>
          </w:tcPr>
          <w:p w14:paraId="3D7D78DE">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很轻松</w:t>
            </w:r>
          </w:p>
        </w:tc>
        <w:tc>
          <w:tcPr>
            <w:tcW w:w="3356" w:type="dxa"/>
            <w:vMerge w:val="restart"/>
            <w:tcBorders>
              <w:top w:val="single" w:color="000000" w:sz="4" w:space="0"/>
              <w:left w:val="single" w:color="000000" w:sz="4" w:space="0"/>
              <w:bottom w:val="single" w:color="000000" w:sz="4" w:space="0"/>
              <w:right w:val="single" w:color="000000" w:sz="4" w:space="0"/>
            </w:tcBorders>
            <w:shd w:val="clear" w:color="auto" w:fill="F3FEED"/>
            <w:vAlign w:val="center"/>
          </w:tcPr>
          <w:p w14:paraId="1192AAE0">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90 </w:t>
            </w:r>
          </w:p>
        </w:tc>
      </w:tr>
      <w:tr w14:paraId="503E303A">
        <w:tblPrEx>
          <w:tblCellMar>
            <w:top w:w="0" w:type="dxa"/>
            <w:left w:w="108" w:type="dxa"/>
            <w:bottom w:w="0" w:type="dxa"/>
            <w:right w:w="108" w:type="dxa"/>
          </w:tblCellMar>
        </w:tblPrEx>
        <w:trPr>
          <w:trHeight w:val="312" w:hRule="atLeast"/>
        </w:trPr>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F3FEEE"/>
          </w:tcPr>
          <w:p w14:paraId="466100F7">
            <w:pPr>
              <w:rPr>
                <w:rFonts w:cs="Times New Roman" w:asciiTheme="minorEastAsia" w:hAnsiTheme="minorEastAsia" w:eastAsiaTheme="minorEastAsia"/>
                <w:sz w:val="18"/>
                <w:szCs w:val="18"/>
              </w:rPr>
            </w:pP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3FEEE"/>
            <w:vAlign w:val="center"/>
          </w:tcPr>
          <w:p w14:paraId="126EE49E">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3FEED"/>
            <w:vAlign w:val="center"/>
          </w:tcPr>
          <w:p w14:paraId="43452F8E">
            <w:pPr>
              <w:rPr>
                <w:rFonts w:cs="Times New Roman" w:asciiTheme="minorEastAsia" w:hAnsiTheme="minorEastAsia" w:eastAsiaTheme="minorEastAsia"/>
                <w:sz w:val="18"/>
                <w:szCs w:val="18"/>
              </w:rPr>
            </w:pPr>
          </w:p>
        </w:tc>
      </w:tr>
      <w:tr w14:paraId="3328B9E5">
        <w:tblPrEx>
          <w:tblCellMar>
            <w:top w:w="0" w:type="dxa"/>
            <w:left w:w="108" w:type="dxa"/>
            <w:bottom w:w="0" w:type="dxa"/>
            <w:right w:w="108" w:type="dxa"/>
          </w:tblCellMar>
        </w:tblPrEx>
        <w:trPr>
          <w:trHeight w:val="312" w:hRule="atLeast"/>
        </w:trPr>
        <w:tc>
          <w:tcPr>
            <w:tcW w:w="2362" w:type="dxa"/>
            <w:vMerge w:val="restart"/>
            <w:tcBorders>
              <w:top w:val="single" w:color="000000" w:sz="4" w:space="0"/>
              <w:left w:val="single" w:color="000000" w:sz="4" w:space="0"/>
              <w:bottom w:val="single" w:color="000000" w:sz="4" w:space="0"/>
              <w:right w:val="single" w:color="000000" w:sz="4" w:space="0"/>
            </w:tcBorders>
            <w:shd w:val="clear" w:color="auto" w:fill="F3FEED"/>
          </w:tcPr>
          <w:p w14:paraId="7CCD1282">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10 </w:t>
            </w:r>
          </w:p>
        </w:tc>
        <w:tc>
          <w:tcPr>
            <w:tcW w:w="3071" w:type="dxa"/>
            <w:vMerge w:val="restart"/>
            <w:tcBorders>
              <w:top w:val="single" w:color="000000" w:sz="4" w:space="0"/>
              <w:left w:val="single" w:color="000000" w:sz="4" w:space="0"/>
              <w:bottom w:val="single" w:color="000000" w:sz="4" w:space="0"/>
              <w:right w:val="single" w:color="000000" w:sz="4" w:space="0"/>
            </w:tcBorders>
            <w:shd w:val="clear" w:color="auto" w:fill="F3FEED"/>
            <w:vAlign w:val="center"/>
          </w:tcPr>
          <w:p w14:paraId="624C0594">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轻松</w:t>
            </w: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3FEED"/>
            <w:vAlign w:val="center"/>
          </w:tcPr>
          <w:p w14:paraId="197EDE74">
            <w:pPr>
              <w:rPr>
                <w:rFonts w:cs="Times New Roman" w:asciiTheme="minorEastAsia" w:hAnsiTheme="minorEastAsia" w:eastAsiaTheme="minorEastAsia"/>
                <w:sz w:val="18"/>
                <w:szCs w:val="18"/>
              </w:rPr>
            </w:pPr>
          </w:p>
        </w:tc>
      </w:tr>
      <w:tr w14:paraId="425EB334">
        <w:tblPrEx>
          <w:tblCellMar>
            <w:top w:w="0" w:type="dxa"/>
            <w:left w:w="108" w:type="dxa"/>
            <w:bottom w:w="0" w:type="dxa"/>
            <w:right w:w="108" w:type="dxa"/>
          </w:tblCellMar>
        </w:tblPrEx>
        <w:trPr>
          <w:trHeight w:val="375" w:hRule="atLeast"/>
        </w:trPr>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F3FEED"/>
          </w:tcPr>
          <w:p w14:paraId="3C70510C">
            <w:pPr>
              <w:rPr>
                <w:rFonts w:cs="Times New Roman" w:asciiTheme="minorEastAsia" w:hAnsiTheme="minorEastAsia" w:eastAsiaTheme="minorEastAsia"/>
                <w:sz w:val="18"/>
                <w:szCs w:val="18"/>
              </w:rPr>
            </w:pP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3FEED"/>
            <w:vAlign w:val="center"/>
          </w:tcPr>
          <w:p w14:paraId="3BE1FE72">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3FEED"/>
            <w:vAlign w:val="center"/>
          </w:tcPr>
          <w:p w14:paraId="67EB2105">
            <w:pPr>
              <w:rPr>
                <w:rFonts w:cs="Times New Roman" w:asciiTheme="minorEastAsia" w:hAnsiTheme="minorEastAsia" w:eastAsiaTheme="minorEastAsia"/>
                <w:sz w:val="18"/>
                <w:szCs w:val="18"/>
              </w:rPr>
            </w:pPr>
          </w:p>
        </w:tc>
      </w:tr>
      <w:tr w14:paraId="248B6D72">
        <w:tblPrEx>
          <w:tblCellMar>
            <w:top w:w="0" w:type="dxa"/>
            <w:left w:w="108" w:type="dxa"/>
            <w:bottom w:w="0" w:type="dxa"/>
            <w:right w:w="108" w:type="dxa"/>
          </w:tblCellMar>
        </w:tblPrEx>
        <w:trPr>
          <w:trHeight w:val="435" w:hRule="atLeast"/>
        </w:trPr>
        <w:tc>
          <w:tcPr>
            <w:tcW w:w="2362" w:type="dxa"/>
            <w:tcBorders>
              <w:top w:val="single" w:color="000000" w:sz="4" w:space="0"/>
              <w:left w:val="single" w:color="000000" w:sz="4" w:space="0"/>
              <w:bottom w:val="single" w:color="000000" w:sz="4" w:space="0"/>
              <w:right w:val="single" w:color="000000" w:sz="4" w:space="0"/>
            </w:tcBorders>
            <w:shd w:val="clear" w:color="auto" w:fill="F4FEEE"/>
          </w:tcPr>
          <w:p w14:paraId="460DAB6E">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11 </w:t>
            </w: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3FEED"/>
            <w:vAlign w:val="center"/>
          </w:tcPr>
          <w:p w14:paraId="15767720">
            <w:pPr>
              <w:rPr>
                <w:rFonts w:cs="Times New Roman" w:asciiTheme="minorEastAsia" w:hAnsiTheme="minorEastAsia" w:eastAsiaTheme="minorEastAsia"/>
                <w:sz w:val="18"/>
                <w:szCs w:val="18"/>
              </w:rPr>
            </w:pPr>
          </w:p>
        </w:tc>
        <w:tc>
          <w:tcPr>
            <w:tcW w:w="3356" w:type="dxa"/>
            <w:tcBorders>
              <w:top w:val="single" w:color="000000" w:sz="4" w:space="0"/>
              <w:left w:val="single" w:color="000000" w:sz="4" w:space="0"/>
              <w:bottom w:val="single" w:color="000000" w:sz="4" w:space="0"/>
              <w:right w:val="single" w:color="000000" w:sz="4" w:space="0"/>
            </w:tcBorders>
            <w:shd w:val="clear" w:color="auto" w:fill="F4FEEE"/>
          </w:tcPr>
          <w:p w14:paraId="7CC4CA22">
            <w:pPr>
              <w:rPr>
                <w:rFonts w:cs="Times New Roman" w:asciiTheme="minorEastAsia" w:hAnsiTheme="minorEastAsia" w:eastAsiaTheme="minorEastAsia"/>
                <w:sz w:val="18"/>
                <w:szCs w:val="18"/>
              </w:rPr>
            </w:pPr>
          </w:p>
        </w:tc>
      </w:tr>
      <w:tr w14:paraId="754F450D">
        <w:tblPrEx>
          <w:tblCellMar>
            <w:top w:w="0" w:type="dxa"/>
            <w:left w:w="108" w:type="dxa"/>
            <w:bottom w:w="0" w:type="dxa"/>
            <w:right w:w="108" w:type="dxa"/>
          </w:tblCellMar>
        </w:tblPrEx>
        <w:trPr>
          <w:trHeight w:val="460" w:hRule="atLeast"/>
        </w:trPr>
        <w:tc>
          <w:tcPr>
            <w:tcW w:w="2362" w:type="dxa"/>
            <w:tcBorders>
              <w:top w:val="single" w:color="000000" w:sz="4" w:space="0"/>
              <w:left w:val="single" w:color="000000" w:sz="4" w:space="0"/>
              <w:bottom w:val="single" w:color="000000" w:sz="4" w:space="0"/>
              <w:right w:val="single" w:color="000000" w:sz="4" w:space="0"/>
            </w:tcBorders>
            <w:shd w:val="clear" w:color="auto" w:fill="B6FE04"/>
            <w:vAlign w:val="center"/>
          </w:tcPr>
          <w:p w14:paraId="13F261E5">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12 </w:t>
            </w:r>
          </w:p>
        </w:tc>
        <w:tc>
          <w:tcPr>
            <w:tcW w:w="3071" w:type="dxa"/>
            <w:vMerge w:val="restart"/>
            <w:tcBorders>
              <w:top w:val="single" w:color="000000" w:sz="4" w:space="0"/>
              <w:left w:val="single" w:color="000000" w:sz="4" w:space="0"/>
              <w:bottom w:val="single" w:color="000000" w:sz="4" w:space="0"/>
              <w:right w:val="single" w:color="000000" w:sz="4" w:space="0"/>
            </w:tcBorders>
            <w:shd w:val="clear" w:color="auto" w:fill="B6FE04"/>
            <w:vAlign w:val="center"/>
          </w:tcPr>
          <w:p w14:paraId="54A23980">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有点吃力</w:t>
            </w:r>
          </w:p>
        </w:tc>
        <w:tc>
          <w:tcPr>
            <w:tcW w:w="3356" w:type="dxa"/>
            <w:tcBorders>
              <w:top w:val="single" w:color="000000" w:sz="4" w:space="0"/>
              <w:left w:val="single" w:color="000000" w:sz="4" w:space="0"/>
              <w:bottom w:val="single" w:color="000000" w:sz="4" w:space="0"/>
              <w:right w:val="single" w:color="000000" w:sz="4" w:space="0"/>
            </w:tcBorders>
            <w:shd w:val="clear" w:color="auto" w:fill="B6FE05"/>
          </w:tcPr>
          <w:p w14:paraId="6E84BCE3">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110 </w:t>
            </w:r>
          </w:p>
        </w:tc>
      </w:tr>
      <w:tr w14:paraId="2D50DADF">
        <w:tblPrEx>
          <w:tblCellMar>
            <w:top w:w="0" w:type="dxa"/>
            <w:left w:w="108" w:type="dxa"/>
            <w:bottom w:w="0" w:type="dxa"/>
            <w:right w:w="108" w:type="dxa"/>
          </w:tblCellMar>
        </w:tblPrEx>
        <w:trPr>
          <w:trHeight w:val="435" w:hRule="atLeast"/>
        </w:trPr>
        <w:tc>
          <w:tcPr>
            <w:tcW w:w="2362" w:type="dxa"/>
            <w:tcBorders>
              <w:top w:val="single" w:color="000000" w:sz="4" w:space="0"/>
              <w:left w:val="single" w:color="000000" w:sz="4" w:space="0"/>
              <w:bottom w:val="single" w:color="000000" w:sz="4" w:space="0"/>
              <w:right w:val="single" w:color="000000" w:sz="4" w:space="0"/>
            </w:tcBorders>
            <w:shd w:val="clear" w:color="auto" w:fill="B7FE05"/>
          </w:tcPr>
          <w:p w14:paraId="7D18F5D6">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13 </w:t>
            </w: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B6FE04"/>
            <w:vAlign w:val="center"/>
          </w:tcPr>
          <w:p w14:paraId="419C0528">
            <w:pPr>
              <w:rPr>
                <w:rFonts w:cs="Times New Roman" w:asciiTheme="minorEastAsia" w:hAnsiTheme="minorEastAsia" w:eastAsiaTheme="minorEastAsia"/>
                <w:sz w:val="18"/>
                <w:szCs w:val="18"/>
              </w:rPr>
            </w:pPr>
          </w:p>
        </w:tc>
        <w:tc>
          <w:tcPr>
            <w:tcW w:w="3356" w:type="dxa"/>
            <w:vMerge w:val="restart"/>
            <w:tcBorders>
              <w:top w:val="single" w:color="000000" w:sz="4" w:space="0"/>
              <w:left w:val="single" w:color="000000" w:sz="4" w:space="0"/>
              <w:bottom w:val="single" w:color="000000" w:sz="4" w:space="0"/>
              <w:right w:val="single" w:color="000000" w:sz="4" w:space="0"/>
            </w:tcBorders>
            <w:shd w:val="clear" w:color="auto" w:fill="B6FE04"/>
            <w:vAlign w:val="center"/>
          </w:tcPr>
          <w:p w14:paraId="197EB776">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130 </w:t>
            </w:r>
          </w:p>
        </w:tc>
      </w:tr>
      <w:tr w14:paraId="64ABA85D">
        <w:tblPrEx>
          <w:tblCellMar>
            <w:top w:w="0" w:type="dxa"/>
            <w:left w:w="108" w:type="dxa"/>
            <w:bottom w:w="0" w:type="dxa"/>
            <w:right w:w="108" w:type="dxa"/>
          </w:tblCellMar>
        </w:tblPrEx>
        <w:trPr>
          <w:trHeight w:val="375" w:hRule="atLeast"/>
        </w:trPr>
        <w:tc>
          <w:tcPr>
            <w:tcW w:w="2362" w:type="dxa"/>
            <w:vMerge w:val="restart"/>
            <w:tcBorders>
              <w:top w:val="single" w:color="000000" w:sz="4" w:space="0"/>
              <w:left w:val="single" w:color="000000" w:sz="4" w:space="0"/>
              <w:bottom w:val="single" w:color="000000" w:sz="4" w:space="0"/>
              <w:right w:val="single" w:color="000000" w:sz="4" w:space="0"/>
            </w:tcBorders>
            <w:shd w:val="clear" w:color="auto" w:fill="B6FE04"/>
          </w:tcPr>
          <w:p w14:paraId="11E96EE9">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14 </w:t>
            </w: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B6FE04"/>
            <w:vAlign w:val="center"/>
          </w:tcPr>
          <w:p w14:paraId="4350A893">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B6FE04"/>
            <w:vAlign w:val="center"/>
          </w:tcPr>
          <w:p w14:paraId="085FF7A2">
            <w:pPr>
              <w:rPr>
                <w:rFonts w:cs="Times New Roman" w:asciiTheme="minorEastAsia" w:hAnsiTheme="minorEastAsia" w:eastAsiaTheme="minorEastAsia"/>
                <w:sz w:val="18"/>
                <w:szCs w:val="18"/>
              </w:rPr>
            </w:pPr>
          </w:p>
        </w:tc>
      </w:tr>
      <w:tr w14:paraId="20469971">
        <w:tblPrEx>
          <w:tblCellMar>
            <w:top w:w="0" w:type="dxa"/>
            <w:left w:w="108" w:type="dxa"/>
            <w:bottom w:w="0" w:type="dxa"/>
            <w:right w:w="108" w:type="dxa"/>
          </w:tblCellMar>
        </w:tblPrEx>
        <w:trPr>
          <w:trHeight w:val="312" w:hRule="atLeast"/>
        </w:trPr>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B6FE04"/>
          </w:tcPr>
          <w:p w14:paraId="2866DF90">
            <w:pPr>
              <w:rPr>
                <w:rFonts w:cs="Times New Roman" w:asciiTheme="minorEastAsia" w:hAnsiTheme="minorEastAsia" w:eastAsiaTheme="minorEastAsia"/>
                <w:sz w:val="18"/>
                <w:szCs w:val="18"/>
              </w:rPr>
            </w:pP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B6FE04"/>
            <w:vAlign w:val="center"/>
          </w:tcPr>
          <w:p w14:paraId="0D9B60BF">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B6FE04"/>
            <w:vAlign w:val="center"/>
          </w:tcPr>
          <w:p w14:paraId="1CDB332A">
            <w:pPr>
              <w:rPr>
                <w:rFonts w:cs="Times New Roman" w:asciiTheme="minorEastAsia" w:hAnsiTheme="minorEastAsia" w:eastAsiaTheme="minorEastAsia"/>
                <w:sz w:val="18"/>
                <w:szCs w:val="18"/>
              </w:rPr>
            </w:pPr>
          </w:p>
        </w:tc>
      </w:tr>
      <w:tr w14:paraId="5E73634D">
        <w:tblPrEx>
          <w:tblCellMar>
            <w:top w:w="0" w:type="dxa"/>
            <w:left w:w="108" w:type="dxa"/>
            <w:bottom w:w="0" w:type="dxa"/>
            <w:right w:w="108" w:type="dxa"/>
          </w:tblCellMar>
        </w:tblPrEx>
        <w:trPr>
          <w:trHeight w:val="312" w:hRule="atLeast"/>
        </w:trPr>
        <w:tc>
          <w:tcPr>
            <w:tcW w:w="2362" w:type="dxa"/>
            <w:vMerge w:val="restart"/>
            <w:tcBorders>
              <w:top w:val="single" w:color="000000" w:sz="4" w:space="0"/>
              <w:left w:val="single" w:color="000000" w:sz="4" w:space="0"/>
              <w:bottom w:val="single" w:color="000000" w:sz="4" w:space="0"/>
              <w:right w:val="single" w:color="000000" w:sz="4" w:space="0"/>
            </w:tcBorders>
            <w:shd w:val="clear" w:color="auto" w:fill="FADE00"/>
          </w:tcPr>
          <w:p w14:paraId="4F794CF5">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15 </w:t>
            </w:r>
          </w:p>
        </w:tc>
        <w:tc>
          <w:tcPr>
            <w:tcW w:w="3071" w:type="dxa"/>
            <w:vMerge w:val="restart"/>
            <w:tcBorders>
              <w:top w:val="single" w:color="000000" w:sz="4" w:space="0"/>
              <w:left w:val="single" w:color="000000" w:sz="4" w:space="0"/>
              <w:bottom w:val="single" w:color="000000" w:sz="4" w:space="0"/>
              <w:right w:val="single" w:color="000000" w:sz="4" w:space="0"/>
            </w:tcBorders>
            <w:shd w:val="clear" w:color="auto" w:fill="FADE00"/>
            <w:vAlign w:val="center"/>
          </w:tcPr>
          <w:p w14:paraId="7B8A22B9">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吃力</w:t>
            </w:r>
          </w:p>
        </w:tc>
        <w:tc>
          <w:tcPr>
            <w:tcW w:w="3356" w:type="dxa"/>
            <w:vMerge w:val="restart"/>
            <w:tcBorders>
              <w:top w:val="single" w:color="000000" w:sz="4" w:space="0"/>
              <w:left w:val="single" w:color="000000" w:sz="4" w:space="0"/>
              <w:bottom w:val="single" w:color="000000" w:sz="4" w:space="0"/>
              <w:right w:val="single" w:color="000000" w:sz="4" w:space="0"/>
            </w:tcBorders>
            <w:shd w:val="clear" w:color="auto" w:fill="FADE00"/>
            <w:vAlign w:val="center"/>
          </w:tcPr>
          <w:p w14:paraId="7D631D99">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150 </w:t>
            </w:r>
          </w:p>
        </w:tc>
      </w:tr>
      <w:tr w14:paraId="0EF4BC10">
        <w:tblPrEx>
          <w:tblCellMar>
            <w:top w:w="0" w:type="dxa"/>
            <w:left w:w="108" w:type="dxa"/>
            <w:bottom w:w="0" w:type="dxa"/>
            <w:right w:w="108" w:type="dxa"/>
          </w:tblCellMar>
        </w:tblPrEx>
        <w:trPr>
          <w:trHeight w:val="312" w:hRule="atLeast"/>
        </w:trPr>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FADE00"/>
          </w:tcPr>
          <w:p w14:paraId="0BB57065">
            <w:pPr>
              <w:rPr>
                <w:rFonts w:cs="Times New Roman" w:asciiTheme="minorEastAsia" w:hAnsiTheme="minorEastAsia" w:eastAsiaTheme="minorEastAsia"/>
                <w:sz w:val="18"/>
                <w:szCs w:val="18"/>
              </w:rPr>
            </w:pP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4AA589FD">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4BAB8AB2">
            <w:pPr>
              <w:rPr>
                <w:rFonts w:cs="Times New Roman" w:asciiTheme="minorEastAsia" w:hAnsiTheme="minorEastAsia" w:eastAsiaTheme="minorEastAsia"/>
                <w:sz w:val="18"/>
                <w:szCs w:val="18"/>
              </w:rPr>
            </w:pPr>
          </w:p>
        </w:tc>
      </w:tr>
      <w:tr w14:paraId="70795A52">
        <w:tblPrEx>
          <w:tblCellMar>
            <w:top w:w="0" w:type="dxa"/>
            <w:left w:w="108" w:type="dxa"/>
            <w:bottom w:w="0" w:type="dxa"/>
            <w:right w:w="108" w:type="dxa"/>
          </w:tblCellMar>
        </w:tblPrEx>
        <w:trPr>
          <w:trHeight w:val="312" w:hRule="atLeast"/>
        </w:trPr>
        <w:tc>
          <w:tcPr>
            <w:tcW w:w="2362" w:type="dxa"/>
            <w:vMerge w:val="restart"/>
            <w:tcBorders>
              <w:top w:val="single" w:color="000000" w:sz="4" w:space="0"/>
              <w:left w:val="single" w:color="000000" w:sz="4" w:space="0"/>
              <w:bottom w:val="single" w:color="000000" w:sz="4" w:space="0"/>
              <w:right w:val="single" w:color="000000" w:sz="4" w:space="0"/>
            </w:tcBorders>
            <w:shd w:val="clear" w:color="auto" w:fill="FADE00"/>
          </w:tcPr>
          <w:p w14:paraId="5DDF6CC8">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16 </w:t>
            </w:r>
          </w:p>
        </w:tc>
        <w:tc>
          <w:tcPr>
            <w:tcW w:w="3071" w:type="dxa"/>
            <w:vMerge w:val="restart"/>
            <w:tcBorders>
              <w:top w:val="single" w:color="000000" w:sz="4" w:space="0"/>
              <w:left w:val="single" w:color="000000" w:sz="4" w:space="0"/>
              <w:bottom w:val="single" w:color="000000" w:sz="4" w:space="0"/>
              <w:right w:val="single" w:color="000000" w:sz="4" w:space="0"/>
            </w:tcBorders>
            <w:shd w:val="clear" w:color="auto" w:fill="FADE00"/>
            <w:vAlign w:val="center"/>
          </w:tcPr>
          <w:p w14:paraId="5F5D0C9F">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非常吃力</w:t>
            </w: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0FBA130C">
            <w:pPr>
              <w:rPr>
                <w:rFonts w:cs="Times New Roman" w:asciiTheme="minorEastAsia" w:hAnsiTheme="minorEastAsia" w:eastAsiaTheme="minorEastAsia"/>
                <w:sz w:val="18"/>
                <w:szCs w:val="18"/>
              </w:rPr>
            </w:pPr>
          </w:p>
        </w:tc>
      </w:tr>
      <w:tr w14:paraId="3CEE288C">
        <w:tblPrEx>
          <w:tblCellMar>
            <w:top w:w="0" w:type="dxa"/>
            <w:left w:w="108" w:type="dxa"/>
            <w:bottom w:w="0" w:type="dxa"/>
            <w:right w:w="108" w:type="dxa"/>
          </w:tblCellMar>
        </w:tblPrEx>
        <w:trPr>
          <w:trHeight w:val="375" w:hRule="atLeast"/>
        </w:trPr>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FADE00"/>
          </w:tcPr>
          <w:p w14:paraId="7A8AE702">
            <w:pPr>
              <w:rPr>
                <w:rFonts w:cs="Times New Roman" w:asciiTheme="minorEastAsia" w:hAnsiTheme="minorEastAsia" w:eastAsiaTheme="minorEastAsia"/>
                <w:sz w:val="18"/>
                <w:szCs w:val="18"/>
              </w:rPr>
            </w:pP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3DCD353B">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047FFBDE">
            <w:pPr>
              <w:rPr>
                <w:rFonts w:cs="Times New Roman" w:asciiTheme="minorEastAsia" w:hAnsiTheme="minorEastAsia" w:eastAsiaTheme="minorEastAsia"/>
                <w:sz w:val="18"/>
                <w:szCs w:val="18"/>
              </w:rPr>
            </w:pPr>
          </w:p>
        </w:tc>
      </w:tr>
      <w:tr w14:paraId="22701BE9">
        <w:tblPrEx>
          <w:tblCellMar>
            <w:top w:w="0" w:type="dxa"/>
            <w:left w:w="108" w:type="dxa"/>
            <w:bottom w:w="0" w:type="dxa"/>
            <w:right w:w="108" w:type="dxa"/>
          </w:tblCellMar>
        </w:tblPrEx>
        <w:trPr>
          <w:trHeight w:val="435" w:hRule="atLeast"/>
        </w:trPr>
        <w:tc>
          <w:tcPr>
            <w:tcW w:w="2362" w:type="dxa"/>
            <w:tcBorders>
              <w:top w:val="single" w:color="000000" w:sz="4" w:space="0"/>
              <w:left w:val="single" w:color="000000" w:sz="4" w:space="0"/>
              <w:bottom w:val="single" w:color="000000" w:sz="4" w:space="0"/>
              <w:right w:val="single" w:color="000000" w:sz="4" w:space="0"/>
            </w:tcBorders>
            <w:shd w:val="clear" w:color="auto" w:fill="FADE00"/>
          </w:tcPr>
          <w:p w14:paraId="179665D8">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17 </w:t>
            </w: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7FCDC0EB">
            <w:pPr>
              <w:rPr>
                <w:rFonts w:cs="Times New Roman" w:asciiTheme="minorEastAsia" w:hAnsiTheme="minorEastAsia" w:eastAsiaTheme="minorEastAsia"/>
                <w:sz w:val="18"/>
                <w:szCs w:val="18"/>
              </w:rPr>
            </w:pPr>
          </w:p>
        </w:tc>
        <w:tc>
          <w:tcPr>
            <w:tcW w:w="3356" w:type="dxa"/>
            <w:vMerge w:val="restart"/>
            <w:tcBorders>
              <w:top w:val="single" w:color="000000" w:sz="4" w:space="0"/>
              <w:left w:val="single" w:color="000000" w:sz="4" w:space="0"/>
              <w:bottom w:val="single" w:color="000000" w:sz="4" w:space="0"/>
              <w:right w:val="single" w:color="000000" w:sz="4" w:space="0"/>
            </w:tcBorders>
            <w:shd w:val="clear" w:color="auto" w:fill="FADE00"/>
            <w:vAlign w:val="center"/>
          </w:tcPr>
          <w:p w14:paraId="136EF315">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170 </w:t>
            </w:r>
          </w:p>
        </w:tc>
      </w:tr>
      <w:tr w14:paraId="007A4515">
        <w:tblPrEx>
          <w:tblCellMar>
            <w:top w:w="0" w:type="dxa"/>
            <w:left w:w="108" w:type="dxa"/>
            <w:bottom w:w="0" w:type="dxa"/>
            <w:right w:w="108" w:type="dxa"/>
          </w:tblCellMar>
        </w:tblPrEx>
        <w:trPr>
          <w:trHeight w:val="455" w:hRule="atLeast"/>
        </w:trPr>
        <w:tc>
          <w:tcPr>
            <w:tcW w:w="2362" w:type="dxa"/>
            <w:tcBorders>
              <w:top w:val="single" w:color="000000" w:sz="4" w:space="0"/>
              <w:left w:val="single" w:color="000000" w:sz="4" w:space="0"/>
              <w:bottom w:val="single" w:color="000000" w:sz="4" w:space="0"/>
              <w:right w:val="single" w:color="000000" w:sz="4" w:space="0"/>
            </w:tcBorders>
            <w:shd w:val="clear" w:color="auto" w:fill="FADE00"/>
          </w:tcPr>
          <w:p w14:paraId="41EB84B9">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18 </w:t>
            </w:r>
          </w:p>
        </w:tc>
        <w:tc>
          <w:tcPr>
            <w:tcW w:w="3071"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034F8733">
            <w:pPr>
              <w:rPr>
                <w:rFonts w:cs="Times New Roman" w:asciiTheme="minorEastAsia" w:hAnsiTheme="minorEastAsia" w:eastAsiaTheme="minorEastAsia"/>
                <w:sz w:val="18"/>
                <w:szCs w:val="18"/>
              </w:rPr>
            </w:pPr>
          </w:p>
        </w:tc>
        <w:tc>
          <w:tcPr>
            <w:tcW w:w="3356" w:type="dxa"/>
            <w:vMerge w:val="continue"/>
            <w:tcBorders>
              <w:top w:val="single" w:color="000000" w:sz="4" w:space="0"/>
              <w:left w:val="single" w:color="000000" w:sz="4" w:space="0"/>
              <w:bottom w:val="single" w:color="000000" w:sz="4" w:space="0"/>
              <w:right w:val="single" w:color="000000" w:sz="4" w:space="0"/>
            </w:tcBorders>
            <w:shd w:val="clear" w:color="auto" w:fill="FADE00"/>
            <w:vAlign w:val="center"/>
          </w:tcPr>
          <w:p w14:paraId="1D0268C6">
            <w:pPr>
              <w:rPr>
                <w:rFonts w:cs="Times New Roman" w:asciiTheme="minorEastAsia" w:hAnsiTheme="minorEastAsia" w:eastAsiaTheme="minorEastAsia"/>
                <w:sz w:val="18"/>
                <w:szCs w:val="18"/>
              </w:rPr>
            </w:pPr>
          </w:p>
        </w:tc>
      </w:tr>
      <w:tr w14:paraId="41F55322">
        <w:tblPrEx>
          <w:tblCellMar>
            <w:top w:w="0" w:type="dxa"/>
            <w:left w:w="108" w:type="dxa"/>
            <w:bottom w:w="0" w:type="dxa"/>
            <w:right w:w="108" w:type="dxa"/>
          </w:tblCellMar>
        </w:tblPrEx>
        <w:trPr>
          <w:trHeight w:val="460" w:hRule="atLeast"/>
        </w:trPr>
        <w:tc>
          <w:tcPr>
            <w:tcW w:w="2362" w:type="dxa"/>
            <w:tcBorders>
              <w:top w:val="single" w:color="000000" w:sz="4" w:space="0"/>
              <w:left w:val="single" w:color="000000" w:sz="4" w:space="0"/>
              <w:bottom w:val="single" w:color="000000" w:sz="4" w:space="0"/>
              <w:right w:val="single" w:color="000000" w:sz="4" w:space="0"/>
            </w:tcBorders>
            <w:shd w:val="clear" w:color="auto" w:fill="F51A00"/>
          </w:tcPr>
          <w:p w14:paraId="6DB8F63E">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19 </w:t>
            </w:r>
          </w:p>
        </w:tc>
        <w:tc>
          <w:tcPr>
            <w:tcW w:w="3071" w:type="dxa"/>
            <w:tcBorders>
              <w:top w:val="single" w:color="000000" w:sz="4" w:space="0"/>
              <w:left w:val="single" w:color="000000" w:sz="4" w:space="0"/>
              <w:bottom w:val="single" w:color="000000" w:sz="4" w:space="0"/>
              <w:right w:val="single" w:color="000000" w:sz="4" w:space="0"/>
            </w:tcBorders>
            <w:shd w:val="clear" w:color="auto" w:fill="F51A00"/>
            <w:vAlign w:val="center"/>
          </w:tcPr>
          <w:p w14:paraId="6BCB8A87">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极其吃力</w:t>
            </w:r>
          </w:p>
        </w:tc>
        <w:tc>
          <w:tcPr>
            <w:tcW w:w="3356" w:type="dxa"/>
            <w:tcBorders>
              <w:top w:val="single" w:color="000000" w:sz="4" w:space="0"/>
              <w:left w:val="single" w:color="000000" w:sz="4" w:space="0"/>
              <w:bottom w:val="single" w:color="000000" w:sz="4" w:space="0"/>
              <w:right w:val="single" w:color="000000" w:sz="4" w:space="0"/>
            </w:tcBorders>
            <w:shd w:val="clear" w:color="auto" w:fill="F51A00"/>
          </w:tcPr>
          <w:p w14:paraId="7A8E58E5">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195 </w:t>
            </w:r>
          </w:p>
        </w:tc>
      </w:tr>
      <w:tr w14:paraId="62368B66">
        <w:tblPrEx>
          <w:tblCellMar>
            <w:top w:w="0" w:type="dxa"/>
            <w:left w:w="108" w:type="dxa"/>
            <w:bottom w:w="0" w:type="dxa"/>
            <w:right w:w="108" w:type="dxa"/>
          </w:tblCellMar>
        </w:tblPrEx>
        <w:trPr>
          <w:trHeight w:val="417" w:hRule="atLeast"/>
        </w:trPr>
        <w:tc>
          <w:tcPr>
            <w:tcW w:w="2362" w:type="dxa"/>
            <w:tcBorders>
              <w:top w:val="single" w:color="000000" w:sz="4" w:space="0"/>
              <w:left w:val="single" w:color="000000" w:sz="4" w:space="0"/>
              <w:bottom w:val="single" w:color="000000" w:sz="4" w:space="0"/>
              <w:right w:val="single" w:color="000000" w:sz="4" w:space="0"/>
            </w:tcBorders>
            <w:shd w:val="clear" w:color="auto" w:fill="F51900"/>
            <w:vAlign w:val="center"/>
          </w:tcPr>
          <w:p w14:paraId="7B83289F">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 xml:space="preserve">20 </w:t>
            </w:r>
          </w:p>
        </w:tc>
        <w:tc>
          <w:tcPr>
            <w:tcW w:w="3071" w:type="dxa"/>
            <w:tcBorders>
              <w:top w:val="single" w:color="000000" w:sz="4" w:space="0"/>
              <w:left w:val="single" w:color="000000" w:sz="4" w:space="0"/>
              <w:bottom w:val="single" w:color="000000" w:sz="4" w:space="0"/>
              <w:right w:val="single" w:color="000000" w:sz="4" w:space="0"/>
            </w:tcBorders>
            <w:shd w:val="clear" w:color="auto" w:fill="F51900"/>
            <w:vAlign w:val="center"/>
          </w:tcPr>
          <w:p w14:paraId="71BA63D4">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精疲力竭</w:t>
            </w:r>
          </w:p>
        </w:tc>
        <w:tc>
          <w:tcPr>
            <w:tcW w:w="3356" w:type="dxa"/>
            <w:tcBorders>
              <w:top w:val="single" w:color="000000" w:sz="4" w:space="0"/>
              <w:left w:val="single" w:color="000000" w:sz="4" w:space="0"/>
              <w:bottom w:val="single" w:color="000000" w:sz="4" w:space="0"/>
              <w:right w:val="single" w:color="000000" w:sz="4" w:space="0"/>
            </w:tcBorders>
            <w:shd w:val="clear" w:color="auto" w:fill="F51900"/>
            <w:vAlign w:val="center"/>
          </w:tcPr>
          <w:p w14:paraId="1694B6D3">
            <w:pP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最大心率</w:t>
            </w:r>
          </w:p>
        </w:tc>
      </w:tr>
    </w:tbl>
    <w:p w14:paraId="4F355AF4">
      <w:pPr>
        <w:rPr>
          <w:rFonts w:hint="eastAsia" w:cs="Times New Roman"/>
          <w:sz w:val="22"/>
        </w:rPr>
      </w:pPr>
    </w:p>
    <w:p w14:paraId="4CEF2193">
      <w:pPr>
        <w:pStyle w:val="3"/>
        <w:keepNext/>
        <w:keepLines/>
        <w:pageBreakBefore w:val="0"/>
        <w:widowControl w:val="0"/>
        <w:kinsoku/>
        <w:wordWrap/>
        <w:overflowPunct/>
        <w:topLinePunct w:val="0"/>
        <w:autoSpaceDE/>
        <w:autoSpaceDN/>
        <w:bidi w:val="0"/>
        <w:adjustRightInd/>
        <w:snapToGrid/>
        <w:spacing w:before="140" w:after="140" w:line="360" w:lineRule="exact"/>
        <w:jc w:val="center"/>
        <w:textAlignment w:val="auto"/>
        <w:rPr>
          <w:rFonts w:hint="eastAsia" w:ascii="黑体" w:hAnsi="黑体" w:eastAsia="黑体" w:cs="黑体"/>
          <w:b w:val="0"/>
          <w:bCs w:val="0"/>
          <w:sz w:val="21"/>
          <w:szCs w:val="24"/>
        </w:rPr>
      </w:pPr>
      <w:r>
        <w:rPr>
          <w:rFonts w:hint="eastAsia" w:ascii="黑体" w:hAnsi="黑体" w:eastAsia="黑体" w:cs="黑体"/>
          <w:b w:val="0"/>
          <w:bCs w:val="0"/>
          <w:sz w:val="21"/>
          <w:szCs w:val="24"/>
        </w:rPr>
        <w:t>表</w:t>
      </w:r>
      <w:r>
        <w:rPr>
          <w:rFonts w:hint="eastAsia" w:ascii="黑体" w:hAnsi="黑体" w:eastAsia="黑体" w:cs="黑体"/>
          <w:b w:val="0"/>
          <w:bCs w:val="0"/>
          <w:sz w:val="21"/>
          <w:szCs w:val="24"/>
          <w:lang w:val="en-US" w:eastAsia="zh-CN"/>
        </w:rPr>
        <w:t>A.</w:t>
      </w:r>
      <w:r>
        <w:rPr>
          <w:rFonts w:hint="eastAsia" w:ascii="黑体" w:hAnsi="黑体" w:eastAsia="黑体" w:cs="黑体"/>
          <w:b w:val="0"/>
          <w:bCs w:val="0"/>
          <w:sz w:val="21"/>
          <w:szCs w:val="24"/>
        </w:rPr>
        <w:t>10 徒手肌力、平衡和柔韧性评估</w:t>
      </w:r>
    </w:p>
    <w:tbl>
      <w:tblPr>
        <w:tblStyle w:val="17"/>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2"/>
        <w:gridCol w:w="6472"/>
      </w:tblGrid>
      <w:tr w14:paraId="3B99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3711D904">
            <w:pPr>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评估内容</w:t>
            </w:r>
          </w:p>
        </w:tc>
        <w:tc>
          <w:tcPr>
            <w:tcW w:w="6472" w:type="dxa"/>
            <w:vAlign w:val="center"/>
          </w:tcPr>
          <w:p w14:paraId="42BF2FCA">
            <w:pPr>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方 法</w:t>
            </w:r>
          </w:p>
        </w:tc>
      </w:tr>
      <w:tr w14:paraId="5401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01676C85">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上肢力量</w:t>
            </w:r>
          </w:p>
        </w:tc>
        <w:tc>
          <w:tcPr>
            <w:tcW w:w="6472" w:type="dxa"/>
            <w:vAlign w:val="center"/>
          </w:tcPr>
          <w:p w14:paraId="77BACAC2">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 xml:space="preserve">30秒内，单手屈臂举哑铃次数（男2.5 kg，女1.5 kg） </w:t>
            </w:r>
          </w:p>
        </w:tc>
      </w:tr>
      <w:tr w14:paraId="78C6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54E38B92">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下肢力量</w:t>
            </w:r>
          </w:p>
        </w:tc>
        <w:tc>
          <w:tcPr>
            <w:tcW w:w="6472" w:type="dxa"/>
            <w:vAlign w:val="center"/>
          </w:tcPr>
          <w:p w14:paraId="386E4126">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30秒内，从椅子坐位到完全站立起来的次数</w:t>
            </w:r>
          </w:p>
        </w:tc>
      </w:tr>
      <w:tr w14:paraId="5332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61A83AED">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踏步试验</w:t>
            </w:r>
          </w:p>
        </w:tc>
        <w:tc>
          <w:tcPr>
            <w:tcW w:w="6472" w:type="dxa"/>
            <w:vAlign w:val="center"/>
          </w:tcPr>
          <w:p w14:paraId="0DE988D1">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 xml:space="preserve">1分钟内高抬腿踏步次数 </w:t>
            </w:r>
          </w:p>
        </w:tc>
      </w:tr>
      <w:tr w14:paraId="7689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5122F403">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坐-立位试验</w:t>
            </w:r>
          </w:p>
        </w:tc>
        <w:tc>
          <w:tcPr>
            <w:tcW w:w="6472" w:type="dxa"/>
            <w:vAlign w:val="center"/>
          </w:tcPr>
          <w:p w14:paraId="44F7EE9B">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5次，每个动作1分，满分10分。如用手或下肢做额外支撑减1分。8分以下死亡率增加2倍。</w:t>
            </w:r>
          </w:p>
        </w:tc>
      </w:tr>
      <w:tr w14:paraId="47FB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166B9B22">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肩关节柔韧性</w:t>
            </w:r>
          </w:p>
        </w:tc>
        <w:tc>
          <w:tcPr>
            <w:tcW w:w="6472" w:type="dxa"/>
            <w:vAlign w:val="center"/>
          </w:tcPr>
          <w:p w14:paraId="392B2A1D">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一只手越过肩，与另一只手上探，之间最近距离</w:t>
            </w:r>
          </w:p>
        </w:tc>
      </w:tr>
      <w:tr w14:paraId="10FC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13C38306">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髋关节柔韧性</w:t>
            </w:r>
          </w:p>
        </w:tc>
        <w:tc>
          <w:tcPr>
            <w:tcW w:w="6472" w:type="dxa"/>
            <w:vAlign w:val="center"/>
          </w:tcPr>
          <w:p w14:paraId="4E864B1B">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坐在折叠椅上弯腰伸臂中指到脚趾距离</w:t>
            </w:r>
          </w:p>
        </w:tc>
      </w:tr>
      <w:tr w14:paraId="063E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dxa"/>
            <w:vAlign w:val="center"/>
          </w:tcPr>
          <w:p w14:paraId="338CCC2F">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移动和平衡能力</w:t>
            </w:r>
          </w:p>
        </w:tc>
        <w:tc>
          <w:tcPr>
            <w:tcW w:w="6472" w:type="dxa"/>
            <w:vAlign w:val="center"/>
          </w:tcPr>
          <w:p w14:paraId="3B820675">
            <w:pP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坐位---从椅子站起向前走3 m转身走回到椅子---坐下，记录时间</w:t>
            </w:r>
          </w:p>
        </w:tc>
      </w:tr>
    </w:tbl>
    <w:p w14:paraId="5C375D55">
      <w:pPr>
        <w:rPr>
          <w:rFonts w:hint="eastAsia"/>
          <w:color w:val="FF0000"/>
        </w:rPr>
      </w:pPr>
    </w:p>
    <w:p w14:paraId="36F56BD7">
      <w:pPr>
        <w:pStyle w:val="2"/>
        <w:rPr>
          <w:rFonts w:hint="eastAsia"/>
        </w:rPr>
        <w:sectPr>
          <w:headerReference r:id="rId11" w:type="default"/>
          <w:footerReference r:id="rId12" w:type="default"/>
          <w:endnotePr>
            <w:numFmt w:val="decimal"/>
          </w:endnotePr>
          <w:pgSz w:w="11906" w:h="16838"/>
          <w:pgMar w:top="1440" w:right="1800" w:bottom="1440" w:left="1800" w:header="851" w:footer="992" w:gutter="0"/>
          <w:pgNumType w:start="1"/>
          <w:cols w:space="425" w:num="1"/>
          <w:docGrid w:type="lines" w:linePitch="312" w:charSpace="0"/>
        </w:sectPr>
      </w:pPr>
    </w:p>
    <w:p w14:paraId="53047DD7">
      <w:pPr>
        <w:pStyle w:val="2"/>
        <w:keepNext/>
        <w:keepLines/>
        <w:pageBreakBefore w:val="0"/>
        <w:widowControl w:val="0"/>
        <w:kinsoku/>
        <w:wordWrap/>
        <w:overflowPunct/>
        <w:topLinePunct w:val="0"/>
        <w:autoSpaceDE/>
        <w:autoSpaceDN/>
        <w:bidi w:val="0"/>
        <w:adjustRightInd w:val="0"/>
        <w:snapToGrid w:val="0"/>
        <w:spacing w:before="0" w:after="0" w:line="36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附录B</w:t>
      </w:r>
    </w:p>
    <w:p w14:paraId="37EA0421">
      <w:pPr>
        <w:pStyle w:val="2"/>
        <w:keepNext/>
        <w:keepLines/>
        <w:pageBreakBefore w:val="0"/>
        <w:widowControl w:val="0"/>
        <w:kinsoku/>
        <w:wordWrap/>
        <w:overflowPunct/>
        <w:topLinePunct w:val="0"/>
        <w:autoSpaceDE/>
        <w:autoSpaceDN/>
        <w:bidi w:val="0"/>
        <w:adjustRightInd w:val="0"/>
        <w:snapToGrid w:val="0"/>
        <w:spacing w:before="0" w:after="0" w:line="360" w:lineRule="exact"/>
        <w:jc w:val="center"/>
        <w:textAlignment w:val="auto"/>
        <w:rPr>
          <w:rFonts w:hint="default"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（资料性）</w:t>
      </w:r>
    </w:p>
    <w:p w14:paraId="6BC8D463">
      <w:pPr>
        <w:pStyle w:val="2"/>
        <w:keepNext/>
        <w:keepLines/>
        <w:pageBreakBefore w:val="0"/>
        <w:widowControl w:val="0"/>
        <w:kinsoku/>
        <w:wordWrap/>
        <w:overflowPunct/>
        <w:topLinePunct w:val="0"/>
        <w:autoSpaceDE/>
        <w:autoSpaceDN/>
        <w:bidi w:val="0"/>
        <w:adjustRightInd w:val="0"/>
        <w:snapToGrid w:val="0"/>
        <w:spacing w:before="0" w:after="0" w:line="360" w:lineRule="exact"/>
        <w:jc w:val="center"/>
        <w:textAlignment w:val="auto"/>
        <w:rPr>
          <w:rFonts w:hint="eastAsia" w:ascii="黑体" w:hAnsi="黑体" w:eastAsia="黑体" w:cs="黑体"/>
          <w:b w:val="0"/>
          <w:bCs w:val="0"/>
          <w:sz w:val="21"/>
          <w:szCs w:val="21"/>
        </w:rPr>
      </w:pPr>
      <w:r>
        <w:rPr>
          <w:rFonts w:hint="eastAsia" w:ascii="黑体" w:hAnsi="黑体" w:eastAsia="黑体" w:cs="黑体"/>
          <w:b w:val="0"/>
          <w:bCs w:val="0"/>
          <w:sz w:val="21"/>
          <w:szCs w:val="21"/>
        </w:rPr>
        <w:t>编制说明</w:t>
      </w:r>
    </w:p>
    <w:p w14:paraId="1288CBC9">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rPr>
      </w:pPr>
      <w:r>
        <w:rPr>
          <w:rFonts w:hint="eastAsia" w:ascii="黑体" w:hAnsi="黑体" w:eastAsia="黑体" w:cs="黑体"/>
          <w:b w:val="0"/>
          <w:bCs w:val="0"/>
          <w:lang w:val="en-US" w:eastAsia="zh-CN"/>
        </w:rPr>
        <w:t>B.</w:t>
      </w:r>
      <w:r>
        <w:rPr>
          <w:rFonts w:hint="eastAsia" w:ascii="黑体" w:hAnsi="黑体" w:eastAsia="黑体" w:cs="黑体"/>
          <w:b w:val="0"/>
          <w:bCs w:val="0"/>
        </w:rPr>
        <w:t xml:space="preserve">1 编制依据和原则 </w:t>
      </w:r>
    </w:p>
    <w:p w14:paraId="24FE8E33">
      <w:pPr>
        <w:ind w:firstLine="420" w:firstLineChars="200"/>
        <w:rPr>
          <w:color w:val="FF0000"/>
        </w:rPr>
      </w:pPr>
      <w:r>
        <w:rPr>
          <w:rFonts w:hint="eastAsia"/>
        </w:rPr>
        <w:t>本指南严格遵循国际临床实践指南规范（AGREE II工具及RIGHT清单），依据标准化流程研制</w:t>
      </w:r>
      <w:r>
        <w:rPr>
          <w:rFonts w:hint="eastAsia"/>
          <w:vertAlign w:val="superscript"/>
        </w:rPr>
        <w:t>[113]</w:t>
      </w:r>
      <w:r>
        <w:rPr>
          <w:rFonts w:hint="eastAsia"/>
        </w:rPr>
        <w:t>：首先由中华中医药学会批准立项并组建多学科工作组，签署利益声明并完成计划书备案；通过改良德尔菲法开展3轮专家咨询（含线下焦点访谈与线上问卷），基于PICOS框架凝练优先临床问题及核心结局指标集；系统检索中英文数据库后，经双人独立筛选文献、提取数据，运用ROB 2.0评估偏倚风险，结合GRADE系统完成证据分级；通过电子问卷征询临床与方法学专家意见形成共识，基于《专家推荐意见形成概要表》拟定指南草案；经两轮专家评审（组内质量评价与组外适用性评价）修订后形成送审稿；发布后建立动态更新机制，计划于1年后开展后效评价，依据循证证据迭代优化指南内容。</w:t>
      </w:r>
    </w:p>
    <w:p w14:paraId="54A20C7F">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B.2 指南制订相关成员及利益冲突 </w:t>
      </w:r>
    </w:p>
    <w:p w14:paraId="67C65966">
      <w:pPr>
        <w:ind w:firstLine="420" w:firstLineChars="200"/>
        <w:rPr>
          <w:szCs w:val="21"/>
        </w:rPr>
      </w:pPr>
      <w:r>
        <w:t>所有成员正式参与诊疗规范制订前均填写利益冲突声明表，对各种实际存在或潜在的利 益冲突予以声明，包括经济利益冲突和非经济利益冲突。指导委员会独立核查所有声明，判 定</w:t>
      </w:r>
      <w:r>
        <w:rPr>
          <w:szCs w:val="21"/>
        </w:rPr>
        <w:t>是否存在利益冲突并进行管理。成员分组及名单如下：</w:t>
      </w:r>
    </w:p>
    <w:p w14:paraId="3F608229">
      <w:pPr>
        <w:pStyle w:val="50"/>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cs="宋体"/>
          <w:kern w:val="2"/>
          <w:sz w:val="21"/>
          <w:szCs w:val="21"/>
        </w:rPr>
      </w:pPr>
      <w:r>
        <w:rPr>
          <w:rFonts w:hint="eastAsia" w:ascii="宋体" w:hAnsi="宋体" w:cs="宋体"/>
          <w:kern w:val="2"/>
          <w:sz w:val="21"/>
          <w:szCs w:val="21"/>
        </w:rPr>
        <w:t>指南负责人：李海霞（中国中医科学院广安门医院，中西医结合心血管学）、张海涛（上海东方医院）、陈明显（浙江省立同德医院）</w:t>
      </w:r>
    </w:p>
    <w:p w14:paraId="746E2C25">
      <w:pPr>
        <w:pStyle w:val="50"/>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cs="宋体"/>
          <w:kern w:val="2"/>
          <w:sz w:val="21"/>
          <w:szCs w:val="21"/>
        </w:rPr>
      </w:pPr>
      <w:r>
        <w:rPr>
          <w:rFonts w:hint="eastAsia" w:ascii="宋体" w:hAnsi="宋体" w:cs="宋体"/>
          <w:kern w:val="2"/>
          <w:sz w:val="21"/>
          <w:szCs w:val="21"/>
        </w:rPr>
        <w:t>执笔人：李海霞（中国中医科学院广安门医院）、杨晖（上海中医药大学附属宝山医院）、陈明显（浙江省立同德医院）、芮浩淼（河南省中医院）、傅睿（浙江省立同德医院）、陈恒文（中国中医科学院中药研究所）、唐耀平（广西中医药大学附属瑞康医院）、王佑华（上海中医药大学附属龙华医院）、田晓晨（济南市第四人民医院）、方金（丰台区中西医结合医院）、袁宇（新乡医学院第一附属医院）</w:t>
      </w:r>
    </w:p>
    <w:p w14:paraId="41A06BB2">
      <w:pPr>
        <w:pStyle w:val="50"/>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cs="宋体"/>
          <w:kern w:val="2"/>
          <w:sz w:val="21"/>
          <w:szCs w:val="21"/>
        </w:rPr>
      </w:pPr>
      <w:r>
        <w:rPr>
          <w:rFonts w:hint="eastAsia" w:ascii="宋体" w:hAnsi="宋体" w:cs="宋体"/>
          <w:kern w:val="2"/>
          <w:sz w:val="21"/>
          <w:szCs w:val="21"/>
        </w:rPr>
        <w:t>主审人：王阶（中国中医科学院广安门医院）、王耀献（河南中医药大学）、商洪才（北京中医药大学东方医院）</w:t>
      </w:r>
    </w:p>
    <w:p w14:paraId="42506700">
      <w:pPr>
        <w:pStyle w:val="50"/>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cs="宋体"/>
          <w:kern w:val="2"/>
          <w:sz w:val="21"/>
          <w:szCs w:val="21"/>
        </w:rPr>
      </w:pPr>
      <w:r>
        <w:rPr>
          <w:rFonts w:hint="eastAsia" w:ascii="宋体" w:hAnsi="宋体" w:cs="宋体"/>
          <w:kern w:val="2"/>
          <w:sz w:val="21"/>
          <w:szCs w:val="21"/>
        </w:rPr>
        <w:t>讨论专家：（按姓氏拼音排序）</w:t>
      </w:r>
    </w:p>
    <w:p w14:paraId="218C54F3">
      <w:pPr>
        <w:keepNext w:val="0"/>
        <w:keepLines w:val="0"/>
        <w:pageBreakBefore w:val="0"/>
        <w:kinsoku/>
        <w:wordWrap/>
        <w:overflowPunct/>
        <w:topLinePunct w:val="0"/>
        <w:bidi w:val="0"/>
        <w:adjustRightInd/>
        <w:snapToGrid/>
        <w:spacing w:line="360" w:lineRule="exact"/>
        <w:ind w:firstLine="420" w:firstLineChars="200"/>
        <w:textAlignment w:val="auto"/>
        <w:rPr>
          <w:color w:val="000000"/>
          <w:szCs w:val="21"/>
        </w:rPr>
      </w:pPr>
      <w:r>
        <w:rPr>
          <w:rFonts w:hint="eastAsia" w:ascii="宋体" w:hAnsi="宋体"/>
          <w:szCs w:val="21"/>
        </w:rPr>
        <w:t>车琳（上海同济医科大学附属医院）、陈寄梅（广东省心血管病研究所）、陈全福（广东省中医院）、楚军民（中国医学科学院阜外医院）、丁荣晶（北京协和医院）、杜廷海（河南中医药大学第一附属医院）、方金（丰台区中西医结合医院）、傅睿（浙江省立同德医院）、关敬树（上海中医药大学附属宝山医院）、黑飞龙（首都医科大学附属安贞医院）、侯景丽（首都医科大学附属安贞医院）、侯雪梅（济南市中医院）、胡元会（中国中医科学院广安门医院）、黄斌（河南省中医院）、季鸣（中国医学科学院）、蒋跃绒（中国中医科学院西苑医院）、荆志伟（中国中医科学院）、来晓磊（首都医科大学附属北京中医医院）、李彬（首都医科大学附属北京中医医院）、李慧（北京中医药大学东方医院）、李江（中国医学科学院肿瘤医院）、李京生（首都医科大学）、李军（中国中医科学院广安门医院）、李亮（河北医科大学第二医院）、刘宝利（北京市中医医院）、刘慧（河南省安阳地区医院）、刘慧（安阳地区医院）、刘婧（北京大学附属人民医院）、柳淑青（北京中医医院顺义医院）、陆峰（山东省中医院）、马进（辽宁中医药大学附属第二医院）、马玉侠（山东中医药大学附属医院）、牛琳琳（河南中医药大学第一附属医院）、芮浩淼（河南省中医院）、商洪才 （北京中医药大学东方医院）、尚菊菊（首都医科大学附属北京中医医院）、沈盛晖（浙江省立同德医院）、唐耀平（广西中医药大学附属瑞康医院）、田晓晨（济南市第四人民医院）、王成（北京大学第三医院）、王东伟（郑州大学附属郑州中心医院）、王丽颖（中国中医科学院）、王淑丽</w:t>
      </w:r>
      <w:r>
        <w:rPr>
          <w:rFonts w:hint="eastAsia" w:ascii="宋体" w:hAnsi="宋体"/>
          <w:szCs w:val="21"/>
        </w:rPr>
        <w:tab/>
      </w:r>
      <w:r>
        <w:rPr>
          <w:rFonts w:hint="eastAsia" w:ascii="宋体" w:hAnsi="宋体"/>
          <w:szCs w:val="21"/>
        </w:rPr>
        <w:t>（中国中医科学院广安门医院）、王一波（上海市黄浦区中心医院）王佑华（上海中医药大学附属龙华医院）、王振涛（河南省中医院）、吴鸿（河南省中医院）、伍锋（上海</w:t>
      </w:r>
      <w:r>
        <w:rPr>
          <w:rFonts w:ascii="宋体" w:hAnsi="宋体"/>
          <w:szCs w:val="21"/>
        </w:rPr>
        <w:t>中医药大学</w:t>
      </w:r>
      <w:r>
        <w:rPr>
          <w:rFonts w:hint="eastAsia" w:ascii="宋体" w:hAnsi="宋体"/>
          <w:szCs w:val="21"/>
        </w:rPr>
        <w:t>附属岳阳中西医结合医院）、肖姝雲（上海市中医院）、谢连娣（北京中医药大学东方医院）、许伟明（漳州市第二中医院、颜旭（湖南省中医药研究院附属医院心血管内科）、杨顺利（亳州市华佗中医院内科）、杨晓芳（首都医科大学附属北京安贞医院）、姚建明（济南市中医院）、于欣（中国医学科学院阜外医院）、袁宇（新乡医学院第一附属医院）、张海涛（同济大学附属东方医院）、张辉（郑州大学第二附属医院）、张健（中国医学科学院阜外医院）、张兆国（清华大学附属长庚医院）、支英豪（浙江中医药大学附属温州市中医院）、钟泽（浙江省建德市第一人民医院）、</w:t>
      </w:r>
      <w:r>
        <w:rPr>
          <w:rFonts w:hint="eastAsia" w:ascii="宋体" w:hAnsi="宋体"/>
          <w:color w:val="000000"/>
          <w:szCs w:val="21"/>
        </w:rPr>
        <w:t>丁立刚（中国医学科学院阜外医院）牛国栋（云南阜外医院）汤日波（首都医科大学附属安贞医院）、昃峰（北京大学人民医院）。</w:t>
      </w:r>
    </w:p>
    <w:p w14:paraId="1FA3C1F9">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B.3 编制过程 </w:t>
      </w:r>
    </w:p>
    <w:p w14:paraId="6855432C">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B.3.1 确定临床问题 </w:t>
      </w:r>
    </w:p>
    <w:p w14:paraId="29FEE765">
      <w:pPr>
        <w:ind w:firstLine="420" w:firstLineChars="200"/>
      </w:pPr>
      <w:r>
        <w:rPr>
          <w:rFonts w:hint="eastAsia"/>
        </w:rPr>
        <w:t>本指南制定工作组前期通过文献检索、内部专家共识及专家访谈，初步草拟了相关临床问题的范畴。再开展初步调研，以线上问卷星的形式对来自9个省（市、自治区）的13位临床一线心内科医生、护士及方法学专家进行问卷调查，并初步征询意见。再结合调研结果、文献研究及专家临床经验形成指南问题原始清单，拟定</w:t>
      </w:r>
      <w:r>
        <w:rPr>
          <w:rFonts w:hint="eastAsia"/>
          <w:color w:val="000000"/>
        </w:rPr>
        <w:t>50个</w:t>
      </w:r>
      <w:r>
        <w:rPr>
          <w:rFonts w:hint="eastAsia"/>
        </w:rPr>
        <w:t>指南问题（包括6大方向和50个具体临床问题）。随后针对50个指南问题开展两轮德尔菲法，以问卷星的形式发放问卷50份，涉及13个省（市、自治区）及不同级别职称的临床一线中医、西医、中西医结合心血管内科、心病科医生、护理人员、运动康复医生、药学、中药学、精神科及方法学专家。</w:t>
      </w:r>
    </w:p>
    <w:p w14:paraId="32FFE38F">
      <w:r>
        <w:rPr>
          <w:rFonts w:hint="eastAsia"/>
        </w:rPr>
        <w:t>①冠心病心脏康复的评估有哪些？</w:t>
      </w:r>
    </w:p>
    <w:p w14:paraId="1DC9C4EF">
      <w:r>
        <w:rPr>
          <w:rFonts w:hint="eastAsia"/>
        </w:rPr>
        <w:t>②冠心病心脏康复的中医证型及推荐药物治疗有哪些？</w:t>
      </w:r>
    </w:p>
    <w:p w14:paraId="6094D273">
      <w:r>
        <w:rPr>
          <w:rFonts w:hint="eastAsia"/>
        </w:rPr>
        <w:t>③冠心病心脏康复的运动处方有哪些？</w:t>
      </w:r>
    </w:p>
    <w:p w14:paraId="485A6682">
      <w:r>
        <w:rPr>
          <w:rFonts w:hint="eastAsia"/>
        </w:rPr>
        <w:t>④冠心病心脏康复的中医外治法有哪些？</w:t>
      </w:r>
    </w:p>
    <w:p w14:paraId="4F1B762C">
      <w:r>
        <w:rPr>
          <w:rFonts w:hint="eastAsia"/>
        </w:rPr>
        <w:t>⑤冠心病心脏康复的心理评估与干预方案？</w:t>
      </w:r>
    </w:p>
    <w:p w14:paraId="6B9153DE">
      <w:r>
        <w:rPr>
          <w:rFonts w:hint="eastAsia"/>
        </w:rPr>
        <w:t xml:space="preserve">⑥冠心病心脏康复的生活方式指导原则是什么？ </w:t>
      </w:r>
    </w:p>
    <w:p w14:paraId="414B5C57">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B.3.2 证据检索、筛选及提取</w:t>
      </w:r>
    </w:p>
    <w:p w14:paraId="032256A4">
      <w:pPr>
        <w:ind w:firstLine="420" w:firstLineChars="200"/>
      </w:pPr>
      <w:r>
        <w:rPr>
          <w:rFonts w:hint="eastAsia"/>
        </w:rPr>
        <w:t>指南工作组按照“人群、干预、对照、结局和研究设计（PICOS）”原则对临床问题进行结构化，根据凝练出的问题开展证据的检索、评价和综合。计算机检索中国知网（CNKI）、中国生物医学文献服务系统（SinoMed）、万方（Wanfang）、维普（VIP）、Cochrane Library、PubMed、Embase 7个数据库。</w:t>
      </w:r>
    </w:p>
    <w:p w14:paraId="57628DAB">
      <w:pPr>
        <w:ind w:firstLine="420" w:firstLineChars="200"/>
      </w:pPr>
      <w:r>
        <w:rPr>
          <w:rFonts w:hint="eastAsia"/>
        </w:rPr>
        <w:t>文献检索采用主题词与自由词相结合的方式进行，检索时间范围为数据库建库至2024年10月。文献检索完成后，由两名研究员依据纳入与排除标准独立筛选文献、提取相关资料，并对提取结果进行交叉核对。如遇分歧，通过讨论解决；若仍未达成一致，则邀请第三方专家协助判定。</w:t>
      </w:r>
    </w:p>
    <w:p w14:paraId="7AE1CCE2">
      <w:pPr>
        <w:ind w:firstLine="420" w:firstLineChars="200"/>
      </w:pPr>
      <w:r>
        <w:rPr>
          <w:rFonts w:hint="eastAsia"/>
        </w:rPr>
        <w:t>本指南优先纳入核心期刊发表的随机对照试验（randomized controlled trials, RCT）。方法学质量评价采用《Cochrane Handbook for Systematic Reviews of Interventions》（6.2版）中的偏倚风险评估工具（Risk of Bias, RoB）。质量评价过程由两名研究员独立完成，若存在意见分歧，通过讨论解决；如无法解决，则咨询第三方专家裁定。</w:t>
      </w:r>
    </w:p>
    <w:p w14:paraId="437E034C">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B.3.3 证据质量评价 </w:t>
      </w:r>
    </w:p>
    <w:p w14:paraId="54514490">
      <w:pPr>
        <w:ind w:firstLine="420" w:firstLineChars="200"/>
      </w:pPr>
      <w:r>
        <w:t>由两名研究人员采用改良版Cochrane偏倚风险评价工具、NOS对纳入随机对照试验\病 例对照研究以及系统评价/Meta分析进行方法学质量评价，优先使用证据等级高的文献作为 指南证据。评价过程由两人独立完成，若存在分歧，则通过讨论或咨询第三方解决。</w:t>
      </w:r>
    </w:p>
    <w:p w14:paraId="4CC02CDE">
      <w:pPr>
        <w:ind w:firstLine="420" w:firstLineChars="200"/>
      </w:pPr>
      <w:r>
        <w:rPr>
          <w:rFonts w:hint="eastAsia"/>
        </w:rPr>
        <w:t>针对纳入RCT中推荐的干预措施，采用“推荐意见分级评估、制定和评价”方法（Grading of Recommendations Assessment, Development and Evaluation, GRADE）对证据质量进行分级。GRADE评价结果为制定推荐意见提供依据，以确保推荐意见的科学性和可信度。无临床证据支持由专家共识形成的推荐意见采用良好实践主张（good practice statements，GPS）表示推荐强度。</w:t>
      </w:r>
    </w:p>
    <w:p w14:paraId="0386115A">
      <w:pPr>
        <w:ind w:firstLine="420" w:firstLineChars="200"/>
      </w:pPr>
      <w:r>
        <w:rPr>
          <w:rFonts w:hint="eastAsia"/>
        </w:rPr>
        <w:t xml:space="preserve">对于来自中医理论的干预措施证据，参照衷敬柏 </w:t>
      </w:r>
      <w:r>
        <w:rPr>
          <w:rStyle w:val="20"/>
          <w:rFonts w:hint="eastAsia"/>
        </w:rPr>
        <w:t>[</w:t>
      </w:r>
      <w:r>
        <w:rPr>
          <w:rStyle w:val="20"/>
          <w:rFonts w:hint="eastAsia"/>
        </w:rPr>
        <w:endnoteReference w:id="19"/>
      </w:r>
      <w:r>
        <w:rPr>
          <w:rStyle w:val="20"/>
          <w:rFonts w:hint="eastAsia"/>
        </w:rPr>
        <w:t>]</w:t>
      </w:r>
      <w:r>
        <w:rPr>
          <w:rFonts w:hint="eastAsia"/>
        </w:rPr>
        <w:t>的理论传承证据分类、分级评价方法进行分级。</w:t>
      </w:r>
    </w:p>
    <w:p w14:paraId="49544EDC">
      <w:pPr>
        <w:ind w:firstLine="420"/>
      </w:pPr>
      <w:r>
        <w:rPr>
          <w:rFonts w:hint="eastAsia"/>
        </w:rPr>
        <w:t>本指南文献参考的主要结局指标为心肺运动试验、六分钟步行试验。次要结局指标为西雅图心绞痛量表、B</w:t>
      </w:r>
      <w:r>
        <w:t>org</w:t>
      </w:r>
      <w:r>
        <w:rPr>
          <w:rFonts w:hint="eastAsia"/>
        </w:rPr>
        <w:t>评分。本指南将为冠心病的中西医结合康复治疗提供更为科学、规范和全面的指导。</w:t>
      </w:r>
    </w:p>
    <w:p w14:paraId="42622B5C">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B.3.4 证据综合 </w:t>
      </w:r>
    </w:p>
    <w:p w14:paraId="4B262F4E">
      <w:pPr>
        <w:ind w:firstLine="420" w:firstLineChars="200"/>
      </w:pPr>
      <w:r>
        <w:t xml:space="preserve">运用RevMan5.4软件进行数据分析，二分类变量合并结果采用RR及其95%置信区间表示， 连续性变量合并结果采用MD及其95%CI表示。采用随机效应模型进行分析。异质性采用Q检验进行分析，同时结合I2判断异质性大小。当纳入研究数量＞10时，则绘制漏斗图评价发表偏倚。 </w:t>
      </w:r>
    </w:p>
    <w:p w14:paraId="12F196BC">
      <w:pPr>
        <w:jc w:val="center"/>
      </w:pPr>
      <w:r>
        <w:rPr>
          <w:rFonts w:hint="eastAsia"/>
        </w:rPr>
        <w:t>表1文献检索与证据评价</w:t>
      </w:r>
    </w:p>
    <w:tbl>
      <w:tblPr>
        <w:tblStyle w:val="17"/>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8"/>
        <w:gridCol w:w="846"/>
        <w:gridCol w:w="6422"/>
      </w:tblGrid>
      <w:tr w14:paraId="07EA61B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 w:hRule="atLeast"/>
        </w:trPr>
        <w:tc>
          <w:tcPr>
            <w:tcW w:w="1038" w:type="dxa"/>
            <w:tcBorders>
              <w:top w:val="single" w:color="000000" w:sz="12" w:space="0"/>
              <w:bottom w:val="single" w:color="000000" w:sz="6" w:space="0"/>
            </w:tcBorders>
          </w:tcPr>
          <w:p w14:paraId="59306424">
            <w:r>
              <w:rPr>
                <w:rFonts w:hint="eastAsia"/>
              </w:rPr>
              <w:t>证据分级</w:t>
            </w:r>
          </w:p>
        </w:tc>
        <w:tc>
          <w:tcPr>
            <w:tcW w:w="846" w:type="dxa"/>
            <w:tcBorders>
              <w:top w:val="single" w:color="000000" w:sz="12" w:space="0"/>
              <w:bottom w:val="single" w:color="000000" w:sz="6" w:space="0"/>
            </w:tcBorders>
          </w:tcPr>
          <w:p w14:paraId="307E9B9C">
            <w:pPr>
              <w:ind w:firstLine="420"/>
            </w:pPr>
            <w:r>
              <w:rPr>
                <w:rFonts w:hint="eastAsia"/>
              </w:rPr>
              <w:t>代码</w:t>
            </w:r>
          </w:p>
        </w:tc>
        <w:tc>
          <w:tcPr>
            <w:tcW w:w="6422" w:type="dxa"/>
            <w:tcBorders>
              <w:top w:val="single" w:color="000000" w:sz="12" w:space="0"/>
              <w:bottom w:val="single" w:color="000000" w:sz="6" w:space="0"/>
            </w:tcBorders>
          </w:tcPr>
          <w:p w14:paraId="0424840C">
            <w:pPr>
              <w:ind w:firstLine="420"/>
            </w:pPr>
            <w:r>
              <w:rPr>
                <w:rFonts w:hint="eastAsia"/>
              </w:rPr>
              <w:t>说明</w:t>
            </w:r>
          </w:p>
        </w:tc>
      </w:tr>
      <w:tr w14:paraId="1D0C631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038" w:type="dxa"/>
            <w:tcBorders>
              <w:top w:val="single" w:color="000000" w:sz="6" w:space="0"/>
            </w:tcBorders>
          </w:tcPr>
          <w:p w14:paraId="45B309B6">
            <w:r>
              <w:rPr>
                <w:rFonts w:hint="eastAsia"/>
              </w:rPr>
              <w:t>高质量</w:t>
            </w:r>
          </w:p>
        </w:tc>
        <w:tc>
          <w:tcPr>
            <w:tcW w:w="846" w:type="dxa"/>
            <w:tcBorders>
              <w:top w:val="single" w:color="000000" w:sz="6" w:space="0"/>
            </w:tcBorders>
          </w:tcPr>
          <w:p w14:paraId="0088645C">
            <w:pPr>
              <w:ind w:firstLine="420"/>
            </w:pPr>
            <w:r>
              <w:rPr>
                <w:rFonts w:hint="eastAsia"/>
              </w:rPr>
              <w:t>A</w:t>
            </w:r>
          </w:p>
        </w:tc>
        <w:tc>
          <w:tcPr>
            <w:tcW w:w="6422" w:type="dxa"/>
            <w:tcBorders>
              <w:top w:val="single" w:color="000000" w:sz="6" w:space="0"/>
            </w:tcBorders>
          </w:tcPr>
          <w:p w14:paraId="0B7EDDB7">
            <w:pPr>
              <w:ind w:firstLine="420"/>
            </w:pPr>
            <w:r>
              <w:rPr>
                <w:rFonts w:hint="eastAsia"/>
              </w:rPr>
              <w:t>非常确信真实的效应值接近估计值</w:t>
            </w:r>
          </w:p>
        </w:tc>
      </w:tr>
      <w:tr w14:paraId="1C1559D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038" w:type="dxa"/>
          </w:tcPr>
          <w:p w14:paraId="7F432643">
            <w:r>
              <w:rPr>
                <w:rFonts w:hint="eastAsia"/>
              </w:rPr>
              <w:t>中等质量</w:t>
            </w:r>
          </w:p>
        </w:tc>
        <w:tc>
          <w:tcPr>
            <w:tcW w:w="846" w:type="dxa"/>
          </w:tcPr>
          <w:p w14:paraId="4E1FCEEA">
            <w:pPr>
              <w:ind w:firstLine="420"/>
            </w:pPr>
            <w:r>
              <w:rPr>
                <w:rFonts w:hint="eastAsia"/>
              </w:rPr>
              <w:t>B</w:t>
            </w:r>
          </w:p>
        </w:tc>
        <w:tc>
          <w:tcPr>
            <w:tcW w:w="6422" w:type="dxa"/>
          </w:tcPr>
          <w:p w14:paraId="3551BEE6">
            <w:pPr>
              <w:ind w:firstLine="420"/>
            </w:pPr>
            <w:r>
              <w:rPr>
                <w:rFonts w:hint="eastAsia"/>
              </w:rPr>
              <w:t>对效应估计值有中等程度信心：真实值有可能接近估计值</w:t>
            </w:r>
            <w:r>
              <w:t>，</w:t>
            </w:r>
            <w:r>
              <w:rPr>
                <w:rFonts w:hint="eastAsia"/>
              </w:rPr>
              <w:t>但仍存在二者大不相同的可能性</w:t>
            </w:r>
          </w:p>
        </w:tc>
      </w:tr>
      <w:tr w14:paraId="15CBCE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038" w:type="dxa"/>
          </w:tcPr>
          <w:p w14:paraId="7A256B18">
            <w:r>
              <w:rPr>
                <w:rFonts w:hint="eastAsia"/>
              </w:rPr>
              <w:t>低质量</w:t>
            </w:r>
          </w:p>
        </w:tc>
        <w:tc>
          <w:tcPr>
            <w:tcW w:w="846" w:type="dxa"/>
          </w:tcPr>
          <w:p w14:paraId="088A6292">
            <w:pPr>
              <w:ind w:firstLine="420"/>
            </w:pPr>
            <w:r>
              <w:rPr>
                <w:rFonts w:hint="eastAsia"/>
              </w:rPr>
              <w:t>C</w:t>
            </w:r>
          </w:p>
        </w:tc>
        <w:tc>
          <w:tcPr>
            <w:tcW w:w="6422" w:type="dxa"/>
          </w:tcPr>
          <w:p w14:paraId="3FF42F6A">
            <w:pPr>
              <w:ind w:firstLine="420"/>
            </w:pPr>
            <w:r>
              <w:rPr>
                <w:rFonts w:hint="eastAsia"/>
              </w:rPr>
              <w:t>对效应估计值的确信程度有限：真实值与估计值可能有很大差别</w:t>
            </w:r>
          </w:p>
        </w:tc>
      </w:tr>
      <w:tr w14:paraId="6B17181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038" w:type="dxa"/>
            <w:tcBorders>
              <w:bottom w:val="single" w:color="000000" w:sz="12" w:space="0"/>
            </w:tcBorders>
          </w:tcPr>
          <w:p w14:paraId="46AD7D34">
            <w:r>
              <w:rPr>
                <w:rFonts w:hint="eastAsia"/>
              </w:rPr>
              <w:t>极低质量</w:t>
            </w:r>
          </w:p>
        </w:tc>
        <w:tc>
          <w:tcPr>
            <w:tcW w:w="846" w:type="dxa"/>
            <w:tcBorders>
              <w:bottom w:val="single" w:color="000000" w:sz="12" w:space="0"/>
            </w:tcBorders>
          </w:tcPr>
          <w:p w14:paraId="08A9069D">
            <w:pPr>
              <w:ind w:firstLine="420"/>
            </w:pPr>
            <w:r>
              <w:rPr>
                <w:rFonts w:hint="eastAsia"/>
              </w:rPr>
              <w:t>D</w:t>
            </w:r>
          </w:p>
        </w:tc>
        <w:tc>
          <w:tcPr>
            <w:tcW w:w="6422" w:type="dxa"/>
            <w:tcBorders>
              <w:bottom w:val="single" w:color="000000" w:sz="12" w:space="0"/>
            </w:tcBorders>
          </w:tcPr>
          <w:p w14:paraId="576F7CE4">
            <w:pPr>
              <w:ind w:firstLine="420"/>
            </w:pPr>
            <w:r>
              <w:rPr>
                <w:rFonts w:hint="eastAsia"/>
              </w:rPr>
              <w:t>对效应估计值几乎没有信心</w:t>
            </w:r>
            <w:r>
              <w:t>：</w:t>
            </w:r>
            <w:r>
              <w:rPr>
                <w:rFonts w:hint="eastAsia"/>
              </w:rPr>
              <w:t>真实值与估计值可能有很大差别</w:t>
            </w:r>
          </w:p>
        </w:tc>
      </w:tr>
    </w:tbl>
    <w:p w14:paraId="7003D4FD">
      <w:pPr>
        <w:ind w:firstLine="420"/>
        <w:jc w:val="center"/>
      </w:pPr>
      <w:r>
        <w:rPr>
          <w:rFonts w:hint="eastAsia"/>
        </w:rPr>
        <w:t>表2 GRADE推荐强度分级与表达</w:t>
      </w:r>
    </w:p>
    <w:tbl>
      <w:tblPr>
        <w:tblStyle w:val="17"/>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0"/>
        <w:gridCol w:w="3286"/>
        <w:gridCol w:w="3610"/>
      </w:tblGrid>
      <w:tr w14:paraId="224C91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432" w:type="dxa"/>
            <w:tcBorders>
              <w:top w:val="single" w:color="auto" w:sz="12" w:space="0"/>
              <w:bottom w:val="single" w:color="auto" w:sz="6" w:space="0"/>
            </w:tcBorders>
          </w:tcPr>
          <w:p w14:paraId="5E0ED562">
            <w:pPr>
              <w:ind w:firstLine="420"/>
            </w:pPr>
            <w:r>
              <w:rPr>
                <w:rFonts w:hint="eastAsia"/>
              </w:rPr>
              <w:t>定义</w:t>
            </w:r>
          </w:p>
        </w:tc>
        <w:tc>
          <w:tcPr>
            <w:tcW w:w="3377" w:type="dxa"/>
            <w:tcBorders>
              <w:top w:val="single" w:color="auto" w:sz="12" w:space="0"/>
              <w:bottom w:val="single" w:color="auto" w:sz="6" w:space="0"/>
            </w:tcBorders>
          </w:tcPr>
          <w:p w14:paraId="7A1D0AF5">
            <w:pPr>
              <w:ind w:firstLine="420"/>
            </w:pPr>
            <w:r>
              <w:rPr>
                <w:rFonts w:hint="eastAsia"/>
              </w:rPr>
              <w:t>强推荐</w:t>
            </w:r>
          </w:p>
        </w:tc>
        <w:tc>
          <w:tcPr>
            <w:tcW w:w="3713" w:type="dxa"/>
            <w:tcBorders>
              <w:top w:val="single" w:color="auto" w:sz="12" w:space="0"/>
              <w:bottom w:val="single" w:color="auto" w:sz="6" w:space="0"/>
            </w:tcBorders>
          </w:tcPr>
          <w:p w14:paraId="473A4A98">
            <w:pPr>
              <w:ind w:firstLine="420"/>
            </w:pPr>
            <w:r>
              <w:rPr>
                <w:rFonts w:hint="eastAsia"/>
              </w:rPr>
              <w:t>弱推荐</w:t>
            </w:r>
          </w:p>
        </w:tc>
      </w:tr>
      <w:tr w14:paraId="1907603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432" w:type="dxa"/>
            <w:tcBorders>
              <w:top w:val="single" w:color="auto" w:sz="6" w:space="0"/>
            </w:tcBorders>
          </w:tcPr>
          <w:p w14:paraId="6E690FCE">
            <w:r>
              <w:rPr>
                <w:rFonts w:hint="eastAsia"/>
              </w:rPr>
              <w:t>对患者</w:t>
            </w:r>
          </w:p>
        </w:tc>
        <w:tc>
          <w:tcPr>
            <w:tcW w:w="3377" w:type="dxa"/>
            <w:tcBorders>
              <w:top w:val="single" w:color="auto" w:sz="6" w:space="0"/>
            </w:tcBorders>
          </w:tcPr>
          <w:p w14:paraId="4F904A18">
            <w:r>
              <w:rPr>
                <w:rFonts w:hint="eastAsia"/>
              </w:rPr>
              <w:t>几乎所有患者均会接受所推荐的方案，此时若未接受推荐，则应说明</w:t>
            </w:r>
          </w:p>
        </w:tc>
        <w:tc>
          <w:tcPr>
            <w:tcW w:w="3713" w:type="dxa"/>
            <w:tcBorders>
              <w:top w:val="single" w:color="auto" w:sz="6" w:space="0"/>
            </w:tcBorders>
          </w:tcPr>
          <w:p w14:paraId="6D776916">
            <w:r>
              <w:rPr>
                <w:rFonts w:hint="eastAsia"/>
              </w:rPr>
              <w:t>多数患者会采纳推荐方案，但仍有不少患者可能因不同的偏好与价值观而不采用</w:t>
            </w:r>
          </w:p>
        </w:tc>
      </w:tr>
      <w:tr w14:paraId="1C93DDC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432" w:type="dxa"/>
          </w:tcPr>
          <w:p w14:paraId="4B01DA31">
            <w:r>
              <w:rPr>
                <w:rFonts w:hint="eastAsia"/>
              </w:rPr>
              <w:t>对临床医生</w:t>
            </w:r>
          </w:p>
        </w:tc>
        <w:tc>
          <w:tcPr>
            <w:tcW w:w="3377" w:type="dxa"/>
          </w:tcPr>
          <w:p w14:paraId="211C71F4">
            <w:r>
              <w:rPr>
                <w:rFonts w:hint="eastAsia"/>
              </w:rPr>
              <w:t>应对几乎所有患者都推荐该方案；此时若未给与推荐，则应说明</w:t>
            </w:r>
          </w:p>
        </w:tc>
        <w:tc>
          <w:tcPr>
            <w:tcW w:w="3713" w:type="dxa"/>
          </w:tcPr>
          <w:p w14:paraId="5B4C638C">
            <w:r>
              <w:rPr>
                <w:rFonts w:hint="eastAsia"/>
              </w:rPr>
              <w:t>应该认识到不同患者有各自适合的选择，帮助每个患者做出体现他偏好与价值观的决定</w:t>
            </w:r>
          </w:p>
        </w:tc>
      </w:tr>
      <w:tr w14:paraId="4143208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432" w:type="dxa"/>
            <w:tcBorders>
              <w:bottom w:val="single" w:color="auto" w:sz="12" w:space="0"/>
            </w:tcBorders>
          </w:tcPr>
          <w:p w14:paraId="6FAF2487">
            <w:r>
              <w:rPr>
                <w:rFonts w:hint="eastAsia"/>
              </w:rPr>
              <w:t>对政策制定者</w:t>
            </w:r>
          </w:p>
        </w:tc>
        <w:tc>
          <w:tcPr>
            <w:tcW w:w="3377" w:type="dxa"/>
            <w:tcBorders>
              <w:bottom w:val="single" w:color="auto" w:sz="12" w:space="0"/>
            </w:tcBorders>
          </w:tcPr>
          <w:p w14:paraId="2D195311">
            <w:r>
              <w:rPr>
                <w:rFonts w:hint="eastAsia"/>
              </w:rPr>
              <w:t>该推荐方案一般会被直接采纳到政策制定中去</w:t>
            </w:r>
          </w:p>
        </w:tc>
        <w:tc>
          <w:tcPr>
            <w:tcW w:w="3713" w:type="dxa"/>
            <w:tcBorders>
              <w:bottom w:val="single" w:color="auto" w:sz="12" w:space="0"/>
            </w:tcBorders>
          </w:tcPr>
          <w:p w14:paraId="3F948F1D">
            <w:r>
              <w:rPr>
                <w:rFonts w:hint="eastAsia"/>
              </w:rPr>
              <w:t>制定政策时需要充分讨论，并需要众多利益相关者参与</w:t>
            </w:r>
          </w:p>
        </w:tc>
      </w:tr>
    </w:tbl>
    <w:p w14:paraId="4742CDF4">
      <w:pPr>
        <w:ind w:firstLine="420"/>
        <w:jc w:val="center"/>
      </w:pPr>
      <w:r>
        <w:rPr>
          <w:rFonts w:hint="eastAsia"/>
        </w:rPr>
        <w:t>表3 中医证据级别</w:t>
      </w:r>
    </w:p>
    <w:tbl>
      <w:tblPr>
        <w:tblStyle w:val="47"/>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0"/>
        <w:gridCol w:w="6640"/>
      </w:tblGrid>
      <w:tr w14:paraId="1958C31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00" w:type="dxa"/>
            <w:tcBorders>
              <w:bottom w:val="single" w:color="auto" w:sz="4" w:space="0"/>
            </w:tcBorders>
            <w:noWrap/>
          </w:tcPr>
          <w:p w14:paraId="68E3E25B">
            <w:r>
              <w:rPr>
                <w:rFonts w:hint="eastAsia"/>
              </w:rPr>
              <w:t>证据级别</w:t>
            </w:r>
          </w:p>
        </w:tc>
        <w:tc>
          <w:tcPr>
            <w:tcW w:w="6640" w:type="dxa"/>
            <w:tcBorders>
              <w:bottom w:val="single" w:color="auto" w:sz="4" w:space="0"/>
            </w:tcBorders>
            <w:noWrap/>
          </w:tcPr>
          <w:p w14:paraId="096F994D">
            <w:pPr>
              <w:ind w:firstLine="420"/>
            </w:pPr>
            <w:r>
              <w:rPr>
                <w:rFonts w:hint="eastAsia"/>
              </w:rPr>
              <w:t>诊断措施</w:t>
            </w:r>
          </w:p>
        </w:tc>
      </w:tr>
      <w:tr w14:paraId="6DFFF6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100" w:type="dxa"/>
            <w:tcBorders>
              <w:top w:val="single" w:color="auto" w:sz="4" w:space="0"/>
            </w:tcBorders>
            <w:noWrap/>
          </w:tcPr>
          <w:p w14:paraId="7D4111F5">
            <w:pPr>
              <w:ind w:firstLine="420"/>
            </w:pPr>
            <w:r>
              <w:rPr>
                <w:rFonts w:hint="eastAsia"/>
              </w:rPr>
              <w:t>Ia</w:t>
            </w:r>
          </w:p>
        </w:tc>
        <w:tc>
          <w:tcPr>
            <w:tcW w:w="6640" w:type="dxa"/>
            <w:tcBorders>
              <w:top w:val="single" w:color="auto" w:sz="4" w:space="0"/>
            </w:tcBorders>
          </w:tcPr>
          <w:p w14:paraId="445AE495">
            <w:r>
              <w:rPr>
                <w:rFonts w:hint="eastAsia"/>
              </w:rPr>
              <w:t>《黄帝内经》《伤寒杂病论》《黄帝八十一难经》等东汉及东汉之前的著述支持</w:t>
            </w:r>
          </w:p>
        </w:tc>
      </w:tr>
      <w:tr w14:paraId="3AA3E58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00" w:type="dxa"/>
            <w:noWrap/>
          </w:tcPr>
          <w:p w14:paraId="0F97ECF2">
            <w:pPr>
              <w:ind w:firstLine="420"/>
            </w:pPr>
            <w:r>
              <w:rPr>
                <w:rFonts w:hint="eastAsia"/>
              </w:rPr>
              <w:t>Ib</w:t>
            </w:r>
          </w:p>
        </w:tc>
        <w:tc>
          <w:tcPr>
            <w:tcW w:w="6640" w:type="dxa"/>
          </w:tcPr>
          <w:p w14:paraId="5269A9CC">
            <w:pPr>
              <w:ind w:firstLine="420"/>
            </w:pPr>
            <w:r>
              <w:rPr>
                <w:rFonts w:hint="eastAsia"/>
              </w:rPr>
              <w:t>晋到清代医家相关的论述，具有较好的传承</w:t>
            </w:r>
          </w:p>
        </w:tc>
      </w:tr>
      <w:tr w14:paraId="1DE1501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00" w:type="dxa"/>
            <w:noWrap/>
          </w:tcPr>
          <w:p w14:paraId="3CAA4863">
            <w:pPr>
              <w:ind w:firstLine="420"/>
            </w:pPr>
            <w:r>
              <w:rPr>
                <w:rFonts w:hint="eastAsia"/>
              </w:rPr>
              <w:t>Ⅱ</w:t>
            </w:r>
          </w:p>
        </w:tc>
        <w:tc>
          <w:tcPr>
            <w:tcW w:w="6640" w:type="dxa"/>
          </w:tcPr>
          <w:p w14:paraId="6BA7C299">
            <w:pPr>
              <w:ind w:firstLine="420"/>
            </w:pPr>
            <w:r>
              <w:rPr>
                <w:rFonts w:hint="eastAsia"/>
              </w:rPr>
              <w:t>晋到清代医家相关的论述，传承存在不一致</w:t>
            </w:r>
          </w:p>
        </w:tc>
      </w:tr>
      <w:tr w14:paraId="5767B45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00" w:type="dxa"/>
            <w:noWrap/>
          </w:tcPr>
          <w:p w14:paraId="67CB04A2">
            <w:pPr>
              <w:ind w:firstLine="420"/>
            </w:pPr>
            <w:r>
              <w:rPr>
                <w:rFonts w:hint="eastAsia"/>
              </w:rPr>
              <w:t>Ⅲa</w:t>
            </w:r>
          </w:p>
        </w:tc>
        <w:tc>
          <w:tcPr>
            <w:tcW w:w="6640" w:type="dxa"/>
          </w:tcPr>
          <w:p w14:paraId="727D991C">
            <w:pPr>
              <w:ind w:firstLine="420"/>
            </w:pPr>
            <w:r>
              <w:rPr>
                <w:rFonts w:hint="eastAsia"/>
              </w:rPr>
              <w:t>近现代（民国-当代）名中医的著述中明确阐述</w:t>
            </w:r>
          </w:p>
        </w:tc>
      </w:tr>
      <w:tr w14:paraId="1BA5F6D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00" w:type="dxa"/>
            <w:noWrap/>
          </w:tcPr>
          <w:p w14:paraId="407E6079">
            <w:pPr>
              <w:ind w:firstLine="420"/>
            </w:pPr>
            <w:r>
              <w:rPr>
                <w:rFonts w:hint="eastAsia"/>
              </w:rPr>
              <w:t>Ⅲb</w:t>
            </w:r>
          </w:p>
        </w:tc>
        <w:tc>
          <w:tcPr>
            <w:tcW w:w="6640" w:type="dxa"/>
          </w:tcPr>
          <w:p w14:paraId="4B47C6E4">
            <w:pPr>
              <w:ind w:firstLine="420"/>
            </w:pPr>
            <w:r>
              <w:rPr>
                <w:rFonts w:hint="eastAsia"/>
              </w:rPr>
              <w:t>近现代（民国-当代）名中医医案能体现</w:t>
            </w:r>
          </w:p>
        </w:tc>
      </w:tr>
      <w:tr w14:paraId="45A31C4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00" w:type="dxa"/>
            <w:noWrap/>
          </w:tcPr>
          <w:p w14:paraId="48FC548D">
            <w:pPr>
              <w:ind w:firstLine="420"/>
            </w:pPr>
            <w:r>
              <w:rPr>
                <w:rFonts w:hint="eastAsia"/>
              </w:rPr>
              <w:t>Ⅳa</w:t>
            </w:r>
          </w:p>
        </w:tc>
        <w:tc>
          <w:tcPr>
            <w:tcW w:w="6640" w:type="dxa"/>
            <w:noWrap/>
          </w:tcPr>
          <w:p w14:paraId="13447E04">
            <w:pPr>
              <w:ind w:firstLine="420"/>
            </w:pPr>
            <w:r>
              <w:rPr>
                <w:rFonts w:hint="eastAsia"/>
              </w:rPr>
              <w:t>教材，行业规范性文</w:t>
            </w:r>
          </w:p>
        </w:tc>
      </w:tr>
      <w:tr w14:paraId="7793B3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00" w:type="dxa"/>
            <w:noWrap/>
          </w:tcPr>
          <w:p w14:paraId="1D8155F8">
            <w:pPr>
              <w:ind w:firstLine="420"/>
            </w:pPr>
            <w:r>
              <w:rPr>
                <w:rFonts w:hint="eastAsia"/>
              </w:rPr>
              <w:t>Ⅳb</w:t>
            </w:r>
          </w:p>
        </w:tc>
        <w:tc>
          <w:tcPr>
            <w:tcW w:w="6640" w:type="dxa"/>
            <w:noWrap/>
          </w:tcPr>
          <w:p w14:paraId="05CBD414">
            <w:pPr>
              <w:ind w:firstLine="420"/>
            </w:pPr>
            <w:r>
              <w:rPr>
                <w:rFonts w:hint="eastAsia"/>
              </w:rPr>
              <w:t>专著</w:t>
            </w:r>
          </w:p>
        </w:tc>
      </w:tr>
    </w:tbl>
    <w:p w14:paraId="785DAE20">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B.4 形成推荐意见 </w:t>
      </w:r>
    </w:p>
    <w:p w14:paraId="3CEDEEA5">
      <w:pPr>
        <w:ind w:firstLine="420" w:firstLineChars="200"/>
      </w:pPr>
      <w:r>
        <w:t>于2024年9月4日邀请</w:t>
      </w:r>
      <w:r>
        <w:rPr>
          <w:rFonts w:hint="eastAsia"/>
        </w:rPr>
        <w:t>50</w:t>
      </w:r>
      <w:r>
        <w:t>名专家召开推荐意见共识会，在介绍了本指南的背景，目 的及证据概要表后，最终</w:t>
      </w:r>
      <w:r>
        <w:rPr>
          <w:rFonts w:hint="eastAsia"/>
        </w:rPr>
        <w:t>50</w:t>
      </w:r>
      <w:r>
        <w:t>位临床专家采用德尔菲法对有证据支持的意见计票并形成推荐 意见；对于无证据支持的意见，采用多数过票规则形成</w:t>
      </w:r>
      <w:r>
        <w:rPr>
          <w:rFonts w:hint="eastAsia"/>
        </w:rPr>
        <w:t>50</w:t>
      </w:r>
      <w:r>
        <w:t>条推荐意见及</w:t>
      </w:r>
      <w:r>
        <w:rPr>
          <w:rFonts w:hint="eastAsia"/>
        </w:rPr>
        <w:t>4</w:t>
      </w:r>
      <w:r>
        <w:t xml:space="preserve">条专家建议。 </w:t>
      </w:r>
    </w:p>
    <w:p w14:paraId="0EE914E0">
      <w:pPr>
        <w:pStyle w:val="4"/>
        <w:keepNext/>
        <w:keepLines/>
        <w:pageBreakBefore w:val="0"/>
        <w:widowControl w:val="0"/>
        <w:kinsoku/>
        <w:wordWrap/>
        <w:overflowPunct/>
        <w:topLinePunct w:val="0"/>
        <w:autoSpaceDE/>
        <w:autoSpaceDN/>
        <w:bidi w:val="0"/>
        <w:adjustRightInd w:val="0"/>
        <w:snapToGrid w:val="0"/>
        <w:spacing w:before="157" w:beforeLines="50" w:after="157" w:afterLines="50" w:line="3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 xml:space="preserve">B.5 征求意见和同行评议 </w:t>
      </w:r>
    </w:p>
    <w:p w14:paraId="04BDE5C4">
      <w:pPr>
        <w:ind w:firstLine="420" w:firstLineChars="200"/>
        <w:rPr>
          <w:rFonts w:hint="eastAsia"/>
        </w:rPr>
      </w:pPr>
      <w:r>
        <w:t>于202</w:t>
      </w:r>
      <w:r>
        <w:rPr>
          <w:rFonts w:hint="eastAsia"/>
        </w:rPr>
        <w:t>5</w:t>
      </w:r>
      <w:r>
        <w:t xml:space="preserve">年 </w:t>
      </w:r>
      <w:r>
        <w:rPr>
          <w:rFonts w:hint="eastAsia"/>
        </w:rPr>
        <w:t>2</w:t>
      </w:r>
      <w:r>
        <w:t>月1</w:t>
      </w:r>
      <w:r>
        <w:rPr>
          <w:rFonts w:hint="eastAsia"/>
        </w:rPr>
        <w:t>0</w:t>
      </w:r>
      <w:r>
        <w:t>日将指南征求意见稿通过信函方式邀请全国16个省的5</w:t>
      </w:r>
      <w:r>
        <w:rPr>
          <w:rFonts w:hint="eastAsia"/>
        </w:rPr>
        <w:t>5</w:t>
      </w:r>
      <w:r>
        <w:t>位中医</w:t>
      </w:r>
      <w:r>
        <w:rPr>
          <w:rFonts w:hint="eastAsia"/>
        </w:rPr>
        <w:t>心病</w:t>
      </w:r>
      <w:r>
        <w:t>、</w:t>
      </w:r>
      <w:r>
        <w:rPr>
          <w:rFonts w:hint="eastAsia"/>
        </w:rPr>
        <w:t>心血管</w:t>
      </w:r>
      <w:r>
        <w:t>内科专家与药学专家开展征求意见工作。截至202</w:t>
      </w:r>
      <w:r>
        <w:rPr>
          <w:rFonts w:hint="eastAsia"/>
        </w:rPr>
        <w:t>5</w:t>
      </w:r>
      <w:r>
        <w:t>年9月12日，指南工作组共收到57条意见/建议，采纳其中的51条意见/建议，最终形成了《</w:t>
      </w:r>
      <w:r>
        <w:rPr>
          <w:rFonts w:hint="eastAsia"/>
        </w:rPr>
        <w:t>冠心病中西医结合康复指南</w:t>
      </w:r>
      <w:r>
        <w:t>》送审稿。</w:t>
      </w:r>
    </w:p>
    <w:p w14:paraId="46F3AFBC">
      <w:pPr>
        <w:rPr>
          <w:rFonts w:hint="eastAsia"/>
        </w:rPr>
      </w:pPr>
      <w:r>
        <w:rPr>
          <w:rFonts w:hint="eastAsia"/>
        </w:rPr>
        <w:br w:type="page"/>
      </w:r>
    </w:p>
    <w:p w14:paraId="3D328626">
      <w:pPr>
        <w:pStyle w:val="2"/>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参考文献</w:t>
      </w:r>
    </w:p>
    <w:sectPr>
      <w:endnotePr>
        <w:numFmt w:val="decimal"/>
      </w:endnotePr>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40">
    <w:p>
      <w:r>
        <w:separator/>
      </w:r>
    </w:p>
  </w:endnote>
  <w:endnote w:type="continuationSeparator" w:id="41">
    <w:p>
      <w:r>
        <w:continuationSeparator/>
      </w:r>
    </w:p>
  </w:endnote>
  <w:endnote w:id="0">
    <w:p w14:paraId="2CD035B5">
      <w:pPr>
        <w:pStyle w:val="9"/>
        <w:keepNext w:val="0"/>
        <w:keepLines w:val="0"/>
        <w:pageBreakBefore w:val="0"/>
        <w:widowControl w:val="0"/>
        <w:numPr>
          <w:ilvl w:val="0"/>
          <w:numId w:val="2"/>
        </w:numPr>
        <w:tabs>
          <w:tab w:val="clear" w:pos="312"/>
        </w:tabs>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冠心病稳定型心绞痛中医诊疗指南[J].中医杂志,2019,60(21):1880-890.</w:t>
      </w:r>
    </w:p>
  </w:endnote>
  <w:endnote w:id="1">
    <w:p w14:paraId="556D85B7">
      <w:pPr>
        <w:pStyle w:val="9"/>
        <w:keepNext w:val="0"/>
        <w:keepLines w:val="0"/>
        <w:pageBreakBefore w:val="0"/>
        <w:widowControl w:val="0"/>
        <w:numPr>
          <w:ilvl w:val="0"/>
          <w:numId w:val="2"/>
        </w:numPr>
        <w:tabs>
          <w:tab w:val="clear" w:pos="312"/>
        </w:tabs>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张瑞芬,苏和,黄新生,等.不稳定型心绞痛中医诊疗专家共识[J].中医杂志,2022,63(7):695-700.</w:t>
      </w:r>
    </w:p>
  </w:endnote>
  <w:endnote w:id="2">
    <w:p w14:paraId="161D2E37">
      <w:pPr>
        <w:pStyle w:val="9"/>
        <w:keepNext w:val="0"/>
        <w:keepLines w:val="0"/>
        <w:pageBreakBefore w:val="0"/>
        <w:widowControl w:val="0"/>
        <w:numPr>
          <w:ilvl w:val="0"/>
          <w:numId w:val="2"/>
        </w:numPr>
        <w:tabs>
          <w:tab w:val="clear" w:pos="312"/>
        </w:tabs>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张敏州,丁邦晗,林谦.急性心肌梗死中医临床诊疗指南[J].中华中医药杂,2021,36(7):4119-4127.</w:t>
      </w:r>
    </w:p>
  </w:endnote>
  <w:endnote w:id="3">
    <w:p w14:paraId="00437A3C">
      <w:pPr>
        <w:pStyle w:val="9"/>
        <w:keepNext w:val="0"/>
        <w:keepLines w:val="0"/>
        <w:pageBreakBefore w:val="0"/>
        <w:widowControl w:val="0"/>
        <w:numPr>
          <w:ilvl w:val="0"/>
          <w:numId w:val="2"/>
        </w:numPr>
        <w:tabs>
          <w:tab w:val="clear" w:pos="312"/>
        </w:tabs>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Vrints C, Andreotti F, Koskinas KC, et al. 2024 ESC Guidelines for the management of chronic coronary syndromes. Eur Heart J. 2024;45(36):3415-3537. </w:t>
      </w:r>
    </w:p>
  </w:endnote>
  <w:endnote w:id="4">
    <w:p w14:paraId="3F0DF5E8">
      <w:pPr>
        <w:pStyle w:val="9"/>
        <w:keepNext w:val="0"/>
        <w:keepLines w:val="0"/>
        <w:pageBreakBefore w:val="0"/>
        <w:widowControl w:val="0"/>
        <w:numPr>
          <w:ilvl w:val="0"/>
          <w:numId w:val="2"/>
        </w:numPr>
        <w:tabs>
          <w:tab w:val="clear" w:pos="312"/>
        </w:tabs>
        <w:kinsoku/>
        <w:overflowPunct/>
        <w:topLinePunct w:val="0"/>
        <w:bidi w:val="0"/>
        <w:adjustRightInd w:val="0"/>
        <w:snapToGrid w:val="0"/>
        <w:spacing w:line="360" w:lineRule="exact"/>
        <w:ind w:left="420" w:hanging="420" w:hangingChars="200"/>
        <w:textAlignment w:val="auto"/>
        <w:rPr>
          <w:rFonts w:hint="eastAsia"/>
          <w:sz w:val="21"/>
          <w:szCs w:val="21"/>
        </w:rPr>
      </w:pPr>
      <w:r>
        <w:rPr>
          <w:sz w:val="21"/>
          <w:szCs w:val="21"/>
        </w:rPr>
        <w:t>Byrne RA, Rossello X, Coughlan JJ, et al. 2023 ESC Guidelines for the management of acute coronary syndromes [published correction appears in Eur Heart J. 2024 Apr 1;45(13):1145</w:t>
      </w:r>
    </w:p>
  </w:endnote>
  <w:endnote w:id="5">
    <w:p w14:paraId="63EEA1B3">
      <w:pPr>
        <w:pStyle w:val="9"/>
        <w:keepNext w:val="0"/>
        <w:keepLines w:val="0"/>
        <w:pageBreakBefore w:val="0"/>
        <w:widowControl w:val="0"/>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[6]</w:t>
      </w:r>
      <w:r>
        <w:rPr>
          <w:sz w:val="21"/>
          <w:szCs w:val="21"/>
        </w:rPr>
        <w:t xml:space="preserve"> Dibben G, Faulkner J, Oldridge N, et al. Exercise-based cardiac rehabilitation for coronary heart disease. Cochrane Database Syst Rev. 2021;11(11):CD001800. Published 2021 Nov 6.</w:t>
      </w:r>
    </w:p>
  </w:endnote>
  <w:endnote w:id="6">
    <w:p w14:paraId="700C7B50">
      <w:pPr>
        <w:pStyle w:val="9"/>
        <w:keepNext w:val="0"/>
        <w:keepLines w:val="0"/>
        <w:pageBreakBefore w:val="0"/>
        <w:widowControl w:val="0"/>
        <w:kinsoku/>
        <w:overflowPunct/>
        <w:topLinePunct w:val="0"/>
        <w:bidi w:val="0"/>
        <w:adjustRightInd w:val="0"/>
        <w:snapToGrid w:val="0"/>
        <w:spacing w:line="360" w:lineRule="exact"/>
        <w:ind w:left="420" w:hanging="420" w:hangingChars="200"/>
        <w:textAlignment w:val="auto"/>
        <w:rPr>
          <w:sz w:val="21"/>
          <w:szCs w:val="21"/>
        </w:rPr>
      </w:pPr>
      <w:r>
        <w:rPr>
          <w:sz w:val="21"/>
          <w:szCs w:val="21"/>
        </w:rPr>
        <w:t>[</w:t>
      </w:r>
      <w:r>
        <w:rPr>
          <w:sz w:val="21"/>
          <w:szCs w:val="21"/>
        </w:rPr>
        <w:endnoteRef/>
      </w:r>
      <w:r>
        <w:rPr>
          <w:sz w:val="21"/>
          <w:szCs w:val="21"/>
        </w:rPr>
        <w:t xml:space="preserve">] </w:t>
      </w:r>
      <w:r>
        <w:rPr>
          <w:rFonts w:hint="eastAsia"/>
          <w:sz w:val="21"/>
          <w:szCs w:val="21"/>
        </w:rPr>
        <w:t>American Association of Cardiovascular &amp; Pulmonary Rehabilitation. rehabilitation guidelines for cardiac rehabilitation programs. Sixth Edition. Champaign, IL : Human Kinetics, 2021.</w:t>
      </w:r>
    </w:p>
  </w:endnote>
  <w:endnote w:id="7">
    <w:p w14:paraId="5C0422FE">
      <w:pPr>
        <w:pStyle w:val="9"/>
        <w:keepNext w:val="0"/>
        <w:keepLines w:val="0"/>
        <w:pageBreakBefore w:val="0"/>
        <w:widowControl w:val="0"/>
        <w:kinsoku/>
        <w:overflowPunct/>
        <w:topLinePunct w:val="0"/>
        <w:bidi w:val="0"/>
        <w:adjustRightInd w:val="0"/>
        <w:snapToGrid w:val="0"/>
        <w:spacing w:line="360" w:lineRule="exact"/>
        <w:ind w:left="420" w:hanging="420" w:hangingChars="200"/>
        <w:textAlignment w:val="auto"/>
        <w:rPr>
          <w:sz w:val="21"/>
          <w:szCs w:val="21"/>
        </w:rPr>
      </w:pPr>
      <w:r>
        <w:rPr>
          <w:sz w:val="21"/>
          <w:szCs w:val="21"/>
        </w:rPr>
        <w:t>[</w:t>
      </w:r>
      <w:r>
        <w:rPr>
          <w:sz w:val="21"/>
          <w:szCs w:val="21"/>
        </w:rPr>
        <w:endnoteRef/>
      </w:r>
      <w:r>
        <w:rPr>
          <w:sz w:val="21"/>
          <w:szCs w:val="21"/>
        </w:rPr>
        <w:t xml:space="preserve">] </w:t>
      </w:r>
      <w:r>
        <w:rPr>
          <w:rFonts w:hint="eastAsia"/>
          <w:sz w:val="21"/>
          <w:szCs w:val="21"/>
        </w:rPr>
        <w:t>Kim C, Sung J, Lee JH, et al. Clinical practice guideline for cardiac rehabilitation in Korea. Ann Rehabil Med, 2019, 43 (3) : 355 - 443.</w:t>
      </w:r>
    </w:p>
  </w:endnote>
  <w:endnote w:id="8">
    <w:p w14:paraId="457AEC43">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Balady G,Ades PA, Bitner V, et al. Referral, enrollment and delivery of cardiac rehabilitation /secondary prevention programs at clinical centers and beyond:a presidential advisory from the American Heart Association. Circulation，2011，124（25）：2951-2960.</w:t>
      </w:r>
    </w:p>
    <w:p w14:paraId="37FD9FF7">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谭钢文,卓锦屏.急性心肌梗死患者Ⅰ期心脏康复综述[J].医药前沿,2025,15(8):28-30+34.</w:t>
      </w:r>
    </w:p>
    <w:p w14:paraId="1CE83147">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张颖,徐晓东,方中,等.老年冠心病患者的衰弱评估与6min步行试验的相关性研究[J].安徽医学,2022,43(5):526-529.</w:t>
      </w:r>
    </w:p>
    <w:p w14:paraId="4DB3A2F5">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杜沛.基于循证医学的心脏康复护理对冠心病患者的影响[J].中外医药研究,2026,5(14):127-129.</w:t>
      </w:r>
    </w:p>
    <w:p w14:paraId="771C30E7">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文青,毛孝容,唐小丽,等.冠心病Ⅱ期心脏康复患者居家运动康复的最佳证据总结[J].现代临床护理,2024,23(10):77-85.</w:t>
      </w:r>
    </w:p>
    <w:p w14:paraId="21E4EC14">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王建茹,刘天惟.心脏康复的发展现况及前景[J].医学信息,2021,34(11):47-49.</w:t>
      </w:r>
    </w:p>
    <w:p w14:paraId="2BFB8B76">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中华医学会,中华医学会杂志社,中华医学会全科医学分会,等.冠心病心脏康复基层指南(2020年)[J].中华全科医师杂志,2021,20(2):150-165.</w:t>
      </w:r>
    </w:p>
    <w:p w14:paraId="1211B95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中华医学会心血管病学分会预防学组,中国康复医学会心血管病专业委员会.冠心病患者运动治疗中国专家共识[J].中华心血管病杂志,2015,43(7):575-588.</w:t>
      </w:r>
    </w:p>
    <w:p w14:paraId="3AC6E7BB">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中华医学会心血管病学分会,中国康复医学会心血管病专业委员会,中国老年学学会心脑血管病专业委员会.冠心病康复与二级预防中国专家共识[J].中华心血管病杂志,2013,41(4):267-275.</w:t>
      </w:r>
    </w:p>
    <w:p w14:paraId="4F87453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中国康复医学会心血管病预防与康复专业委员会.慢性心力衰竭心脏康复中国专家共识[J].中华内科杂志,2020,59(12):942-952.</w:t>
      </w:r>
    </w:p>
    <w:p w14:paraId="64CF501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中华医学会心血管病学分会,中国康复医学会心肺预防与康复专业委员会,中华心血管病杂志编辑委员会.稳定型心绞痛运动康复中国专家共识[J].中华心血管病杂志,2023,51(10):1033-1042.</w:t>
      </w:r>
    </w:p>
    <w:p w14:paraId="2FCE015B">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中国康复医学会心血管病预防与康复专业委员会,中国心脏联盟心血管疾病预防与康复专业委员会康复师护理联盟.稳定性冠心病康复治疗与护理实践中国专家共识[J].中华内科杂志,2023,62(12):1406-1417.</w:t>
      </w:r>
    </w:p>
    <w:p w14:paraId="74064E8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中国康复医学会心血管病专业委员会.中国心脏康复与二级预防指南2018精要[J].中华内科杂志,2018,57(11):802-810.</w:t>
      </w:r>
    </w:p>
    <w:p w14:paraId="7142A44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高嘉良,陈光,李海霞,等.以太极拳为主的中医传统运动在心脏康复中的作用[J].中医杂志, 2021, 62(3):6.、</w:t>
      </w:r>
    </w:p>
    <w:p w14:paraId="11F54A4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高嘉良,陈光,李海霞,等.以太极拳为主的中医传统运动在心脏康复中的作用[J].中医杂志, 2021, 62(3):6</w:t>
      </w:r>
    </w:p>
    <w:p w14:paraId="07C0C25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华丽,陆苍苍,王蓓.八段锦对冠心病经皮冠状动脉介入术后病人预后的影响[J].中西医结合心脑血管病杂志,2018,16(04):510-512.</w:t>
      </w:r>
    </w:p>
    <w:p w14:paraId="7FB4CDE3">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刘小红,颜琼,杨珊,等.六字诀联合抗阻训练对稳定型心绞痛患者运动耐力和生活质量的影响研究[J].基层医学论坛,2024,28(22):137-140.</w:t>
      </w:r>
    </w:p>
    <w:p w14:paraId="3A65B924">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宋丽波，董国菊，杨丽丽，等.健身气功六字诀对冠心病合并抑郁状态患者的影响[J].环球中医药，2017，10(08):969-971.</w:t>
      </w:r>
    </w:p>
    <w:p w14:paraId="4B51DE1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孙垚,任庆华,金娜英,等.八段锦对经皮冠状动脉介入术后心脏康复影响的Meta分析[J].中西医结合心脑血管病杂志,2024,22(9):1555-1560.</w:t>
      </w:r>
    </w:p>
    <w:p w14:paraId="73DE7F27">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Fan C, Yan H, Lei K, Li X, Li D, Dong S, Zhang Y, Cheng Y, Li Z, Li N, Li Z, Huang J. Effect of Tai Chi-Based Psychosomatic Rehabilitation Exercise on Physiological Function and Mental Health of Patients with Coronary Heart Disease: A Meta-Analysis. Rev Ca</w:t>
      </w:r>
      <w:r>
        <w:rPr>
          <w:sz w:val="21"/>
          <w:szCs w:val="21"/>
        </w:rPr>
        <w:t>rdiovasc Med. 2024 Jun 24;25(6):227.</w:t>
      </w:r>
    </w:p>
    <w:p w14:paraId="405C8CA9">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Liu T, Chan AW, Liu YH, Taylor-Piliae RE. Effects of Tai Chi-based cardiac rehabilitation on aerobic endurance, psychosocial well-being, and cardiovascular risk reduction among patients with coronary heart disease: A systematic review and meta-analysis. Eur J Cardiovasc Nurs. 2018 Apr;17(4):368-383.</w:t>
      </w:r>
      <w:r>
        <w:rPr>
          <w:rFonts w:ascii="Segoe UI" w:hAnsi="Segoe UI" w:eastAsia="Segoe UI" w:cs="Segoe UI"/>
          <w:color w:val="212121"/>
          <w:sz w:val="21"/>
          <w:szCs w:val="21"/>
          <w:shd w:val="clear" w:color="auto" w:fill="FFFFFF"/>
        </w:rPr>
        <w:t xml:space="preserve"> </w:t>
      </w:r>
    </w:p>
    <w:p w14:paraId="741EF6C1">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苏宇虹,赵玉玲,梁芳芳.五禽戏联合Ⅱ期心脏康复在冠心病PCI术后患者中的应用[J].中国循证心血管医学杂志,2024,16(2):159-162.</w:t>
      </w:r>
    </w:p>
    <w:p w14:paraId="7C63B0A0">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毛静远,牛子长,张伯礼.近40年冠心病中医证候特征研究文献分析[J].中医杂志,2011,52(11):958-961.</w:t>
      </w:r>
    </w:p>
    <w:p w14:paraId="5167E6CD">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邹宏,张明雪,李涵,等.枳实薤白桂枝汤加减治疗冠心病Meta分析[J].辽宁中医药大学学报,2017,19(05):106-109.</w:t>
      </w:r>
    </w:p>
    <w:p w14:paraId="3B38807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廖朝辉,薛兴海.加味丹参饮联合常规西药治疗冠心病心绞痛临床效果及安全性的Meta分析[J].中西医结合心脑血管病杂志,2019,17(11):1619-1622.</w:t>
      </w:r>
    </w:p>
    <w:p w14:paraId="4FA0FC83">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魏真真,牛玉苓,徐春婷,等.养心氏片治疗气虚血瘀型冠心病的临床价值[J].延边大学医学学报,2025,48(12):87-89.</w:t>
      </w:r>
    </w:p>
    <w:p w14:paraId="05D0120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孙恒,邢作英,黄金雨,等.参芍胶囊治疗冠心病心绞痛的Meta分析与试验序贯分析[J].中国中药杂志,2024,49(12):3385-3395.</w:t>
      </w:r>
    </w:p>
    <w:p w14:paraId="44317CBB">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龙铟,刘家云,王宗仁.芪丹通脉片治疗冠心病患者的疗效及对血清炎症因子的影响[J].心脏杂志,2011,23(06):838.</w:t>
      </w:r>
    </w:p>
    <w:p w14:paraId="16EA9C1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贾君迪,李玉峰,肖珉,等.血栓心脉宁治疗冠心病临床疗效及安全性的Meta分析[J].中西医结合心脑血管病杂志,2021,19(05):789-794.</w:t>
      </w:r>
    </w:p>
    <w:p w14:paraId="411EA691">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杜贞爱，陈桂玲．血塞通软胶囊对心绞痛患者血浆内皮素及C反应蛋白的影响［J］．中国现代药物应用，2009，3( 4) : 2</w:t>
      </w:r>
    </w:p>
    <w:p w14:paraId="52E25B06">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杜贞爱,陈桂玲.血塞通软胶囊对心绞痛患者血浆内皮素及C反应蛋白的影响[J].中国现代药物应用,2009,3(04):140-141.</w:t>
      </w:r>
    </w:p>
    <w:p w14:paraId="4DD0FEF1">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冯翠贤.冠心病心绞痛患者采用四逆汤加减联合氯吡格雷治疗的效果观察[J].中西医结合心血管病电子杂志,2017,5(09):103-104.</w:t>
      </w:r>
    </w:p>
    <w:p w14:paraId="6A316249">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熊晓玲,陈胜男,洪勇,等.心宝丸治疗心血瘀阻型心绞痛临床观察[J].四川中医,2014,32(12):164-165.</w:t>
      </w:r>
    </w:p>
    <w:p w14:paraId="2AF4B963">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段文慧, 徐浩, 王翠萍, 等. 活心丸(浓缩丸)治疗冠心病稳定性心绞痛气虚血瘀证——一项多中心、随机、双盲、安慰剂对照临床研究[J]. 中国循证心血管医学杂志, 2016, 8 (9) : 1110-1115.。</w:t>
      </w:r>
    </w:p>
    <w:p w14:paraId="6219627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杨琦. 活心丸治疗冠心病稳定性心绞痛的随机对照临床研究[D]. 山东中医药大学, 2015.</w:t>
      </w:r>
    </w:p>
    <w:p w14:paraId="541DC5B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梅冬环, 谢志红. 中西医结合治疗冠心病心绞痛43例临床观察[J]. 中国民族民间医药, 2019, 28 (20) : 90-92.</w:t>
      </w:r>
    </w:p>
    <w:p w14:paraId="13BDA262">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吴贝. 活心丸治疗冠心病心绞痛的临床疗效分析[J]. 保健医学研究与实践, 2021, 18 (S1) : 109-111.</w:t>
      </w:r>
    </w:p>
    <w:p w14:paraId="64BC29A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黄娟,杜扬,徐翰,等.瓜蒌薤白半夏汤治疗胸痹心痛效果及安全性系统评价[J].山东医药,2022,62(20):84-87.</w:t>
      </w:r>
    </w:p>
    <w:p w14:paraId="2E59EC26">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李吉旭,孟宪亮,郭延林,等.血府逐瘀汤联合西药治疗经皮冠状动脉介入术术后再发心绞痛Meta分析[J].陕西中医,2023,44(3):387-392.</w:t>
      </w:r>
    </w:p>
    <w:p w14:paraId="2FB41ED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李家立,康楠,李良军,等.小陷胸汤加味治疗冠心病心绞痛的系统评价[J].光明中医,2020,35(19):2961-2967.</w:t>
      </w:r>
    </w:p>
    <w:p w14:paraId="58A1FDCD">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王贤良,朱明军,倪代梅,等.救心丸对冠心病稳定型心绞痛患者运动耐量及生活质量的影响—一项随机、双盲、安慰剂对照、多中心临床研究[J].中医杂志,2024,65(24):2549-2557</w:t>
      </w:r>
    </w:p>
    <w:p w14:paraId="613C58E5">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冯美干.脑心清片治疗冠心病心绞痛的疗效观察[J].临床合理用药杂志,2012,5(30):67-68</w:t>
      </w:r>
    </w:p>
    <w:p w14:paraId="5F046EA4">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张书萌,张湘卓,曾雪芹,等.柴胡疏肝散加减治疗冠心病心绞痛疗效的Meta分析[J].湖南中医药大学学报,2020,40(07):867-871.</w:t>
      </w:r>
    </w:p>
    <w:p w14:paraId="57CDFD76">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魏玲玲.愈心痛胶囊治疗不稳定性心绞痛的临床观察[J].中华中医药杂志,2009,24(11):1532-1533.</w:t>
      </w:r>
    </w:p>
    <w:p w14:paraId="121B3B4B">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李晓颖,孙东霞,许雅妮,等.冠心宁片治疗冠心病心绞痛的Meta分析及GRADE证据评价[J].中国中药杂志,2023,48(01):247-255.</w:t>
      </w:r>
    </w:p>
    <w:p w14:paraId="55CB3392">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姜丙华,范立华,王晓峰,等.维药养心达瓦依米西克蜜膏治疗稳定型心绞痛气滞血瘀证279例—一项随机、双盲、阳性药对照、多中心临床研究[J].中医杂志,2024,65(21):2225-2233</w:t>
      </w:r>
    </w:p>
    <w:p w14:paraId="1EEBD92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江雨洁,张湘卓,张书萌,等.生脉散加减联合西药常规治疗冠心病心绞痛Meta分析[J].世界中医药,2022,17(20):2885-2891.</w:t>
      </w:r>
    </w:p>
    <w:p w14:paraId="2E49703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武佶,程春齐,王金花,等.养心生脉颗粒治疗冠心病稳定性心绞痛气阴两虚证患者的平行对照临床研究[J].世界中西医结合杂志,2023,18(09):1870-1873+1886.</w:t>
      </w:r>
    </w:p>
    <w:p w14:paraId="48EB66A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杜泽华,王泽光,齐培,等.心通口服液在冠心病心绞痛患者中的应用效果[J].实用中西医结合临床,2023,23(17):14-16+31.</w:t>
      </w:r>
    </w:p>
    <w:p w14:paraId="5B6C5686">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Georgiopoulos G, Kraler S, Mueller-Hennessen M, et al. Modification of the GRACE Risk Score for Risk Prediction in Patients With Acute Coronary Syndromes [published correction appears in JAMA Cardiol. 2024 Jan 1;9(1):95. </w:t>
      </w:r>
    </w:p>
    <w:p w14:paraId="1EED957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张驰,徐莉,徐超,等.独参汤联合溶栓治疗心肌梗死的疗效及对心肌再灌注及心功能的影响[J].亚太传统医药,2019,15(9):116-118.</w:t>
      </w:r>
    </w:p>
    <w:p w14:paraId="01688A05">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李建杰,李丽,王亚宽,等.参附汤治疗急性心肌梗死合并心源性休克临床研究[J].新中医,2019,51(02):80-82.</w:t>
      </w:r>
    </w:p>
    <w:p w14:paraId="1A60FE50">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刘杰,梁春玲,张宗耀,等.四逆汤联合主动脉球囊反搏治疗心肌梗死合并心源性休克患者的临床研究[J].世界中西医结合杂志,2021,16(12):2280-2284.</w:t>
      </w:r>
    </w:p>
    <w:p w14:paraId="6FE64D17">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李永春,郭丽.针刺调理脾肺法治疗稳定型劳力性心绞痛45例临床研究[J].中国中医急症,2012,21(11):1870-1871.</w:t>
      </w:r>
    </w:p>
    <w:p w14:paraId="26CA287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叶一林, 杨原芳, 林良才, 等. 温通针法治疗阳虚血瘀型稳定型心绞痛疗效观察[J]. 上海针灸杂志, 2020, 39(10): 1230-1234.</w:t>
      </w:r>
    </w:p>
    <w:p w14:paraId="001BEC51">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孙艳, 李博慧, 王泽林. 针刺治疗痰浊闭阻证稳定型心绞痛患者的效果[J]. 中国医药导报, 2021, 18(29): 68-72.</w:t>
      </w:r>
    </w:p>
    <w:p w14:paraId="7376AC0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李永春,郭丽.针刺调理脾肺法治疗稳定型劳力性心绞痛45例临床研究[J].中国中医急症,2012,21(11):1870-1871.</w:t>
      </w:r>
    </w:p>
    <w:p w14:paraId="50FBC10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高树中, 杨骏.针灸治疗学[M].北京: 中国中医药出版社, 2016.</w:t>
      </w:r>
    </w:p>
    <w:p w14:paraId="25459C12">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王朝阳, 睢明河, 王琤.头针运动疗法[M].北京：科学技术文献出版社, 2010.</w:t>
      </w:r>
    </w:p>
    <w:p w14:paraId="4DE19AD5">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张泽,陈民,吴文胜,等.基于Meta分析的艾灸治疗冠心病心绞痛临床疗效评价[J].南京中医药大学学报,2015,31(02):183-186.</w:t>
      </w:r>
    </w:p>
    <w:p w14:paraId="76A1E15F">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林芳,徐珊宁.温和灸加浅针治疗心肌缺血60例[J].福建中医学院学报,2008,(01):46-47.</w:t>
      </w:r>
    </w:p>
    <w:p w14:paraId="78AFEFE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吴长岩，贾乐红，吕志军．温针灸对冠心病心绞痛血脂、血流变的影响［J］．针灸临床杂志，2010，26(1): 36-38.</w:t>
      </w:r>
    </w:p>
    <w:p w14:paraId="315DC7C5">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韩雪梅,夏宝林,李科全.艾灸预处理配合西药防治冠心病的临床效果[J].中华全科医学</w:t>
      </w:r>
    </w:p>
    <w:p w14:paraId="5AE5ADA9">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r>
        <w:rPr>
          <w:rFonts w:hint="eastAsia"/>
          <w:sz w:val="21"/>
          <w:szCs w:val="21"/>
        </w:rPr>
        <w:t>,2013,11(08):1258-1259.</w:t>
      </w:r>
    </w:p>
    <w:p w14:paraId="42836E30">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张洁,赵凌,冷俊艳,等.心绞痛穴位敷贴治疗特点的文献分析[J].针灸临床杂志,2015,31(4):72-76.</w:t>
      </w:r>
    </w:p>
    <w:p w14:paraId="487ADED7">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时敏,么传为,睢勇,等.益气活血贴穴位贴敷治疗气虚血瘀型冠心病不稳定型心绞痛临床观察[J].新中医,2018,50(9):182-184.</w:t>
      </w:r>
    </w:p>
    <w:p w14:paraId="732E65E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牛凤娟,李晓晓.耳穴压豆辅治冠心病心绞痛气虚血瘀型临床观察[J].实用中医药杂志, 2024,40(03):474-476.</w:t>
      </w:r>
    </w:p>
    <w:p w14:paraId="3A761EB5">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张旭.耳穴压豆联合中药穴位贴敷对气滞血瘀型冠心病患者负面情绪的价值探讨[J].中国现代药物应用,2024,18(7):134-137.</w:t>
      </w:r>
    </w:p>
    <w:p w14:paraId="5024397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钱东初,金建立.耳穴压豆联合益气活血化浊汤在冠心病心绞痛心血瘀阻型患者中的应用效果[J].慢性病学杂志,2021,22(05):752-753+756.</w:t>
      </w:r>
    </w:p>
    <w:p w14:paraId="1296933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Yang, Mingxiao, Yang, Mingxiao, </w:t>
      </w:r>
      <w:r>
        <w:rPr>
          <w:rFonts w:hint="eastAsia"/>
          <w:sz w:val="21"/>
          <w:szCs w:val="21"/>
        </w:rPr>
        <w:t>et,al</w:t>
      </w:r>
      <w:r>
        <w:rPr>
          <w:sz w:val="21"/>
          <w:szCs w:val="21"/>
        </w:rPr>
        <w:t>.</w:t>
      </w:r>
      <w:r>
        <w:rPr>
          <w:rFonts w:hint="eastAsia"/>
          <w:sz w:val="21"/>
          <w:szCs w:val="21"/>
        </w:rPr>
        <w:t xml:space="preserve"> </w:t>
      </w:r>
      <w:r>
        <w:rPr>
          <w:sz w:val="21"/>
          <w:szCs w:val="21"/>
        </w:rPr>
        <w:t xml:space="preserve">The efficacy of acupuncture for stable angina pectoris: A systematic review and meta-analysis. Eur J Prev Cardiol. 2021 Oct 25;28(13):1415-1425. </w:t>
      </w:r>
    </w:p>
    <w:p w14:paraId="7C6E8A3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刁雅静.针刺董氏奇穴治疗冠心病心绞痛30例临床观察[J].湖南中医杂志,</w:t>
      </w:r>
    </w:p>
    <w:p w14:paraId="2308BB14">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r>
        <w:rPr>
          <w:rFonts w:hint="eastAsia"/>
          <w:sz w:val="21"/>
          <w:szCs w:val="21"/>
        </w:rPr>
        <w:t>2020,36(1):53-55.</w:t>
      </w:r>
    </w:p>
    <w:p w14:paraId="0740D35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张泽,陈民,吴文胜,等.基于Meta分析的艾灸治疗冠心病心绞痛临床疗效评价[J].南京中医药大学学报,2015,31(2):183-186.</w:t>
      </w:r>
    </w:p>
    <w:p w14:paraId="5402674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隋吉峰, 陈岩, 张哲等.基于Meta分析的中药穴位贴敷治疗冠心病不稳定型心绞痛临床疗效评价[J]. 中华中医药学刊，2018，36(3):562-568.</w:t>
      </w:r>
    </w:p>
    <w:p w14:paraId="04D1B8F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牛凤娟,李晓晓.耳穴压豆辅治冠心病心绞痛气虚血瘀型临床观察[J].实用中医药杂志, 2024,40(3):474-476.</w:t>
      </w:r>
    </w:p>
    <w:p w14:paraId="4D3CD2E0">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Prevalence, 12-Month Prognosis, and Clinical Management Need of Depression in Coronary Heart Disease Patients: A Prospective Cohort Study</w:t>
      </w:r>
    </w:p>
    <w:p w14:paraId="3B5A1AD2">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Meta-analysis of anxiety as a risk factor for cardiovascular disease. Am J Cardiol. 2016; 118:511–519. </w:t>
      </w:r>
    </w:p>
    <w:p w14:paraId="68959CFF">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Cao H, Zhao H, Shen L. Depression increased risk of coronary heart disease: A meta-analysis of prospective cohort studies. Front Cardiovasc Med. 2022;9:913888. Published 2022 Aug 30. </w:t>
      </w:r>
    </w:p>
    <w:p w14:paraId="7F00B66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徐彩红,金爱莲,谢美丽,等.个性化心理护理干预对老年冠心病患者心理状态和生活质量的影响[J].国际精神病学志,2022,49(05):923-925+929.</w:t>
      </w:r>
    </w:p>
    <w:p w14:paraId="0968CBE2">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吴静茹.心理护理对改善焦虑抑郁症并发冠心病患者睡眠质量的意义[J］.心血管病防治知识，2023，13（32）：53-55.</w:t>
      </w:r>
    </w:p>
    <w:p w14:paraId="333C470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 </w:t>
      </w:r>
      <w:r>
        <w:rPr>
          <w:rFonts w:hint="eastAsia"/>
          <w:sz w:val="21"/>
          <w:szCs w:val="21"/>
        </w:rPr>
        <w:t>涂玉华，唐晓冬.心理护理及健康教育对冠心病合并抑郁 焦虑患者的影响[J］.基层医学论坛，2022，26（12）：82-84.</w:t>
      </w:r>
    </w:p>
    <w:p w14:paraId="5F13287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沈燕，卞凤丽等.认知行为疗法对冠心病慢性心力衰竭患者治疗依从性及情绪的影响[J］.当代护士，2021，28（3）：50-52.</w:t>
      </w:r>
    </w:p>
    <w:p w14:paraId="48126F18">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岑思.认知行为联合预防性护理干预对冠心病患者PCI后焦虑抑郁及生活质量的影响[J］.中国医药指南，2024，22（3）：156-158.</w:t>
      </w:r>
    </w:p>
    <w:p w14:paraId="63B0F05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陈珺，丁金玲等.认知行为疗法对冠心病患者焦虑抑郁的干预效果[J］.现代医学，2024，47（4）：465-468.</w:t>
      </w:r>
    </w:p>
    <w:p w14:paraId="5AA4C076">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陈会娜,刘颖,江佳隆等.认知行为疗法缓解冠心病患者焦虑或抑郁的meta分析[J］.心理月刊，2021，24（16）：10-14.</w:t>
      </w:r>
    </w:p>
    <w:p w14:paraId="73B6321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高莉丽，林晓红等.团体认知行为疗法对冠心病患者心理状态应对方式及不良事件的影响[J］.齐鲁护理杂志，2020，26（9）：30-33.</w:t>
      </w:r>
    </w:p>
    <w:p w14:paraId="6D3109C0">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刘金旭.基于移动医疗的冠心病患者自助式积极心理干预方案的构建和实证研究[D]. 医药卫生科技·临床医学.</w:t>
      </w:r>
    </w:p>
    <w:p w14:paraId="353485C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卫靖靖,李兴渊,于瑞,等.柴胡加龙骨牡蛎汤治疗冠心病合并焦虑抑郁状态Meta分析及GRADE评价[J].辽宁中医药大学学报,2021,23(04):102-108.</w:t>
      </w:r>
    </w:p>
    <w:p w14:paraId="24B8C364">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刘长兴，郭心怡等.加味温胆汤联合黛力新治疗冠心病伴焦虑抑郁状态有效性及安全性的Meta分析[J］.中药新药与临床药理，2023，34（11）：1623-1643</w:t>
      </w:r>
    </w:p>
    <w:p w14:paraId="5EEAD8FC">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白如鑫,蒋戈利,聂道芳,等.益气复脉针法在冠心病冠状动脉支架植入术后焦虑、抑郁患者的应用[J].解放军医药杂志,2017,29(02):17-19+23.</w:t>
      </w:r>
    </w:p>
    <w:p w14:paraId="473856E0">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高树中，杨骏.针灸治疗学[M].北京：中国中医药出版社，2016）（李志道.针灸处方学[M].北京：中国中医药出版社，2023.</w:t>
      </w:r>
    </w:p>
    <w:p w14:paraId="0A4EF9F1">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张瑞娟 ,任胜洪等.穴位按摩联合引导想象训练在冠心病PCI术后焦虑抑郁病人中的应用研究[J].全科护理，2023，21（22）：3114-3117.</w:t>
      </w:r>
    </w:p>
    <w:p w14:paraId="6F85AC4F">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王雪娟,王庆高,龙杰,等.穴位按摩联合五音疗法对冠心病经皮冠状动脉介入治疗术后气虚血瘀证患者焦虑抑郁的影响[J].广西医学,2022,44(1):117-120.</w:t>
      </w:r>
    </w:p>
    <w:p w14:paraId="411AD1F6">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张玉奇,张守红,矫健,等.耳穴压豆联合中药穴位贴敷对老年冠心病患者焦虑抑郁负性情绪的影响[J].中国中医药科技,2022,29(05):850-852.</w:t>
      </w:r>
    </w:p>
    <w:p w14:paraId="3776D019">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陈秋霞,傅俊媚,林惠旋.氟哌噻吨美利曲辛联合针刺内关穴对PCI术后老年伴有焦虑抑郁冠心病患者的疗效[J].心血管康复医学杂志,2021,30(04):427-430.</w:t>
      </w:r>
    </w:p>
    <w:p w14:paraId="4183394F">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张旭.耳穴压豆联合中药穴位贴敷对气滞血瘀型冠心病患者负面情绪的价值探讨[J].中国现代药物应用,2024,18(07):134-137.</w:t>
      </w:r>
    </w:p>
    <w:p w14:paraId="514F0612">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张玉奇，张守红等.耳穴压豆联合中药穴位贴敷对老年冠心病患者焦虑抑郁负性情绪的影响[J].中国中医药科技，2022，29（5）：850-852</w:t>
      </w:r>
    </w:p>
    <w:p w14:paraId="694DE9E4">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张瑞娟 ,任胜洪等.升降散穴位贴敷治疗稳定型心绞痛合并焦虑状态气郁化火证的临床观察[J].中医民间疗法，2024，32（2）：37-42</w:t>
      </w:r>
    </w:p>
    <w:p w14:paraId="73CB6CF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王静静，李瑞贞，岳凌燕.坐式八段锦运动在冠心病PCI术后患者康复护理中的应用[J].哈尔滨医药，2019，39(05):465-467.</w:t>
      </w:r>
    </w:p>
    <w:p w14:paraId="5F9E856F">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Effects of Tai Chi-based cardiac rehabilitation on aerobic endurance, psychosocial well-being, and cardiovascular risk reduction among patients with coronary heart disease: A systematic review and meta-analysis</w:t>
      </w:r>
    </w:p>
    <w:p w14:paraId="1F3FE6B3">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宋丽波，董国菊，杨丽丽，等.健身气功六字诀对冠心病合并抑郁状态患者的影响[J].环球中医药, 2017, 10(8):969-971.</w:t>
      </w:r>
    </w:p>
    <w:p w14:paraId="3C3BFD53">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Delgado-Lista J, Alcala-Diaz JF, Torres-Peña JD, et al. Long-term secondary prevention of cardiovascular disease with a Mediterranean diet and a low-fat diet (CORDIOPREV): a randomised controlled trial. Lancet. 2022;399(10338):1876-1885. </w:t>
      </w:r>
    </w:p>
    <w:p w14:paraId="20CB94FE">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冰缦,张蓉.失眠,中医巧调理[J].中老年保健,2008,(03):20-23.</w:t>
      </w:r>
    </w:p>
    <w:p w14:paraId="057C33F7">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Levine GN, Cohen BE, </w:t>
      </w:r>
      <w:r>
        <w:rPr>
          <w:rFonts w:hint="eastAsia"/>
          <w:sz w:val="21"/>
          <w:szCs w:val="21"/>
        </w:rPr>
        <w:t>et,al</w:t>
      </w:r>
      <w:r>
        <w:rPr>
          <w:sz w:val="21"/>
          <w:szCs w:val="21"/>
        </w:rPr>
        <w:t xml:space="preserve">. Psychological Health, Well-Being, and the Mind-Heart-Body Connection: A Scientific Statement From the American Heart Association. Circulation. 2021 Mar 9;143(10):e763-e783. </w:t>
      </w:r>
    </w:p>
    <w:p w14:paraId="1FD36B13">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sz w:val="21"/>
          <w:szCs w:val="21"/>
        </w:rPr>
        <w:t xml:space="preserve">Rozanski A, Bavishi C, </w:t>
      </w:r>
      <w:r>
        <w:rPr>
          <w:rFonts w:hint="eastAsia"/>
          <w:sz w:val="21"/>
          <w:szCs w:val="21"/>
        </w:rPr>
        <w:t>et,al</w:t>
      </w:r>
      <w:r>
        <w:rPr>
          <w:sz w:val="21"/>
          <w:szCs w:val="21"/>
        </w:rPr>
        <w:t xml:space="preserve">. Association of Optimism With Cardiovascular Events and All-Cause Mortality: A Systematic Review and Meta-analysis. JAMA Netw Open. 2019 Sep 4;2(9):e1912200. </w:t>
      </w:r>
    </w:p>
    <w:p w14:paraId="6EA06F65">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 xml:space="preserve">Huffman JC, Beale EE,et,al. Effects of Optimism and Gratitude on Physical Activity, Biomarkers, and Readmissions After an Acute Coronary Syndrome: The Gratitude Research in Acute Coronary Events Study. Circ Cardiovasc Qual Outcomes. 2016 Jan;9(1):55-63. </w:t>
      </w:r>
    </w:p>
    <w:p w14:paraId="1F1052EA">
      <w:pPr>
        <w:pStyle w:val="9"/>
        <w:keepNext w:val="0"/>
        <w:keepLines w:val="0"/>
        <w:pageBreakBefore w:val="0"/>
        <w:widowControl w:val="0"/>
        <w:numPr>
          <w:ilvl w:val="0"/>
          <w:numId w:val="3"/>
        </w:numPr>
        <w:kinsoku/>
        <w:overflowPunct/>
        <w:topLinePunct w:val="0"/>
        <w:bidi w:val="0"/>
        <w:adjustRightInd w:val="0"/>
        <w:snapToGrid w:val="0"/>
        <w:spacing w:line="360" w:lineRule="exact"/>
        <w:ind w:left="420" w:hanging="420" w:hangingChars="200"/>
        <w:textAlignment w:val="auto"/>
        <w:rPr>
          <w:sz w:val="21"/>
          <w:szCs w:val="21"/>
        </w:rPr>
      </w:pPr>
      <w:r>
        <w:rPr>
          <w:rFonts w:hint="eastAsia"/>
          <w:sz w:val="21"/>
          <w:szCs w:val="21"/>
        </w:rPr>
        <w:t>衷敬柏.建立适合中医临床诊疗证据评价方法的建议[J].中华中医药杂志,2016,31(04):1146-1148.</w:t>
      </w:r>
    </w:p>
    <w:p w14:paraId="73D2F775">
      <w:pPr>
        <w:pStyle w:val="9"/>
        <w:keepNext w:val="0"/>
        <w:keepLines w:val="0"/>
        <w:pageBreakBefore w:val="0"/>
        <w:widowControl w:val="0"/>
        <w:kinsoku/>
        <w:overflowPunct/>
        <w:topLinePunct w:val="0"/>
        <w:bidi w:val="0"/>
        <w:adjustRightInd w:val="0"/>
        <w:snapToGrid w:val="0"/>
        <w:spacing w:line="360" w:lineRule="exact"/>
        <w:ind w:left="420" w:hanging="420" w:hangingChars="200"/>
        <w:textAlignment w:val="auto"/>
        <w:rPr>
          <w:sz w:val="21"/>
          <w:szCs w:val="21"/>
        </w:rPr>
      </w:pPr>
    </w:p>
  </w:endnote>
  <w:endnote w:id="9">
    <w:p w14:paraId="37AA8444">
      <w:pPr>
        <w:pStyle w:val="9"/>
        <w:keepNext w:val="0"/>
        <w:keepLines w:val="0"/>
        <w:pageBreakBefore w:val="0"/>
        <w:widowControl w:val="0"/>
        <w:kinsoku/>
        <w:overflowPunct/>
        <w:topLinePunct w:val="0"/>
        <w:bidi w:val="0"/>
        <w:adjustRightInd w:val="0"/>
        <w:snapToGrid w:val="0"/>
        <w:spacing w:line="360" w:lineRule="exact"/>
        <w:ind w:firstLine="420"/>
        <w:textAlignment w:val="auto"/>
        <w:rPr>
          <w:sz w:val="21"/>
          <w:szCs w:val="21"/>
        </w:rPr>
      </w:pPr>
    </w:p>
  </w:endnote>
  <w:endnote w:id="10">
    <w:p w14:paraId="287C5351">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1">
    <w:p w14:paraId="49148B8C">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2">
    <w:p w14:paraId="364008B5">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3">
    <w:p w14:paraId="08A79A96">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4">
    <w:p w14:paraId="2303F35E">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5">
    <w:p w14:paraId="00E9A3D2">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6">
    <w:p w14:paraId="57DDD19D">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7">
    <w:p w14:paraId="4F20AAE0">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8">
    <w:p w14:paraId="67B65181">
      <w:pPr>
        <w:pStyle w:val="9"/>
        <w:keepNext w:val="0"/>
        <w:keepLines w:val="0"/>
        <w:pageBreakBefore w:val="0"/>
        <w:widowControl w:val="0"/>
        <w:kinsoku/>
        <w:overflowPunct/>
        <w:topLinePunct w:val="0"/>
        <w:bidi w:val="0"/>
        <w:adjustRightInd w:val="0"/>
        <w:snapToGrid w:val="0"/>
        <w:spacing w:line="360" w:lineRule="exact"/>
        <w:ind w:firstLine="0" w:firstLineChars="0"/>
        <w:textAlignment w:val="auto"/>
        <w:rPr>
          <w:sz w:val="21"/>
          <w:szCs w:val="21"/>
        </w:rPr>
      </w:pPr>
    </w:p>
  </w:endnote>
  <w:endnote w:id="19">
    <w:p w14:paraId="13376FD2">
      <w:pPr>
        <w:pStyle w:val="9"/>
        <w:keepNext w:val="0"/>
        <w:keepLines w:val="0"/>
        <w:pageBreakBefore w:val="0"/>
        <w:widowControl w:val="0"/>
        <w:kinsoku/>
        <w:wordWrap w:val="0"/>
        <w:overflowPunct/>
        <w:topLinePunct w:val="0"/>
        <w:bidi w:val="0"/>
        <w:adjustRightInd w:val="0"/>
        <w:snapToGrid w:val="0"/>
        <w:spacing w:line="360" w:lineRule="exact"/>
        <w:ind w:firstLine="0" w:firstLineChars="0"/>
        <w:textAlignment w:val="auto"/>
        <w:rPr>
          <w:sz w:val="21"/>
          <w:szCs w:val="21"/>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PingFang SC Regular">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Arial Narrow">
    <w:altName w:val="Arial"/>
    <w:panose1 w:val="020B0606020202030204"/>
    <w:charset w:val="00"/>
    <w:family w:val="swiss"/>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10022FF" w:usb1="C000E47F" w:usb2="00000029" w:usb3="00000000" w:csb0="200001DF" w:csb1="20000000"/>
  </w:font>
  <w:font w:name="FZSSK--GBK1-0">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EBEB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7325A">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640F">
    <w:pPr>
      <w:pStyle w:val="10"/>
      <w:jc w:val="center"/>
    </w:pPr>
    <w:r>
      <mc:AlternateContent>
        <mc:Choice Requires="wps">
          <w:drawing>
            <wp:anchor distT="0" distB="0" distL="0" distR="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E29EF0A">
                          <w:pPr>
                            <w:pStyle w:val="10"/>
                            <w:jc w:val="center"/>
                          </w:pPr>
                          <w:r>
                            <w:fldChar w:fldCharType="begin"/>
                          </w:r>
                          <w:r>
                            <w:instrText xml:space="preserve">PAGE   \* MERGEFORMAT</w:instrText>
                          </w:r>
                          <w:r>
                            <w:fldChar w:fldCharType="separate"/>
                          </w:r>
                          <w:r>
                            <w:rPr>
                              <w:lang w:val="zh-CN"/>
                            </w:rPr>
                            <w:t>2</w:t>
                          </w:r>
                          <w:r>
                            <w:fldChar w:fldCharType="end"/>
                          </w:r>
                        </w:p>
                        <w:p w14:paraId="79C41371"/>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AQpMREywEAAJIDAAAOAAAAAAAAAAEAIAAAAB8BAABkcnMvZTJv&#10;RG9jLnhtbFBLBQYAAAAABgAGAFkBAABcBQAAAAA=&#10;">
              <v:fill on="f" focussize="0,0"/>
              <v:stroke on="f"/>
              <v:imagedata o:title=""/>
              <o:lock v:ext="edit" aspectratio="f"/>
              <v:textbox inset="0mm,0mm,0mm,0mm" style="mso-fit-shape-to-text:t;">
                <w:txbxContent>
                  <w:p w14:paraId="0E29EF0A">
                    <w:pPr>
                      <w:pStyle w:val="10"/>
                      <w:jc w:val="center"/>
                    </w:pPr>
                    <w:r>
                      <w:fldChar w:fldCharType="begin"/>
                    </w:r>
                    <w:r>
                      <w:instrText xml:space="preserve">PAGE   \* MERGEFORMAT</w:instrText>
                    </w:r>
                    <w:r>
                      <w:fldChar w:fldCharType="separate"/>
                    </w:r>
                    <w:r>
                      <w:rPr>
                        <w:lang w:val="zh-CN"/>
                      </w:rPr>
                      <w:t>2</w:t>
                    </w:r>
                    <w:r>
                      <w:fldChar w:fldCharType="end"/>
                    </w:r>
                  </w:p>
                  <w:p w14:paraId="79C41371"/>
                </w:txbxContent>
              </v:textbox>
            </v:rect>
          </w:pict>
        </mc:Fallback>
      </mc:AlternateContent>
    </w:r>
  </w:p>
  <w:p w14:paraId="2A8F78F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AA559">
    <w:pPr>
      <w:pStyle w:val="10"/>
      <w:jc w:val="center"/>
    </w:pPr>
    <w:r>
      <mc:AlternateContent>
        <mc:Choice Requires="wps">
          <w:drawing>
            <wp:anchor distT="0" distB="0" distL="0" distR="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099"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4BDFC1D">
                          <w:pPr>
                            <w:pStyle w:val="10"/>
                            <w:jc w:val="center"/>
                          </w:pPr>
                          <w:r>
                            <w:fldChar w:fldCharType="begin"/>
                          </w:r>
                          <w:r>
                            <w:instrText xml:space="preserve">PAGE   \* MERGEFORMAT</w:instrText>
                          </w:r>
                          <w:r>
                            <w:fldChar w:fldCharType="separate"/>
                          </w:r>
                          <w:r>
                            <w:rPr>
                              <w:lang w:val="zh-CN"/>
                            </w:rPr>
                            <w:t>2</w:t>
                          </w:r>
                          <w:r>
                            <w:fldChar w:fldCharType="end"/>
                          </w:r>
                        </w:p>
                        <w:p w14:paraId="577D9683"/>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Cw8BU3KAQAAkgMAAA4AAAAAAAAAAQAgAAAAHwEAAGRycy9lMm9E&#10;b2MueG1sUEsFBgAAAAAGAAYAWQEAAFsFAAAAAA==&#10;">
              <v:fill on="f" focussize="0,0"/>
              <v:stroke on="f"/>
              <v:imagedata o:title=""/>
              <o:lock v:ext="edit" aspectratio="f"/>
              <v:textbox inset="0mm,0mm,0mm,0mm" style="mso-fit-shape-to-text:t;">
                <w:txbxContent>
                  <w:p w14:paraId="14BDFC1D">
                    <w:pPr>
                      <w:pStyle w:val="10"/>
                      <w:jc w:val="center"/>
                    </w:pPr>
                    <w:r>
                      <w:fldChar w:fldCharType="begin"/>
                    </w:r>
                    <w:r>
                      <w:instrText xml:space="preserve">PAGE   \* MERGEFORMAT</w:instrText>
                    </w:r>
                    <w:r>
                      <w:fldChar w:fldCharType="separate"/>
                    </w:r>
                    <w:r>
                      <w:rPr>
                        <w:lang w:val="zh-CN"/>
                      </w:rPr>
                      <w:t>2</w:t>
                    </w:r>
                    <w:r>
                      <w:fldChar w:fldCharType="end"/>
                    </w:r>
                  </w:p>
                  <w:p w14:paraId="577D9683"/>
                </w:txbxContent>
              </v:textbox>
            </v:rect>
          </w:pict>
        </mc:Fallback>
      </mc:AlternateContent>
    </w:r>
  </w:p>
  <w:p w14:paraId="350621C5">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806CC">
    <w:pPr>
      <w:pStyle w:val="11"/>
      <w:wordWrap w:val="0"/>
      <w:jc w:val="right"/>
      <w:rPr>
        <w:rFonts w:hint="eastAsia" w:ascii="黑体" w:hAnsi="黑体" w:eastAsia="黑体"/>
        <w:sz w:val="21"/>
        <w:szCs w:val="21"/>
      </w:rPr>
    </w:pPr>
    <w:r>
      <w:rPr>
        <w:rFonts w:ascii="黑体" w:hAnsi="黑体" w:eastAsia="黑体"/>
        <w:sz w:val="21"/>
        <w:szCs w:val="21"/>
      </w:rPr>
      <w:t xml:space="preserve">T/CACM </w:t>
    </w:r>
    <w:r>
      <w:rPr>
        <w:rFonts w:hint="eastAsia" w:ascii="黑体" w:hAnsi="黑体" w:eastAsia="黑体"/>
        <w:spacing w:val="10"/>
        <w:sz w:val="21"/>
        <w:szCs w:val="21"/>
      </w:rPr>
      <w:t>****</w:t>
    </w:r>
    <w:r>
      <w:rPr>
        <w:rFonts w:ascii="黑体" w:hAnsi="黑体" w:eastAsia="黑体"/>
        <w:spacing w:val="10"/>
        <w:sz w:val="21"/>
        <w:szCs w:val="21"/>
      </w:rPr>
      <w:t>－20</w:t>
    </w:r>
    <w:r>
      <w:rPr>
        <w:rFonts w:hint="eastAsia" w:ascii="黑体" w:hAnsi="黑体" w:eastAsia="黑体"/>
        <w:spacing w:val="10"/>
        <w:sz w:val="21"/>
        <w:szCs w:val="21"/>
      </w:rPr>
      <w:t>**</w:t>
    </w:r>
  </w:p>
  <w:p w14:paraId="2D6981BF">
    <w:pPr>
      <w:pStyle w:val="11"/>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E6CBD">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E68FD">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C38FB">
    <w:pPr>
      <w:pStyle w:val="11"/>
      <w:wordWrap w:val="0"/>
      <w:jc w:val="right"/>
      <w:rPr>
        <w:rFonts w:hint="eastAsia" w:ascii="黑体" w:hAnsi="黑体" w:eastAsia="黑体"/>
        <w:sz w:val="21"/>
        <w:szCs w:val="21"/>
      </w:rPr>
    </w:pPr>
    <w:r>
      <w:rPr>
        <w:rFonts w:ascii="黑体" w:hAnsi="黑体" w:eastAsia="黑体"/>
        <w:sz w:val="21"/>
        <w:szCs w:val="21"/>
      </w:rPr>
      <w:t xml:space="preserve">T/CACM </w:t>
    </w:r>
    <w:r>
      <w:rPr>
        <w:rFonts w:hint="eastAsia" w:ascii="黑体" w:hAnsi="黑体" w:eastAsia="黑体"/>
        <w:spacing w:val="10"/>
        <w:sz w:val="21"/>
        <w:szCs w:val="21"/>
      </w:rPr>
      <w:t>****</w:t>
    </w:r>
    <w:r>
      <w:rPr>
        <w:rFonts w:ascii="黑体" w:hAnsi="黑体" w:eastAsia="黑体"/>
        <w:spacing w:val="10"/>
        <w:sz w:val="21"/>
        <w:szCs w:val="21"/>
      </w:rPr>
      <w:t>－20</w:t>
    </w:r>
    <w:r>
      <w:rPr>
        <w:rFonts w:hint="eastAsia" w:ascii="黑体" w:hAnsi="黑体" w:eastAsia="黑体"/>
        <w:spacing w:val="10"/>
        <w:sz w:val="21"/>
        <w:szCs w:val="21"/>
      </w:rPr>
      <w:t>**</w:t>
    </w:r>
  </w:p>
  <w:p w14:paraId="5782E3DA">
    <w:pPr>
      <w:pStyle w:val="11"/>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264CA">
    <w:pPr>
      <w:pStyle w:val="11"/>
      <w:wordWrap w:val="0"/>
      <w:jc w:val="right"/>
      <w:rPr>
        <w:rFonts w:hint="eastAsia" w:ascii="黑体" w:hAnsi="黑体" w:eastAsia="黑体"/>
        <w:sz w:val="21"/>
        <w:szCs w:val="21"/>
      </w:rPr>
    </w:pPr>
    <w:r>
      <w:rPr>
        <w:rFonts w:ascii="黑体" w:hAnsi="黑体" w:eastAsia="黑体"/>
        <w:sz w:val="21"/>
        <w:szCs w:val="21"/>
      </w:rPr>
      <w:t xml:space="preserve">T/CACM </w:t>
    </w:r>
    <w:r>
      <w:rPr>
        <w:rFonts w:hint="eastAsia" w:ascii="黑体" w:hAnsi="黑体" w:eastAsia="黑体"/>
        <w:spacing w:val="10"/>
        <w:sz w:val="21"/>
        <w:szCs w:val="21"/>
      </w:rPr>
      <w:t>****</w:t>
    </w:r>
    <w:r>
      <w:rPr>
        <w:rFonts w:ascii="黑体" w:hAnsi="黑体" w:eastAsia="黑体"/>
        <w:spacing w:val="10"/>
        <w:sz w:val="21"/>
        <w:szCs w:val="21"/>
      </w:rPr>
      <w:t>－20</w:t>
    </w:r>
    <w:r>
      <w:rPr>
        <w:rFonts w:hint="eastAsia" w:ascii="黑体" w:hAnsi="黑体" w:eastAsia="黑体"/>
        <w:spacing w:val="10"/>
        <w:sz w:val="21"/>
        <w:szCs w:val="21"/>
      </w:rPr>
      <w:t>**</w:t>
    </w:r>
  </w:p>
  <w:p w14:paraId="35217792">
    <w:pPr>
      <w:pStyle w:val="11"/>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53"/>
      <w:suff w:val="nothing"/>
      <w:lvlText w:val="%1%2　"/>
      <w:lvlJc w:val="left"/>
      <w:pPr>
        <w:ind w:left="360" w:firstLine="0"/>
      </w:pPr>
      <w:rPr>
        <w:rFonts w:hint="eastAsia" w:ascii="黑体" w:hAnsi="Times New Roman" w:eastAsia="黑体"/>
        <w:b w:val="0"/>
        <w:i w:val="0"/>
        <w:sz w:val="21"/>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54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3F73CD21"/>
    <w:multiLevelType w:val="singleLevel"/>
    <w:tmpl w:val="3F73CD21"/>
    <w:lvl w:ilvl="0" w:tentative="0">
      <w:start w:val="9"/>
      <w:numFmt w:val="decimal"/>
      <w:lvlText w:val="[%1]"/>
      <w:lvlJc w:val="left"/>
      <w:pPr>
        <w:tabs>
          <w:tab w:val="left" w:pos="312"/>
        </w:tabs>
      </w:pPr>
    </w:lvl>
  </w:abstractNum>
  <w:abstractNum w:abstractNumId="2">
    <w:nsid w:val="5EDD9860"/>
    <w:multiLevelType w:val="singleLevel"/>
    <w:tmpl w:val="5EDD9860"/>
    <w:lvl w:ilvl="0" w:tentative="0">
      <w:start w:val="1"/>
      <w:numFmt w:val="decimal"/>
      <w:lvlText w:val="[%1]"/>
      <w:lvlJc w:val="left"/>
      <w:pPr>
        <w:tabs>
          <w:tab w:val="left" w:pos="312"/>
        </w:tabs>
      </w:pPr>
    </w:lvl>
  </w:abstractNum>
  <w:abstractNum w:abstractNumId="3">
    <w:nsid w:val="71286BE9"/>
    <w:multiLevelType w:val="multilevel"/>
    <w:tmpl w:val="71286BE9"/>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endnotePr>
    <w:endnote w:id="40"/>
    <w:endnote w:id="4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F79"/>
    <w:rsid w:val="00031F79"/>
    <w:rsid w:val="000A7B54"/>
    <w:rsid w:val="000E153F"/>
    <w:rsid w:val="001107D5"/>
    <w:rsid w:val="00112CC2"/>
    <w:rsid w:val="00126720"/>
    <w:rsid w:val="00195491"/>
    <w:rsid w:val="00195CF3"/>
    <w:rsid w:val="00226BE0"/>
    <w:rsid w:val="00253A99"/>
    <w:rsid w:val="00254B78"/>
    <w:rsid w:val="00255DC1"/>
    <w:rsid w:val="002C4157"/>
    <w:rsid w:val="002C51A2"/>
    <w:rsid w:val="00591D81"/>
    <w:rsid w:val="005E31E3"/>
    <w:rsid w:val="00634155"/>
    <w:rsid w:val="00655734"/>
    <w:rsid w:val="006A6201"/>
    <w:rsid w:val="006D5D69"/>
    <w:rsid w:val="006E3369"/>
    <w:rsid w:val="006E3B9C"/>
    <w:rsid w:val="00786E14"/>
    <w:rsid w:val="007901BD"/>
    <w:rsid w:val="00810342"/>
    <w:rsid w:val="008156C2"/>
    <w:rsid w:val="00824867"/>
    <w:rsid w:val="008421A8"/>
    <w:rsid w:val="008D154A"/>
    <w:rsid w:val="0091042C"/>
    <w:rsid w:val="00913C19"/>
    <w:rsid w:val="009406DA"/>
    <w:rsid w:val="0095256C"/>
    <w:rsid w:val="009568BE"/>
    <w:rsid w:val="00970F13"/>
    <w:rsid w:val="009B61C2"/>
    <w:rsid w:val="009E1445"/>
    <w:rsid w:val="009E289C"/>
    <w:rsid w:val="00A81612"/>
    <w:rsid w:val="00AC103B"/>
    <w:rsid w:val="00AD40BB"/>
    <w:rsid w:val="00AF24D2"/>
    <w:rsid w:val="00B065EC"/>
    <w:rsid w:val="00B37FA0"/>
    <w:rsid w:val="00BD7D69"/>
    <w:rsid w:val="00C17EA4"/>
    <w:rsid w:val="00C368FE"/>
    <w:rsid w:val="00C93CF1"/>
    <w:rsid w:val="00C941EC"/>
    <w:rsid w:val="00D06DAA"/>
    <w:rsid w:val="00E01962"/>
    <w:rsid w:val="00E9158D"/>
    <w:rsid w:val="00EF13BE"/>
    <w:rsid w:val="00F17FEE"/>
    <w:rsid w:val="00F72A4C"/>
    <w:rsid w:val="00F8469E"/>
    <w:rsid w:val="00F877A1"/>
    <w:rsid w:val="00FE4803"/>
    <w:rsid w:val="05CD3FD8"/>
    <w:rsid w:val="060317A8"/>
    <w:rsid w:val="16D84EFC"/>
    <w:rsid w:val="1AFB5453"/>
    <w:rsid w:val="1F882FF2"/>
    <w:rsid w:val="204E3189"/>
    <w:rsid w:val="225F0F4B"/>
    <w:rsid w:val="255524A9"/>
    <w:rsid w:val="264F6A85"/>
    <w:rsid w:val="27D14D54"/>
    <w:rsid w:val="2DB61E17"/>
    <w:rsid w:val="2ECE99DA"/>
    <w:rsid w:val="2F6871D8"/>
    <w:rsid w:val="3039371B"/>
    <w:rsid w:val="30E30DE6"/>
    <w:rsid w:val="35577EA2"/>
    <w:rsid w:val="386234DB"/>
    <w:rsid w:val="3F1217B3"/>
    <w:rsid w:val="41E61993"/>
    <w:rsid w:val="4C487F74"/>
    <w:rsid w:val="52972C47"/>
    <w:rsid w:val="577B5E13"/>
    <w:rsid w:val="657B5E50"/>
    <w:rsid w:val="66742456"/>
    <w:rsid w:val="694A15CE"/>
    <w:rsid w:val="76604579"/>
    <w:rsid w:val="77FD7978"/>
    <w:rsid w:val="783B7C82"/>
    <w:rsid w:val="79AC7D42"/>
    <w:rsid w:val="7D6F7DED"/>
    <w:rsid w:val="EF771885"/>
    <w:rsid w:val="F6FD6FD5"/>
    <w:rsid w:val="FDF79B8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28"/>
      <w:szCs w:val="44"/>
    </w:rPr>
  </w:style>
  <w:style w:type="paragraph" w:styleId="3">
    <w:name w:val="heading 2"/>
    <w:basedOn w:val="1"/>
    <w:next w:val="1"/>
    <w:link w:val="25"/>
    <w:qFormat/>
    <w:uiPriority w:val="9"/>
    <w:pPr>
      <w:keepNext/>
      <w:keepLines/>
      <w:spacing w:before="260" w:after="260" w:line="416" w:lineRule="auto"/>
      <w:outlineLvl w:val="1"/>
    </w:pPr>
    <w:rPr>
      <w:b/>
      <w:bCs/>
      <w:sz w:val="24"/>
      <w:szCs w:val="32"/>
    </w:rPr>
  </w:style>
  <w:style w:type="paragraph" w:styleId="4">
    <w:name w:val="heading 3"/>
    <w:basedOn w:val="1"/>
    <w:next w:val="1"/>
    <w:link w:val="24"/>
    <w:qFormat/>
    <w:uiPriority w:val="9"/>
    <w:pPr>
      <w:keepNext/>
      <w:keepLines/>
      <w:spacing w:before="260" w:after="260"/>
      <w:outlineLvl w:val="2"/>
    </w:pPr>
    <w:rPr>
      <w:b/>
      <w:bCs/>
      <w:szCs w:val="32"/>
    </w:rPr>
  </w:style>
  <w:style w:type="paragraph" w:styleId="5">
    <w:name w:val="heading 4"/>
    <w:basedOn w:val="1"/>
    <w:next w:val="1"/>
    <w:link w:val="34"/>
    <w:qFormat/>
    <w:uiPriority w:val="9"/>
    <w:pPr>
      <w:keepNext/>
      <w:keepLines/>
      <w:spacing w:before="280" w:after="290" w:line="376" w:lineRule="auto"/>
      <w:outlineLvl w:val="3"/>
    </w:pPr>
    <w:rPr>
      <w:b/>
      <w:bCs/>
      <w:szCs w:val="28"/>
    </w:rPr>
  </w:style>
  <w:style w:type="paragraph" w:styleId="6">
    <w:name w:val="heading 5"/>
    <w:basedOn w:val="1"/>
    <w:next w:val="1"/>
    <w:link w:val="35"/>
    <w:qFormat/>
    <w:uiPriority w:val="9"/>
    <w:pPr>
      <w:keepNext/>
      <w:keepLines/>
      <w:spacing w:before="280" w:after="290" w:line="376" w:lineRule="auto"/>
      <w:outlineLvl w:val="4"/>
    </w:pPr>
    <w:rPr>
      <w:bCs/>
      <w:szCs w:val="28"/>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35"/>
    <w:rPr>
      <w:rFonts w:eastAsia="黑体"/>
      <w:sz w:val="20"/>
      <w:szCs w:val="20"/>
    </w:rPr>
  </w:style>
  <w:style w:type="paragraph" w:styleId="8">
    <w:name w:val="annotation text"/>
    <w:basedOn w:val="1"/>
    <w:link w:val="31"/>
    <w:qFormat/>
    <w:uiPriority w:val="99"/>
    <w:pPr>
      <w:jc w:val="left"/>
    </w:pPr>
  </w:style>
  <w:style w:type="paragraph" w:styleId="9">
    <w:name w:val="endnote text"/>
    <w:basedOn w:val="1"/>
    <w:link w:val="30"/>
    <w:qFormat/>
    <w:uiPriority w:val="0"/>
    <w:pPr>
      <w:snapToGrid w:val="0"/>
      <w:spacing w:line="480" w:lineRule="auto"/>
      <w:ind w:firstLine="643" w:firstLineChars="200"/>
      <w:jc w:val="left"/>
    </w:pPr>
    <w:rPr>
      <w:szCs w:val="24"/>
    </w:rPr>
  </w:style>
  <w:style w:type="paragraph" w:styleId="10">
    <w:name w:val="footer"/>
    <w:basedOn w:val="1"/>
    <w:link w:val="28"/>
    <w:qFormat/>
    <w:uiPriority w:val="99"/>
    <w:pPr>
      <w:tabs>
        <w:tab w:val="center" w:pos="4153"/>
        <w:tab w:val="right" w:pos="8306"/>
      </w:tabs>
      <w:snapToGrid w:val="0"/>
      <w:jc w:val="left"/>
    </w:pPr>
    <w:rPr>
      <w:sz w:val="18"/>
      <w:szCs w:val="18"/>
    </w:rPr>
  </w:style>
  <w:style w:type="paragraph" w:styleId="11">
    <w:name w:val="header"/>
    <w:basedOn w:val="1"/>
    <w:link w:val="27"/>
    <w:qFormat/>
    <w:uiPriority w:val="99"/>
    <w:pPr>
      <w:tabs>
        <w:tab w:val="center" w:pos="4153"/>
        <w:tab w:val="right" w:pos="8306"/>
      </w:tabs>
      <w:snapToGrid w:val="0"/>
      <w:jc w:val="center"/>
    </w:pPr>
    <w:rPr>
      <w:sz w:val="18"/>
      <w:szCs w:val="18"/>
    </w:rPr>
  </w:style>
  <w:style w:type="paragraph" w:styleId="12">
    <w:name w:val="footnote text"/>
    <w:basedOn w:val="1"/>
    <w:qFormat/>
    <w:uiPriority w:val="0"/>
    <w:pPr>
      <w:snapToGrid w:val="0"/>
      <w:jc w:val="left"/>
    </w:pPr>
    <w:rPr>
      <w:sz w:val="18"/>
    </w:rPr>
  </w:style>
  <w:style w:type="paragraph" w:styleId="13">
    <w:name w:val="Normal (Web)"/>
    <w:basedOn w:val="1"/>
    <w:qFormat/>
    <w:uiPriority w:val="99"/>
    <w:rPr>
      <w:sz w:val="24"/>
    </w:rPr>
  </w:style>
  <w:style w:type="paragraph" w:styleId="14">
    <w:name w:val="Title"/>
    <w:basedOn w:val="1"/>
    <w:next w:val="1"/>
    <w:link w:val="46"/>
    <w:qFormat/>
    <w:uiPriority w:val="10"/>
    <w:pPr>
      <w:spacing w:before="240" w:after="60"/>
      <w:jc w:val="left"/>
      <w:outlineLvl w:val="0"/>
    </w:pPr>
    <w:rPr>
      <w:b/>
      <w:bCs/>
      <w:sz w:val="28"/>
      <w:szCs w:val="32"/>
    </w:rPr>
  </w:style>
  <w:style w:type="paragraph" w:styleId="15">
    <w:name w:val="annotation subject"/>
    <w:basedOn w:val="8"/>
    <w:next w:val="8"/>
    <w:link w:val="32"/>
    <w:qFormat/>
    <w:uiPriority w:val="99"/>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endnote reference"/>
    <w:basedOn w:val="18"/>
    <w:qFormat/>
    <w:uiPriority w:val="0"/>
    <w:rPr>
      <w:vertAlign w:val="superscript"/>
    </w:rPr>
  </w:style>
  <w:style w:type="character" w:styleId="21">
    <w:name w:val="Hyperlink"/>
    <w:basedOn w:val="18"/>
    <w:qFormat/>
    <w:uiPriority w:val="99"/>
    <w:rPr>
      <w:color w:val="0563C1"/>
      <w:u w:val="single"/>
    </w:rPr>
  </w:style>
  <w:style w:type="character" w:styleId="22">
    <w:name w:val="annotation reference"/>
    <w:basedOn w:val="18"/>
    <w:qFormat/>
    <w:uiPriority w:val="0"/>
    <w:rPr>
      <w:sz w:val="21"/>
      <w:szCs w:val="21"/>
    </w:rPr>
  </w:style>
  <w:style w:type="character" w:styleId="23">
    <w:name w:val="footnote reference"/>
    <w:basedOn w:val="18"/>
    <w:qFormat/>
    <w:uiPriority w:val="0"/>
    <w:rPr>
      <w:vertAlign w:val="superscript"/>
    </w:rPr>
  </w:style>
  <w:style w:type="character" w:customStyle="1" w:styleId="24">
    <w:name w:val="标题 3 字符"/>
    <w:basedOn w:val="18"/>
    <w:link w:val="4"/>
    <w:qFormat/>
    <w:uiPriority w:val="9"/>
    <w:rPr>
      <w:b/>
      <w:bCs/>
      <w:szCs w:val="32"/>
    </w:rPr>
  </w:style>
  <w:style w:type="character" w:customStyle="1" w:styleId="25">
    <w:name w:val="标题 2 字符"/>
    <w:basedOn w:val="18"/>
    <w:link w:val="3"/>
    <w:qFormat/>
    <w:uiPriority w:val="9"/>
    <w:rPr>
      <w:rFonts w:ascii="Times New Roman" w:hAnsi="Times New Roman" w:eastAsia="宋体" w:cs="宋体"/>
      <w:b/>
      <w:bCs/>
      <w:kern w:val="2"/>
      <w:sz w:val="24"/>
      <w:szCs w:val="32"/>
    </w:rPr>
  </w:style>
  <w:style w:type="character" w:customStyle="1" w:styleId="26">
    <w:name w:val="标题 1 字符"/>
    <w:basedOn w:val="18"/>
    <w:link w:val="2"/>
    <w:qFormat/>
    <w:uiPriority w:val="9"/>
    <w:rPr>
      <w:b/>
      <w:bCs/>
      <w:kern w:val="44"/>
      <w:sz w:val="28"/>
      <w:szCs w:val="44"/>
    </w:rPr>
  </w:style>
  <w:style w:type="character" w:customStyle="1" w:styleId="27">
    <w:name w:val="页眉 字符"/>
    <w:basedOn w:val="18"/>
    <w:link w:val="11"/>
    <w:qFormat/>
    <w:uiPriority w:val="99"/>
    <w:rPr>
      <w:sz w:val="18"/>
      <w:szCs w:val="18"/>
    </w:rPr>
  </w:style>
  <w:style w:type="character" w:customStyle="1" w:styleId="28">
    <w:name w:val="页脚 字符"/>
    <w:basedOn w:val="18"/>
    <w:link w:val="10"/>
    <w:qFormat/>
    <w:uiPriority w:val="99"/>
    <w:rPr>
      <w:sz w:val="18"/>
      <w:szCs w:val="18"/>
    </w:rPr>
  </w:style>
  <w:style w:type="paragraph" w:styleId="29">
    <w:name w:val="List Paragraph"/>
    <w:basedOn w:val="1"/>
    <w:qFormat/>
    <w:uiPriority w:val="99"/>
    <w:pPr>
      <w:ind w:firstLine="420" w:firstLineChars="200"/>
    </w:pPr>
  </w:style>
  <w:style w:type="character" w:customStyle="1" w:styleId="30">
    <w:name w:val="尾注文本 字符"/>
    <w:basedOn w:val="18"/>
    <w:link w:val="9"/>
    <w:qFormat/>
    <w:uiPriority w:val="0"/>
    <w:rPr>
      <w:rFonts w:ascii="Times New Roman" w:hAnsi="Times New Roman" w:eastAsia="宋体"/>
      <w:szCs w:val="24"/>
    </w:rPr>
  </w:style>
  <w:style w:type="character" w:customStyle="1" w:styleId="31">
    <w:name w:val="批注文字 字符"/>
    <w:basedOn w:val="18"/>
    <w:link w:val="8"/>
    <w:qFormat/>
    <w:uiPriority w:val="99"/>
  </w:style>
  <w:style w:type="character" w:customStyle="1" w:styleId="32">
    <w:name w:val="批注主题 字符"/>
    <w:basedOn w:val="31"/>
    <w:link w:val="15"/>
    <w:qFormat/>
    <w:uiPriority w:val="99"/>
    <w:rPr>
      <w:b/>
      <w:bCs/>
    </w:rPr>
  </w:style>
  <w:style w:type="table" w:customStyle="1" w:styleId="33">
    <w:name w:val="网格型1"/>
    <w:basedOn w:val="1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4">
    <w:name w:val="标题 4 字符"/>
    <w:basedOn w:val="18"/>
    <w:link w:val="5"/>
    <w:qFormat/>
    <w:uiPriority w:val="9"/>
    <w:rPr>
      <w:rFonts w:ascii="Times New Roman" w:hAnsi="Times New Roman" w:eastAsia="宋体" w:cs="宋体"/>
      <w:b/>
      <w:bCs/>
      <w:szCs w:val="28"/>
    </w:rPr>
  </w:style>
  <w:style w:type="character" w:customStyle="1" w:styleId="35">
    <w:name w:val="标题 5 字符"/>
    <w:basedOn w:val="18"/>
    <w:link w:val="6"/>
    <w:qFormat/>
    <w:uiPriority w:val="9"/>
    <w:rPr>
      <w:bCs/>
      <w:szCs w:val="28"/>
    </w:rPr>
  </w:style>
  <w:style w:type="table" w:customStyle="1" w:styleId="36">
    <w:name w:val="网格型2"/>
    <w:basedOn w:val="1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7">
    <w:name w:val="Table Normal"/>
    <w:qFormat/>
    <w:uiPriority w:val="0"/>
    <w:tblPr>
      <w:tblCellMar>
        <w:top w:w="0" w:type="dxa"/>
        <w:left w:w="0" w:type="dxa"/>
        <w:bottom w:w="0" w:type="dxa"/>
        <w:right w:w="0" w:type="dxa"/>
      </w:tblCellMar>
    </w:tblPr>
  </w:style>
  <w:style w:type="paragraph" w:customStyle="1" w:styleId="38">
    <w:name w:val="Table Text"/>
    <w:basedOn w:val="1"/>
    <w:qFormat/>
    <w:uiPriority w:val="0"/>
    <w:rPr>
      <w:rFonts w:ascii="黑体" w:hAnsi="黑体" w:eastAsia="黑体" w:cs="黑体"/>
      <w:sz w:val="36"/>
      <w:szCs w:val="36"/>
      <w:lang w:eastAsia="en-US"/>
    </w:rPr>
  </w:style>
  <w:style w:type="paragraph" w:customStyle="1" w:styleId="39">
    <w:name w:val="修订1"/>
    <w:qFormat/>
    <w:uiPriority w:val="99"/>
    <w:rPr>
      <w:rFonts w:ascii="Times New Roman" w:hAnsi="Times New Roman" w:eastAsia="宋体" w:cs="宋体"/>
      <w:kern w:val="2"/>
      <w:sz w:val="21"/>
      <w:szCs w:val="22"/>
      <w:lang w:val="en-US" w:eastAsia="zh-CN" w:bidi="ar-SA"/>
    </w:rPr>
  </w:style>
  <w:style w:type="character" w:customStyle="1" w:styleId="40">
    <w:name w:val="cf01"/>
    <w:basedOn w:val="18"/>
    <w:qFormat/>
    <w:uiPriority w:val="0"/>
    <w:rPr>
      <w:rFonts w:hint="eastAsia" w:ascii="Microsoft YaHei UI" w:hAnsi="Microsoft YaHei UI" w:eastAsia="Microsoft YaHei UI"/>
      <w:sz w:val="18"/>
      <w:szCs w:val="18"/>
    </w:rPr>
  </w:style>
  <w:style w:type="character" w:customStyle="1" w:styleId="41">
    <w:name w:val="15"/>
    <w:basedOn w:val="18"/>
    <w:qFormat/>
    <w:uiPriority w:val="0"/>
    <w:rPr>
      <w:rFonts w:hint="default" w:ascii="Times New Roman" w:hAnsi="Times New Roman" w:cs="Times New Roman"/>
      <w:vertAlign w:val="superscript"/>
    </w:rPr>
  </w:style>
  <w:style w:type="character" w:customStyle="1" w:styleId="42">
    <w:name w:val="10"/>
    <w:basedOn w:val="18"/>
    <w:qFormat/>
    <w:uiPriority w:val="0"/>
    <w:rPr>
      <w:rFonts w:hint="default" w:ascii="Times New Roman" w:hAnsi="Times New Roman" w:cs="Times New Roman"/>
    </w:rPr>
  </w:style>
  <w:style w:type="paragraph" w:customStyle="1" w:styleId="43">
    <w:name w:val="默认"/>
    <w:qFormat/>
    <w:uiPriority w:val="0"/>
    <w:pPr>
      <w:spacing w:before="160" w:line="288" w:lineRule="auto"/>
    </w:pPr>
    <w:rPr>
      <w:rFonts w:ascii="PingFang SC Regular" w:hAnsi="PingFang SC Regular" w:eastAsia="PingFang SC Regular" w:cs="PingFang SC Regular"/>
      <w:color w:val="000000"/>
      <w:sz w:val="24"/>
      <w:szCs w:val="24"/>
      <w:lang w:val="en-US" w:eastAsia="zh-CN" w:bidi="ar-SA"/>
    </w:rPr>
  </w:style>
  <w:style w:type="paragraph" w:customStyle="1" w:styleId="44">
    <w:name w:val="页眉与页脚"/>
    <w:qFormat/>
    <w:uiPriority w:val="0"/>
    <w:pPr>
      <w:tabs>
        <w:tab w:val="right" w:pos="9020"/>
      </w:tabs>
    </w:pPr>
    <w:rPr>
      <w:rFonts w:ascii="PingFang SC Regular" w:hAnsi="PingFang SC Regular" w:eastAsia="Arial Unicode MS" w:cs="Arial Unicode MS"/>
      <w:color w:val="000000"/>
      <w:sz w:val="24"/>
      <w:szCs w:val="24"/>
      <w:lang w:val="en-US" w:eastAsia="zh-CN" w:bidi="ar-SA"/>
    </w:rPr>
  </w:style>
  <w:style w:type="paragraph" w:customStyle="1" w:styleId="45">
    <w:name w:val="修订2"/>
    <w:qFormat/>
    <w:uiPriority w:val="99"/>
    <w:rPr>
      <w:rFonts w:ascii="Times New Roman" w:hAnsi="Times New Roman" w:eastAsia="宋体" w:cs="宋体"/>
      <w:kern w:val="2"/>
      <w:sz w:val="21"/>
      <w:szCs w:val="22"/>
      <w:lang w:val="en-US" w:eastAsia="zh-CN" w:bidi="ar-SA"/>
    </w:rPr>
  </w:style>
  <w:style w:type="character" w:customStyle="1" w:styleId="46">
    <w:name w:val="标题 字符"/>
    <w:basedOn w:val="18"/>
    <w:link w:val="14"/>
    <w:qFormat/>
    <w:uiPriority w:val="10"/>
    <w:rPr>
      <w:rFonts w:ascii="Times New Roman" w:hAnsi="Times New Roman" w:eastAsia="宋体" w:cs="宋体"/>
      <w:b/>
      <w:bCs/>
      <w:kern w:val="2"/>
      <w:sz w:val="28"/>
      <w:szCs w:val="32"/>
    </w:rPr>
  </w:style>
  <w:style w:type="table" w:customStyle="1" w:styleId="47">
    <w:name w:val="三线表"/>
    <w:basedOn w:val="16"/>
    <w:qFormat/>
    <w:uiPriority w:val="99"/>
    <w:tblPr>
      <w:tblBorders>
        <w:top w:val="single" w:color="auto" w:sz="8" w:space="0"/>
        <w:bottom w:val="single" w:color="auto" w:sz="8" w:space="0"/>
      </w:tblBorders>
    </w:tblPr>
  </w:style>
  <w:style w:type="character" w:customStyle="1" w:styleId="48">
    <w:name w:val="未处理的提及1"/>
    <w:basedOn w:val="18"/>
    <w:qFormat/>
    <w:uiPriority w:val="99"/>
    <w:rPr>
      <w:color w:val="605E5C"/>
      <w:shd w:val="clear" w:color="auto" w:fill="E1DFDD"/>
    </w:rPr>
  </w:style>
  <w:style w:type="paragraph" w:customStyle="1" w:styleId="49">
    <w:name w:val="修订3"/>
    <w:qFormat/>
    <w:uiPriority w:val="99"/>
    <w:rPr>
      <w:rFonts w:ascii="Times New Roman" w:hAnsi="Times New Roman" w:eastAsia="宋体" w:cs="宋体"/>
      <w:kern w:val="2"/>
      <w:sz w:val="21"/>
      <w:szCs w:val="22"/>
      <w:lang w:val="en-US" w:eastAsia="zh-CN" w:bidi="ar-SA"/>
    </w:rPr>
  </w:style>
  <w:style w:type="paragraph" w:customStyle="1" w:styleId="50">
    <w:name w:val="段"/>
    <w:link w:val="51"/>
    <w:qFormat/>
    <w:uiPriority w:val="0"/>
    <w:pPr>
      <w:tabs>
        <w:tab w:val="center" w:pos="4201"/>
        <w:tab w:val="right" w:leader="dot" w:pos="9298"/>
      </w:tabs>
      <w:autoSpaceDE w:val="0"/>
      <w:autoSpaceDN w:val="0"/>
      <w:spacing w:line="360" w:lineRule="auto"/>
      <w:ind w:firstLine="480" w:firstLineChars="200"/>
      <w:jc w:val="both"/>
    </w:pPr>
    <w:rPr>
      <w:rFonts w:ascii="Times New Roman" w:hAnsi="Times New Roman" w:eastAsia="宋体" w:cs="Times New Roman"/>
      <w:sz w:val="24"/>
      <w:szCs w:val="24"/>
      <w:lang w:val="en-US" w:eastAsia="zh-CN" w:bidi="ar-SA"/>
    </w:rPr>
  </w:style>
  <w:style w:type="character" w:customStyle="1" w:styleId="51">
    <w:name w:val="段 Char"/>
    <w:basedOn w:val="18"/>
    <w:link w:val="50"/>
    <w:qFormat/>
    <w:uiPriority w:val="0"/>
    <w:rPr>
      <w:rFonts w:ascii="Times New Roman" w:hAnsi="Times New Roman" w:eastAsia="宋体" w:cs="Times New Roman"/>
      <w:sz w:val="24"/>
      <w:szCs w:val="24"/>
    </w:rPr>
  </w:style>
  <w:style w:type="character" w:customStyle="1" w:styleId="52">
    <w:name w:val="章标题 Char"/>
    <w:link w:val="53"/>
    <w:qFormat/>
    <w:uiPriority w:val="0"/>
    <w:rPr>
      <w:rFonts w:ascii="黑体" w:eastAsia="黑体"/>
    </w:rPr>
  </w:style>
  <w:style w:type="paragraph" w:customStyle="1" w:styleId="53">
    <w:name w:val="章标题"/>
    <w:next w:val="50"/>
    <w:link w:val="52"/>
    <w:qFormat/>
    <w:uiPriority w:val="0"/>
    <w:pPr>
      <w:numPr>
        <w:ilvl w:val="1"/>
        <w:numId w:val="1"/>
      </w:numPr>
      <w:spacing w:beforeLines="50" w:afterLines="50"/>
      <w:jc w:val="both"/>
      <w:outlineLvl w:val="1"/>
    </w:pPr>
    <w:rPr>
      <w:rFonts w:ascii="黑体" w:hAnsi="Times New Roman" w:eastAsia="黑体" w:cs="Times New Roman"/>
      <w:lang w:val="en-US" w:eastAsia="zh-CN" w:bidi="ar-SA"/>
    </w:rPr>
  </w:style>
  <w:style w:type="paragraph" w:customStyle="1" w:styleId="54">
    <w:name w:val="一级条标题"/>
    <w:next w:val="50"/>
    <w:qFormat/>
    <w:uiPriority w:val="0"/>
    <w:pPr>
      <w:numPr>
        <w:ilvl w:val="2"/>
        <w:numId w:val="1"/>
      </w:numPr>
      <w:outlineLvl w:val="2"/>
    </w:pPr>
    <w:rPr>
      <w:rFonts w:ascii="Times New Roman" w:hAnsi="Times New Roman" w:eastAsia="黑体" w:cs="宋体"/>
      <w:kern w:val="2"/>
      <w:sz w:val="21"/>
      <w:szCs w:val="22"/>
      <w:lang w:val="en-US" w:eastAsia="zh-CN" w:bidi="ar-SA"/>
    </w:rPr>
  </w:style>
  <w:style w:type="paragraph" w:customStyle="1" w:styleId="55">
    <w:name w:val="二级条标题"/>
    <w:basedOn w:val="54"/>
    <w:next w:val="50"/>
    <w:qFormat/>
    <w:uiPriority w:val="0"/>
    <w:pPr>
      <w:numPr>
        <w:ilvl w:val="3"/>
        <w:numId w:val="0"/>
      </w:numPr>
      <w:tabs>
        <w:tab w:val="left" w:pos="435"/>
      </w:tabs>
      <w:ind w:left="435" w:hanging="435"/>
      <w:outlineLvl w:val="3"/>
    </w:pPr>
  </w:style>
  <w:style w:type="paragraph" w:customStyle="1" w:styleId="56">
    <w:name w:val="Revision_793a15df-ea99-4c0c-b508-23b37ce2f0cc"/>
    <w:qFormat/>
    <w:uiPriority w:val="99"/>
    <w:rPr>
      <w:rFonts w:ascii="Times New Roman" w:hAnsi="Times New Roman" w:eastAsia="宋体" w:cs="宋体"/>
      <w:kern w:val="2"/>
      <w:sz w:val="21"/>
      <w:szCs w:val="22"/>
      <w:lang w:val="en-US" w:eastAsia="zh-CN" w:bidi="ar-SA"/>
    </w:rPr>
  </w:style>
  <w:style w:type="paragraph" w:customStyle="1" w:styleId="57">
    <w:name w:val="目次、标准名称标题"/>
    <w:basedOn w:val="1"/>
    <w:next w:val="1"/>
    <w:qFormat/>
    <w:uiPriority w:val="0"/>
    <w:pPr>
      <w:widowControl/>
      <w:shd w:val="clear" w:color="FFFFFF" w:fill="FFFFFF"/>
      <w:spacing w:before="640" w:after="560" w:line="460" w:lineRule="exact"/>
      <w:jc w:val="center"/>
      <w:outlineLvl w:val="0"/>
    </w:pPr>
    <w:rPr>
      <w:rFonts w:ascii="黑体" w:eastAsia="黑体" w:cs="Times New Roman"/>
      <w:kern w:val="0"/>
      <w:sz w:val="32"/>
      <w:szCs w:val="20"/>
    </w:rPr>
  </w:style>
  <w:style w:type="paragraph" w:customStyle="1" w:styleId="58">
    <w:name w:val="修订4"/>
    <w:hidden/>
    <w:unhideWhenUsed/>
    <w:qFormat/>
    <w:uiPriority w:val="99"/>
    <w:rPr>
      <w:rFonts w:ascii="Times New Roman" w:hAnsi="Times New Roman" w:eastAsia="宋体" w:cs="宋体"/>
      <w:kern w:val="2"/>
      <w:sz w:val="21"/>
      <w:szCs w:val="22"/>
      <w:lang w:val="en-US" w:eastAsia="zh-CN" w:bidi="ar-SA"/>
    </w:rPr>
  </w:style>
  <w:style w:type="paragraph" w:customStyle="1" w:styleId="59">
    <w:name w:val="修订5"/>
    <w:hidden/>
    <w:unhideWhenUsed/>
    <w:qFormat/>
    <w:uiPriority w:val="99"/>
    <w:rPr>
      <w:rFonts w:ascii="Times New Roman" w:hAnsi="Times New Roman"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endnotes" Target="endnotes.xml"/><Relationship Id="rId22" Type="http://schemas.openxmlformats.org/officeDocument/2006/relationships/fontTable" Target="fontTable.xml"/><Relationship Id="rId21" Type="http://schemas.openxmlformats.org/officeDocument/2006/relationships/customXml" Target="../customXml/item4.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5.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mcd:customData xmlns:mcd="http://www.wps.cn/android/officeDocument/2013/mofficeCustomData" xmlns="http://www.wps.cn/android/officeDocument/2013/mofficeCustomData" version="2">
  <mcd:comments xmlns:mcd="http://www.wps.cn/android/officeDocument/2013/mofficeCustomData"/>
</mcd:customData>
</file>

<file path=customXml/item3.xml><?xml version="1.0" encoding="utf-8"?>
<b:Sources xmlns:b="http://schemas.openxmlformats.org/officeDocument/2006/bibliography" xmlns="http://schemas.openxmlformats.org/officeDocument/2006/bibliography" Version="6" StyleName="APA" SelectedStyle="\APASixthEditionOfficeOnline.xsl"/>
</file>

<file path=customXml/item4.xml><?xml version="1.0" encoding="utf-8"?>
<mcd:customData xmlns:mcd="http://www.wps.cn/android/officeDocument/2013/mofficeCustomData" xmlns="http://www.wps.cn/android/officeDocument/2013/mofficeCustomData" version="2">
  <mcd:comments xmlns:mcd="http://www.wps.cn/android/officeDocument/2013/mofficeCustomData"/>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0BB107-48E3-45C9-8BFA-B39051E63BF9}">
  <ds:schemaRefs/>
</ds:datastoreItem>
</file>

<file path=customXml/itemProps3.xml><?xml version="1.0" encoding="utf-8"?>
<ds:datastoreItem xmlns:ds="http://schemas.openxmlformats.org/officeDocument/2006/customXml" ds:itemID="{0798A42C-3073-40B4-A0E9-C6B2559CAAF1}">
  <ds:schemaRefs/>
</ds:datastoreItem>
</file>

<file path=customXml/itemProps4.xml><?xml version="1.0" encoding="utf-8"?>
<ds:datastoreItem xmlns:ds="http://schemas.openxmlformats.org/officeDocument/2006/customXml" ds:itemID="{D11FD3AB-54F7-490F-9419-2144706C444F}">
  <ds:schemaRefs/>
</ds:datastoreItem>
</file>

<file path=docProps/app.xml><?xml version="1.0" encoding="utf-8"?>
<Properties xmlns="http://schemas.openxmlformats.org/officeDocument/2006/extended-properties" xmlns:vt="http://schemas.openxmlformats.org/officeDocument/2006/docPropsVTypes">
  <Template>Normal.dotm</Template>
  <Pages>47</Pages>
  <Words>8396</Words>
  <Characters>9079</Characters>
  <Lines>2098</Lines>
  <Paragraphs>1869</Paragraphs>
  <TotalTime>7</TotalTime>
  <ScaleCrop>false</ScaleCrop>
  <LinksUpToDate>false</LinksUpToDate>
  <CharactersWithSpaces>9190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2026-09-01T00:55:00Z</dcterms:created>
  <dc:creator>宇瑄 陶</dc:creator>
  <cp:lastModifiedBy>苏祥飞</cp:lastModifiedBy>
  <dcterms:modified xsi:type="dcterms:W3CDTF">2026-10-28T04:04:16Z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150BAC076130422EB723A97B2FE6D69D_13</vt:lpwstr>
  </property>
  <property fmtid="{D5CDD505-2E9C-101B-9397-08002B2CF9AE}" pid="4" name="KSOTemplateDocerSaveRecord">
    <vt:lpwstr>eyJoZGlkIjoiZjI0OWQwYzkzMjdjMTdlZDhjZDBhN2RjZjg2MmVkZTgiLCJ1c2VySWQiOiIzMjI2Mzc2NTQifQ==</vt:lpwstr>
  </property>
</Properties>
</file>