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9"/>
        <w:tblW w:w="9640" w:type="dxa"/>
        <w:tblInd w:w="-652" w:type="dxa"/>
        <w:tblLayout w:type="fixed"/>
        <w:tblCellMar>
          <w:top w:w="0" w:type="dxa"/>
          <w:left w:w="0" w:type="dxa"/>
          <w:bottom w:w="0" w:type="dxa"/>
          <w:right w:w="0" w:type="dxa"/>
        </w:tblCellMar>
      </w:tblPr>
      <w:tblGrid>
        <w:gridCol w:w="454"/>
        <w:gridCol w:w="283"/>
        <w:gridCol w:w="2042"/>
        <w:gridCol w:w="453"/>
        <w:gridCol w:w="1134"/>
        <w:gridCol w:w="5124"/>
        <w:gridCol w:w="150"/>
      </w:tblGrid>
      <w:tr w14:paraId="165EF98F">
        <w:tblPrEx>
          <w:tblCellMar>
            <w:top w:w="0" w:type="dxa"/>
            <w:left w:w="0" w:type="dxa"/>
            <w:bottom w:w="0" w:type="dxa"/>
            <w:right w:w="0" w:type="dxa"/>
          </w:tblCellMar>
        </w:tblPrEx>
        <w:trPr>
          <w:gridAfter w:val="4"/>
          <w:wAfter w:w="6861" w:type="dxa"/>
          <w:trHeight w:val="312" w:hRule="exact"/>
        </w:trPr>
        <w:tc>
          <w:tcPr>
            <w:tcW w:w="454" w:type="dxa"/>
            <w:vAlign w:val="center"/>
          </w:tcPr>
          <w:p w14:paraId="430FE46A">
            <w:pPr>
              <w:rPr>
                <w:rFonts w:ascii="Times New Roman" w:hAnsi="Times New Roman" w:eastAsia="黑体" w:cs="Times New Roman"/>
                <w:b/>
                <w:szCs w:val="20"/>
              </w:rPr>
            </w:pPr>
            <w:r>
              <w:rPr>
                <w:rFonts w:ascii="Times New Roman" w:hAnsi="Times New Roman" w:eastAsia="黑体" w:cs="Times New Roman"/>
                <w:b/>
                <w:szCs w:val="20"/>
              </w:rPr>
              <w:t>ICS</w:t>
            </w:r>
          </w:p>
        </w:tc>
        <w:tc>
          <w:tcPr>
            <w:tcW w:w="2325" w:type="dxa"/>
            <w:gridSpan w:val="2"/>
            <w:vAlign w:val="center"/>
          </w:tcPr>
          <w:p w14:paraId="53BA7EAA">
            <w:pPr>
              <w:textAlignment w:val="center"/>
              <w:rPr>
                <w:rFonts w:hint="eastAsia" w:ascii="黑体" w:hAnsi="黑体" w:eastAsia="黑体" w:cs="Times New Roman"/>
                <w:szCs w:val="20"/>
              </w:rPr>
            </w:pPr>
            <w:r>
              <w:rPr>
                <w:rFonts w:hint="eastAsia" w:ascii="黑体" w:hAnsi="黑体" w:eastAsia="黑体" w:cs="Times New Roman"/>
                <w:spacing w:val="10"/>
                <w:szCs w:val="20"/>
              </w:rPr>
              <w:drawing>
                <wp:anchor distT="0" distB="0" distL="114300" distR="114300" simplePos="0" relativeHeight="251660288" behindDoc="0" locked="0" layoutInCell="1" allowOverlap="1">
                  <wp:simplePos x="0" y="0"/>
                  <wp:positionH relativeFrom="column">
                    <wp:posOffset>4218305</wp:posOffset>
                  </wp:positionH>
                  <wp:positionV relativeFrom="paragraph">
                    <wp:posOffset>22860</wp:posOffset>
                  </wp:positionV>
                  <wp:extent cx="1242695" cy="1223645"/>
                  <wp:effectExtent l="0" t="0" r="6985" b="10795"/>
                  <wp:wrapNone/>
                  <wp:docPr id="2"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9"/>
                          <pic:cNvPicPr>
                            <a:picLocks noChangeAspect="1" noChangeArrowheads="1"/>
                          </pic:cNvPicPr>
                        </pic:nvPicPr>
                        <pic:blipFill>
                          <a:blip r:embed="rId14" cstate="print"/>
                          <a:srcRect/>
                          <a:stretch>
                            <a:fillRect/>
                          </a:stretch>
                        </pic:blipFill>
                        <pic:spPr>
                          <a:xfrm>
                            <a:off x="0" y="0"/>
                            <a:ext cx="1242695" cy="1223645"/>
                          </a:xfrm>
                          <a:prstGeom prst="rect">
                            <a:avLst/>
                          </a:prstGeom>
                          <a:noFill/>
                          <a:ln w="9525">
                            <a:noFill/>
                            <a:miter lim="800000"/>
                            <a:headEnd/>
                            <a:tailEnd/>
                          </a:ln>
                        </pic:spPr>
                      </pic:pic>
                    </a:graphicData>
                  </a:graphic>
                </wp:anchor>
              </w:drawing>
            </w:r>
            <w:r>
              <w:rPr>
                <w:rFonts w:hint="eastAsia" w:ascii="黑体" w:hAnsi="黑体" w:eastAsia="黑体" w:cs="Times New Roman"/>
                <w:spacing w:val="10"/>
                <w:szCs w:val="20"/>
              </w:rPr>
              <w:t>**.***.**</w:t>
            </w:r>
          </w:p>
          <w:p w14:paraId="349A1687">
            <w:pPr>
              <w:rPr>
                <w:rFonts w:hint="eastAsia" w:ascii="黑体" w:hAnsi="黑体" w:eastAsia="黑体" w:cs="Times New Roman"/>
                <w:szCs w:val="20"/>
              </w:rPr>
            </w:pPr>
          </w:p>
        </w:tc>
      </w:tr>
      <w:tr w14:paraId="5A4D457A">
        <w:tblPrEx>
          <w:tblCellMar>
            <w:top w:w="0" w:type="dxa"/>
            <w:left w:w="0" w:type="dxa"/>
            <w:bottom w:w="0" w:type="dxa"/>
            <w:right w:w="0" w:type="dxa"/>
          </w:tblCellMar>
        </w:tblPrEx>
        <w:trPr>
          <w:gridAfter w:val="4"/>
          <w:wAfter w:w="6861" w:type="dxa"/>
          <w:trHeight w:val="312" w:hRule="exact"/>
        </w:trPr>
        <w:tc>
          <w:tcPr>
            <w:tcW w:w="737" w:type="dxa"/>
            <w:gridSpan w:val="2"/>
            <w:vAlign w:val="center"/>
          </w:tcPr>
          <w:p w14:paraId="5498A57C">
            <w:pPr>
              <w:ind w:right="-170"/>
              <w:rPr>
                <w:rFonts w:hint="eastAsia" w:ascii="黑体" w:hAnsi="黑体" w:eastAsia="黑体" w:cs="Times New Roman"/>
                <w:szCs w:val="20"/>
              </w:rPr>
            </w:pPr>
            <w:r>
              <w:rPr>
                <w:rFonts w:ascii="Times New Roman" w:hAnsi="Times New Roman" w:eastAsia="黑体" w:cs="Times New Roman"/>
                <w:b/>
                <w:szCs w:val="20"/>
              </w:rPr>
              <w:t>C</w:t>
            </w:r>
            <w:r>
              <w:rPr>
                <w:rFonts w:hint="eastAsia" w:ascii="黑体" w:hAnsi="黑体" w:eastAsia="黑体" w:cs="Times New Roman"/>
                <w:spacing w:val="10"/>
                <w:szCs w:val="20"/>
              </w:rPr>
              <w:t>**</w:t>
            </w:r>
          </w:p>
        </w:tc>
        <w:tc>
          <w:tcPr>
            <w:tcW w:w="2042" w:type="dxa"/>
            <w:vAlign w:val="center"/>
          </w:tcPr>
          <w:p w14:paraId="7F116B45">
            <w:pPr>
              <w:rPr>
                <w:rFonts w:ascii="Times New Roman" w:hAnsi="Times New Roman" w:eastAsia="黑体" w:cs="Times New Roman"/>
                <w:szCs w:val="20"/>
              </w:rPr>
            </w:pPr>
          </w:p>
        </w:tc>
      </w:tr>
      <w:tr w14:paraId="5D049FE4">
        <w:tblPrEx>
          <w:tblCellMar>
            <w:top w:w="0" w:type="dxa"/>
            <w:left w:w="0" w:type="dxa"/>
            <w:bottom w:w="0" w:type="dxa"/>
            <w:right w:w="0" w:type="dxa"/>
          </w:tblCellMar>
        </w:tblPrEx>
        <w:trPr>
          <w:gridAfter w:val="4"/>
          <w:wAfter w:w="6861" w:type="dxa"/>
          <w:trHeight w:val="312" w:hRule="exact"/>
        </w:trPr>
        <w:tc>
          <w:tcPr>
            <w:tcW w:w="737" w:type="dxa"/>
            <w:gridSpan w:val="2"/>
            <w:vAlign w:val="center"/>
          </w:tcPr>
          <w:p w14:paraId="616F4CA2">
            <w:pPr>
              <w:ind w:right="-170" w:firstLine="480"/>
              <w:rPr>
                <w:rFonts w:ascii="Times New Roman" w:hAnsi="Times New Roman" w:eastAsia="黑体" w:cs="Times New Roman"/>
                <w:szCs w:val="20"/>
              </w:rPr>
            </w:pPr>
          </w:p>
        </w:tc>
        <w:tc>
          <w:tcPr>
            <w:tcW w:w="2042" w:type="dxa"/>
            <w:vAlign w:val="center"/>
          </w:tcPr>
          <w:p w14:paraId="05DBD199">
            <w:pPr>
              <w:ind w:left="57" w:firstLine="480"/>
              <w:rPr>
                <w:rFonts w:ascii="Times New Roman" w:hAnsi="Times New Roman" w:eastAsia="黑体" w:cs="Times New Roman"/>
                <w:szCs w:val="20"/>
              </w:rPr>
            </w:pPr>
          </w:p>
        </w:tc>
      </w:tr>
      <w:tr w14:paraId="118F4A28">
        <w:tblPrEx>
          <w:tblCellMar>
            <w:top w:w="0" w:type="dxa"/>
            <w:left w:w="0" w:type="dxa"/>
            <w:bottom w:w="0" w:type="dxa"/>
            <w:right w:w="0" w:type="dxa"/>
          </w:tblCellMar>
        </w:tblPrEx>
        <w:trPr>
          <w:gridAfter w:val="4"/>
          <w:wAfter w:w="6861" w:type="dxa"/>
          <w:trHeight w:val="312" w:hRule="exact"/>
        </w:trPr>
        <w:tc>
          <w:tcPr>
            <w:tcW w:w="737" w:type="dxa"/>
            <w:gridSpan w:val="2"/>
            <w:vAlign w:val="center"/>
          </w:tcPr>
          <w:p w14:paraId="1576C858">
            <w:pPr>
              <w:ind w:right="-170" w:firstLine="480"/>
              <w:rPr>
                <w:rFonts w:ascii="Times New Roman" w:hAnsi="Times New Roman" w:eastAsia="黑体" w:cs="Times New Roman"/>
                <w:i/>
                <w:szCs w:val="20"/>
              </w:rPr>
            </w:pPr>
          </w:p>
        </w:tc>
        <w:tc>
          <w:tcPr>
            <w:tcW w:w="2042" w:type="dxa"/>
            <w:vAlign w:val="center"/>
          </w:tcPr>
          <w:p w14:paraId="08F09BA2">
            <w:pPr>
              <w:ind w:left="57" w:firstLine="480"/>
              <w:rPr>
                <w:rFonts w:ascii="Times New Roman" w:hAnsi="Times New Roman" w:eastAsia="黑体" w:cs="Times New Roman"/>
                <w:i/>
                <w:szCs w:val="20"/>
              </w:rPr>
            </w:pPr>
          </w:p>
        </w:tc>
      </w:tr>
      <w:tr w14:paraId="7F2AB09F">
        <w:tblPrEx>
          <w:tblCellMar>
            <w:top w:w="0" w:type="dxa"/>
            <w:left w:w="0" w:type="dxa"/>
            <w:bottom w:w="0" w:type="dxa"/>
            <w:right w:w="0" w:type="dxa"/>
          </w:tblCellMar>
        </w:tblPrEx>
        <w:trPr>
          <w:trHeight w:val="368" w:hRule="exact"/>
        </w:trPr>
        <w:tc>
          <w:tcPr>
            <w:tcW w:w="9640" w:type="dxa"/>
            <w:gridSpan w:val="7"/>
          </w:tcPr>
          <w:p w14:paraId="411C8BC4">
            <w:pPr>
              <w:spacing w:before="120" w:after="120"/>
              <w:ind w:firstLine="480"/>
              <w:rPr>
                <w:rFonts w:ascii="Times New Roman" w:hAnsi="Times New Roman" w:cs="Times New Roman"/>
                <w:szCs w:val="20"/>
              </w:rPr>
            </w:pPr>
          </w:p>
        </w:tc>
      </w:tr>
      <w:tr w14:paraId="1A39396A">
        <w:tblPrEx>
          <w:tblCellMar>
            <w:top w:w="0" w:type="dxa"/>
            <w:left w:w="0" w:type="dxa"/>
            <w:bottom w:w="0" w:type="dxa"/>
            <w:right w:w="0" w:type="dxa"/>
          </w:tblCellMar>
        </w:tblPrEx>
        <w:trPr>
          <w:trHeight w:val="120" w:hRule="exact"/>
        </w:trPr>
        <w:tc>
          <w:tcPr>
            <w:tcW w:w="9640" w:type="dxa"/>
            <w:gridSpan w:val="7"/>
          </w:tcPr>
          <w:p w14:paraId="23C6BC79">
            <w:pPr>
              <w:spacing w:before="120" w:after="120"/>
              <w:ind w:firstLine="480"/>
              <w:rPr>
                <w:rFonts w:ascii="Times New Roman" w:hAnsi="Times New Roman" w:cs="Times New Roman"/>
                <w:szCs w:val="20"/>
              </w:rPr>
            </w:pPr>
          </w:p>
        </w:tc>
      </w:tr>
      <w:tr w14:paraId="0F341D0B">
        <w:tblPrEx>
          <w:tblCellMar>
            <w:top w:w="0" w:type="dxa"/>
            <w:left w:w="0" w:type="dxa"/>
            <w:bottom w:w="0" w:type="dxa"/>
            <w:right w:w="0" w:type="dxa"/>
          </w:tblCellMar>
        </w:tblPrEx>
        <w:trPr>
          <w:trHeight w:val="518" w:hRule="exact"/>
        </w:trPr>
        <w:tc>
          <w:tcPr>
            <w:tcW w:w="9640" w:type="dxa"/>
            <w:gridSpan w:val="7"/>
          </w:tcPr>
          <w:p w14:paraId="205C479D">
            <w:pPr>
              <w:spacing w:before="120" w:after="120"/>
              <w:ind w:firstLine="480"/>
              <w:rPr>
                <w:rFonts w:ascii="Times New Roman" w:hAnsi="Times New Roman" w:cs="Times New Roman"/>
                <w:szCs w:val="20"/>
              </w:rPr>
            </w:pPr>
          </w:p>
        </w:tc>
      </w:tr>
      <w:tr w14:paraId="01130ED5">
        <w:tblPrEx>
          <w:tblCellMar>
            <w:top w:w="0" w:type="dxa"/>
            <w:left w:w="0" w:type="dxa"/>
            <w:bottom w:w="0" w:type="dxa"/>
            <w:right w:w="0" w:type="dxa"/>
          </w:tblCellMar>
        </w:tblPrEx>
        <w:trPr>
          <w:trHeight w:val="722" w:hRule="exact"/>
        </w:trPr>
        <w:tc>
          <w:tcPr>
            <w:tcW w:w="9640" w:type="dxa"/>
            <w:gridSpan w:val="7"/>
            <w:vAlign w:val="center"/>
          </w:tcPr>
          <w:p w14:paraId="5D4ADBA7">
            <w:pPr>
              <w:spacing w:after="240" w:line="560" w:lineRule="exact"/>
              <w:ind w:right="28" w:firstLine="1454"/>
              <w:jc w:val="center"/>
              <w:rPr>
                <w:rFonts w:ascii="Times New Roman" w:hAnsi="Times New Roman" w:eastAsia="黑体" w:cs="Times New Roman"/>
                <w:w w:val="140"/>
                <w:sz w:val="52"/>
                <w:szCs w:val="20"/>
              </w:rPr>
            </w:pPr>
            <w:r>
              <w:rPr>
                <w:rFonts w:ascii="Times New Roman" w:hAnsi="Times New Roman" w:eastAsia="黑体" w:cs="Times New Roman"/>
                <w:w w:val="140"/>
                <w:sz w:val="52"/>
                <w:szCs w:val="20"/>
              </w:rPr>
              <w:t>团体标准</w:t>
            </w:r>
          </w:p>
          <w:p w14:paraId="1BD97966">
            <w:pPr>
              <w:spacing w:line="520" w:lineRule="exact"/>
              <w:ind w:firstLine="1454"/>
              <w:rPr>
                <w:rFonts w:ascii="Times New Roman" w:hAnsi="Times New Roman" w:cs="Times New Roman"/>
                <w:w w:val="140"/>
                <w:sz w:val="52"/>
                <w:szCs w:val="20"/>
              </w:rPr>
            </w:pPr>
          </w:p>
        </w:tc>
      </w:tr>
      <w:tr w14:paraId="740953E7">
        <w:tblPrEx>
          <w:tblCellMar>
            <w:top w:w="0" w:type="dxa"/>
            <w:left w:w="0" w:type="dxa"/>
            <w:bottom w:w="0" w:type="dxa"/>
            <w:right w:w="0" w:type="dxa"/>
          </w:tblCellMar>
        </w:tblPrEx>
        <w:trPr>
          <w:trHeight w:val="764" w:hRule="exact"/>
        </w:trPr>
        <w:tc>
          <w:tcPr>
            <w:tcW w:w="9640" w:type="dxa"/>
            <w:gridSpan w:val="7"/>
          </w:tcPr>
          <w:p w14:paraId="532CAD83">
            <w:pPr>
              <w:spacing w:before="357" w:line="280" w:lineRule="exact"/>
              <w:ind w:firstLine="560"/>
              <w:jc w:val="right"/>
              <w:rPr>
                <w:rFonts w:ascii="Times New Roman" w:hAnsi="Times New Roman" w:eastAsia="黑体" w:cs="Times New Roman"/>
                <w:b/>
                <w:sz w:val="52"/>
                <w:szCs w:val="20"/>
              </w:rPr>
            </w:pPr>
            <w:r>
              <w:rPr>
                <w:rFonts w:ascii="黑体" w:hAnsi="黑体" w:eastAsia="黑体" w:cs="Times New Roman"/>
                <w:sz w:val="28"/>
                <w:szCs w:val="28"/>
              </w:rPr>
              <w:t xml:space="preserve">T/CACM </w:t>
            </w:r>
            <w:r>
              <w:rPr>
                <w:rFonts w:hint="eastAsia" w:ascii="黑体" w:hAnsi="黑体" w:eastAsia="黑体" w:cs="Times New Roman"/>
                <w:sz w:val="28"/>
                <w:szCs w:val="28"/>
              </w:rPr>
              <w:t>****</w:t>
            </w:r>
            <w:r>
              <w:rPr>
                <w:rFonts w:ascii="黑体" w:hAnsi="黑体" w:eastAsia="黑体" w:cs="Times New Roman"/>
                <w:sz w:val="28"/>
                <w:szCs w:val="28"/>
              </w:rPr>
              <w:t>—202*</w:t>
            </w:r>
          </w:p>
        </w:tc>
      </w:tr>
      <w:tr w14:paraId="701E89C4">
        <w:tblPrEx>
          <w:tblCellMar>
            <w:top w:w="0" w:type="dxa"/>
            <w:left w:w="0" w:type="dxa"/>
            <w:bottom w:w="0" w:type="dxa"/>
            <w:right w:w="0" w:type="dxa"/>
          </w:tblCellMar>
        </w:tblPrEx>
        <w:trPr>
          <w:cantSplit/>
          <w:trHeight w:val="60" w:hRule="exact"/>
        </w:trPr>
        <w:tc>
          <w:tcPr>
            <w:tcW w:w="3232" w:type="dxa"/>
            <w:gridSpan w:val="4"/>
            <w:vAlign w:val="center"/>
          </w:tcPr>
          <w:p w14:paraId="24E4BE01">
            <w:pPr>
              <w:ind w:firstLine="480"/>
              <w:rPr>
                <w:rFonts w:ascii="Times New Roman" w:hAnsi="Times New Roman" w:cs="Times New Roman"/>
                <w:szCs w:val="20"/>
              </w:rPr>
            </w:pPr>
          </w:p>
        </w:tc>
        <w:tc>
          <w:tcPr>
            <w:tcW w:w="1134" w:type="dxa"/>
            <w:vAlign w:val="center"/>
          </w:tcPr>
          <w:p w14:paraId="7659F437">
            <w:pPr>
              <w:ind w:firstLine="480"/>
              <w:jc w:val="right"/>
              <w:rPr>
                <w:rFonts w:ascii="Times New Roman" w:hAnsi="Times New Roman" w:cs="Times New Roman"/>
                <w:szCs w:val="20"/>
              </w:rPr>
            </w:pPr>
          </w:p>
        </w:tc>
        <w:tc>
          <w:tcPr>
            <w:tcW w:w="5124" w:type="dxa"/>
            <w:vAlign w:val="center"/>
          </w:tcPr>
          <w:p w14:paraId="73FAE999">
            <w:pPr>
              <w:wordWrap w:val="0"/>
              <w:ind w:firstLine="480"/>
              <w:jc w:val="right"/>
              <w:rPr>
                <w:rFonts w:ascii="Times New Roman" w:hAnsi="Times New Roman" w:cs="Times New Roman"/>
                <w:szCs w:val="20"/>
              </w:rPr>
            </w:pPr>
          </w:p>
        </w:tc>
        <w:tc>
          <w:tcPr>
            <w:tcW w:w="150" w:type="dxa"/>
            <w:vAlign w:val="center"/>
          </w:tcPr>
          <w:p w14:paraId="7BE08A17">
            <w:pPr>
              <w:ind w:firstLine="480"/>
              <w:rPr>
                <w:rFonts w:ascii="Times New Roman" w:hAnsi="Times New Roman" w:cs="Times New Roman"/>
                <w:szCs w:val="20"/>
              </w:rPr>
            </w:pPr>
          </w:p>
        </w:tc>
      </w:tr>
      <w:tr w14:paraId="375E0670">
        <w:tblPrEx>
          <w:tblCellMar>
            <w:top w:w="0" w:type="dxa"/>
            <w:left w:w="0" w:type="dxa"/>
            <w:bottom w:w="0" w:type="dxa"/>
            <w:right w:w="0" w:type="dxa"/>
          </w:tblCellMar>
        </w:tblPrEx>
        <w:trPr>
          <w:cantSplit/>
          <w:trHeight w:val="80" w:hRule="exact"/>
        </w:trPr>
        <w:tc>
          <w:tcPr>
            <w:tcW w:w="3232" w:type="dxa"/>
            <w:gridSpan w:val="4"/>
            <w:vAlign w:val="center"/>
          </w:tcPr>
          <w:p w14:paraId="5E981651">
            <w:pPr>
              <w:ind w:firstLine="480"/>
              <w:rPr>
                <w:rFonts w:ascii="Times New Roman" w:hAnsi="Times New Roman" w:cs="Times New Roman"/>
                <w:szCs w:val="20"/>
              </w:rPr>
            </w:pPr>
          </w:p>
        </w:tc>
        <w:tc>
          <w:tcPr>
            <w:tcW w:w="1134" w:type="dxa"/>
            <w:vAlign w:val="center"/>
          </w:tcPr>
          <w:p w14:paraId="0B9D13D8">
            <w:pPr>
              <w:ind w:firstLine="480"/>
              <w:jc w:val="right"/>
              <w:rPr>
                <w:rFonts w:ascii="Times New Roman" w:hAnsi="Times New Roman" w:cs="Times New Roman"/>
                <w:szCs w:val="20"/>
              </w:rPr>
            </w:pPr>
          </w:p>
        </w:tc>
        <w:tc>
          <w:tcPr>
            <w:tcW w:w="5124" w:type="dxa"/>
            <w:vAlign w:val="center"/>
          </w:tcPr>
          <w:p w14:paraId="240F06F5">
            <w:pPr>
              <w:wordWrap w:val="0"/>
              <w:ind w:firstLine="480"/>
              <w:jc w:val="right"/>
              <w:rPr>
                <w:rFonts w:ascii="Times New Roman" w:hAnsi="Times New Roman" w:cs="Times New Roman"/>
                <w:szCs w:val="20"/>
              </w:rPr>
            </w:pPr>
          </w:p>
        </w:tc>
        <w:tc>
          <w:tcPr>
            <w:tcW w:w="150" w:type="dxa"/>
            <w:vAlign w:val="center"/>
          </w:tcPr>
          <w:p w14:paraId="6F8AB566">
            <w:pPr>
              <w:ind w:firstLine="480"/>
              <w:rPr>
                <w:rFonts w:ascii="Times New Roman" w:hAnsi="Times New Roman" w:cs="Times New Roman"/>
                <w:szCs w:val="20"/>
              </w:rPr>
            </w:pPr>
          </w:p>
        </w:tc>
      </w:tr>
      <w:tr w14:paraId="35743C45">
        <w:tblPrEx>
          <w:tblCellMar>
            <w:top w:w="0" w:type="dxa"/>
            <w:left w:w="0" w:type="dxa"/>
            <w:bottom w:w="0" w:type="dxa"/>
            <w:right w:w="0" w:type="dxa"/>
          </w:tblCellMar>
        </w:tblPrEx>
        <w:trPr>
          <w:trHeight w:val="340" w:hRule="exact"/>
        </w:trPr>
        <w:tc>
          <w:tcPr>
            <w:tcW w:w="9640" w:type="dxa"/>
            <w:gridSpan w:val="7"/>
            <w:tcBorders>
              <w:bottom w:val="single" w:color="auto" w:sz="8" w:space="0"/>
            </w:tcBorders>
          </w:tcPr>
          <w:p w14:paraId="2D29BE3F">
            <w:pPr>
              <w:ind w:firstLine="1060"/>
              <w:rPr>
                <w:rFonts w:ascii="Times New Roman" w:hAnsi="Times New Roman" w:eastAsia="黑体" w:cs="Times New Roman"/>
                <w:b/>
                <w:sz w:val="52"/>
                <w:szCs w:val="20"/>
              </w:rPr>
            </w:pPr>
          </w:p>
        </w:tc>
      </w:tr>
      <w:tr w14:paraId="717054C2">
        <w:tblPrEx>
          <w:tblCellMar>
            <w:top w:w="0" w:type="dxa"/>
            <w:left w:w="0" w:type="dxa"/>
            <w:bottom w:w="0" w:type="dxa"/>
            <w:right w:w="0" w:type="dxa"/>
          </w:tblCellMar>
        </w:tblPrEx>
        <w:trPr>
          <w:trHeight w:val="1222" w:hRule="exact"/>
        </w:trPr>
        <w:tc>
          <w:tcPr>
            <w:tcW w:w="9640" w:type="dxa"/>
            <w:gridSpan w:val="7"/>
            <w:tcBorders>
              <w:top w:val="single" w:color="auto" w:sz="8" w:space="0"/>
            </w:tcBorders>
            <w:vAlign w:val="center"/>
          </w:tcPr>
          <w:p w14:paraId="4739048C">
            <w:pPr>
              <w:spacing w:line="360" w:lineRule="auto"/>
              <w:jc w:val="both"/>
              <w:rPr>
                <w:rFonts w:ascii="Times New Roman" w:hAnsi="Times New Roman" w:eastAsia="黑体" w:cs="Times New Roman"/>
                <w:sz w:val="52"/>
                <w:szCs w:val="20"/>
              </w:rPr>
            </w:pPr>
            <w:bookmarkStart w:id="0" w:name="_Hlk92788563"/>
          </w:p>
        </w:tc>
      </w:tr>
      <w:bookmarkEnd w:id="0"/>
      <w:tr w14:paraId="637F60E3">
        <w:tblPrEx>
          <w:tblCellMar>
            <w:top w:w="0" w:type="dxa"/>
            <w:left w:w="0" w:type="dxa"/>
            <w:bottom w:w="0" w:type="dxa"/>
            <w:right w:w="0" w:type="dxa"/>
          </w:tblCellMar>
        </w:tblPrEx>
        <w:trPr>
          <w:trHeight w:val="1126" w:hRule="exact"/>
        </w:trPr>
        <w:tc>
          <w:tcPr>
            <w:tcW w:w="9640" w:type="dxa"/>
            <w:gridSpan w:val="7"/>
            <w:vAlign w:val="center"/>
          </w:tcPr>
          <w:p w14:paraId="7D7097E0">
            <w:pPr>
              <w:spacing w:line="360" w:lineRule="auto"/>
              <w:ind w:left="-120" w:leftChars="-50" w:firstLine="1040"/>
              <w:jc w:val="both"/>
              <w:rPr>
                <w:rFonts w:ascii="Times New Roman" w:hAnsi="Times New Roman" w:eastAsia="黑体" w:cs="Times New Roman"/>
                <w:spacing w:val="-6"/>
                <w:sz w:val="52"/>
                <w:szCs w:val="52"/>
              </w:rPr>
            </w:pPr>
            <w:r>
              <w:rPr>
                <w:rFonts w:ascii="Times New Roman" w:hAnsi="Times New Roman" w:eastAsia="黑体" w:cs="Times New Roman"/>
                <w:sz w:val="48"/>
                <w:szCs w:val="48"/>
              </w:rPr>
              <w:t xml:space="preserve">  </w:t>
            </w:r>
            <w:r>
              <w:rPr>
                <w:rFonts w:hint="eastAsia" w:ascii="Times New Roman" w:hAnsi="Times New Roman" w:eastAsia="黑体" w:cs="Times New Roman"/>
                <w:sz w:val="48"/>
                <w:szCs w:val="48"/>
              </w:rPr>
              <w:t>肝胃郁热证诊断与疗效评价规范</w:t>
            </w:r>
          </w:p>
        </w:tc>
      </w:tr>
      <w:tr w14:paraId="56F83BFC">
        <w:tblPrEx>
          <w:tblCellMar>
            <w:top w:w="0" w:type="dxa"/>
            <w:left w:w="0" w:type="dxa"/>
            <w:bottom w:w="0" w:type="dxa"/>
            <w:right w:w="0" w:type="dxa"/>
          </w:tblCellMar>
        </w:tblPrEx>
        <w:trPr>
          <w:trHeight w:val="1279" w:hRule="exact"/>
        </w:trPr>
        <w:tc>
          <w:tcPr>
            <w:tcW w:w="9640" w:type="dxa"/>
            <w:gridSpan w:val="7"/>
            <w:vAlign w:val="center"/>
          </w:tcPr>
          <w:p w14:paraId="1DDE91A5">
            <w:pPr>
              <w:jc w:val="center"/>
              <w:rPr>
                <w:rFonts w:ascii="Times New Roman" w:hAnsi="Times New Roman" w:cs="Times New Roman"/>
                <w:sz w:val="28"/>
                <w:szCs w:val="28"/>
              </w:rPr>
            </w:pPr>
            <w:r>
              <w:rPr>
                <w:rFonts w:hint="default" w:ascii="Times New Roman" w:hAnsi="Times New Roman" w:eastAsia="宋体" w:cs="宋体"/>
                <w:color w:val="auto"/>
                <w:sz w:val="28"/>
                <w:szCs w:val="28"/>
                <w:highlight w:val="none"/>
                <w:shd w:val="clear" w:fill="auto"/>
              </w:rPr>
              <w:t xml:space="preserve">Specification for </w:t>
            </w:r>
            <w:r>
              <w:rPr>
                <w:rFonts w:hint="default" w:ascii="Times New Roman" w:hAnsi="Times New Roman" w:eastAsia="宋体" w:cs="宋体"/>
                <w:color w:val="auto"/>
                <w:sz w:val="28"/>
                <w:szCs w:val="28"/>
                <w:highlight w:val="none"/>
                <w:shd w:val="clear" w:fill="auto"/>
                <w:lang w:val="en-US" w:eastAsia="zh-CN"/>
              </w:rPr>
              <w:t>d</w:t>
            </w:r>
            <w:r>
              <w:rPr>
                <w:rFonts w:hint="default" w:ascii="Times New Roman" w:hAnsi="Times New Roman" w:eastAsia="宋体" w:cs="宋体"/>
                <w:color w:val="auto"/>
                <w:sz w:val="28"/>
                <w:szCs w:val="28"/>
                <w:highlight w:val="none"/>
                <w:shd w:val="clear" w:fill="auto"/>
              </w:rPr>
              <w:t xml:space="preserve">iagnosis and </w:t>
            </w:r>
            <w:r>
              <w:rPr>
                <w:rFonts w:ascii="Times New Roman" w:hAnsi="Times New Roman" w:eastAsia="宋体" w:cs="宋体"/>
                <w:color w:val="auto"/>
                <w:sz w:val="28"/>
                <w:szCs w:val="28"/>
                <w:highlight w:val="none"/>
                <w:shd w:val="clear" w:fill="auto"/>
              </w:rPr>
              <w:t>therapeutic effect evaluation</w:t>
            </w:r>
            <w:r>
              <w:rPr>
                <w:rFonts w:hint="default" w:ascii="Times New Roman" w:hAnsi="Times New Roman" w:eastAsia="宋体" w:cs="宋体"/>
                <w:color w:val="auto"/>
                <w:sz w:val="28"/>
                <w:szCs w:val="28"/>
                <w:highlight w:val="none"/>
                <w:shd w:val="clear" w:fill="auto"/>
              </w:rPr>
              <w:t xml:space="preserve"> </w:t>
            </w:r>
            <w:r>
              <w:rPr>
                <w:rFonts w:hint="default" w:ascii="Times New Roman" w:hAnsi="Times New Roman" w:eastAsia="宋体" w:cs="宋体"/>
                <w:color w:val="auto"/>
                <w:sz w:val="28"/>
                <w:szCs w:val="28"/>
                <w:highlight w:val="none"/>
                <w:shd w:val="clear" w:fill="auto"/>
                <w:lang w:val="en-US" w:eastAsia="zh-CN"/>
              </w:rPr>
              <w:t>of pattern o</w:t>
            </w:r>
            <w:r>
              <w:rPr>
                <w:rFonts w:hint="default" w:ascii="Times New Roman" w:hAnsi="Times New Roman" w:eastAsia="宋体" w:cs="宋体"/>
                <w:color w:val="auto"/>
                <w:sz w:val="28"/>
                <w:szCs w:val="28"/>
                <w:highlight w:val="none"/>
                <w:shd w:val="clear" w:fill="auto"/>
              </w:rPr>
              <w:t>f</w:t>
            </w:r>
            <w:r>
              <w:rPr>
                <w:rFonts w:hint="default" w:ascii="Times New Roman" w:hAnsi="Times New Roman" w:eastAsia="宋体" w:cs="宋体"/>
                <w:color w:val="auto"/>
                <w:sz w:val="28"/>
                <w:szCs w:val="28"/>
                <w:highlight w:val="none"/>
                <w:shd w:val="clear" w:fill="auto"/>
                <w:lang w:val="en-US" w:eastAsia="zh-CN"/>
              </w:rPr>
              <w:t xml:space="preserve"> s</w:t>
            </w:r>
            <w:r>
              <w:rPr>
                <w:rFonts w:hint="default" w:ascii="Times New Roman" w:hAnsi="Times New Roman" w:eastAsia="宋体" w:cs="宋体"/>
                <w:color w:val="auto"/>
                <w:sz w:val="28"/>
                <w:szCs w:val="28"/>
                <w:highlight w:val="none"/>
                <w:shd w:val="clear" w:fill="auto"/>
              </w:rPr>
              <w:t xml:space="preserve">tagnant </w:t>
            </w:r>
            <w:r>
              <w:rPr>
                <w:rFonts w:hint="default" w:ascii="Times New Roman" w:hAnsi="Times New Roman" w:eastAsia="宋体" w:cs="宋体"/>
                <w:color w:val="auto"/>
                <w:sz w:val="28"/>
                <w:szCs w:val="28"/>
                <w:highlight w:val="none"/>
                <w:shd w:val="clear" w:fill="auto"/>
                <w:lang w:val="en-US" w:eastAsia="zh-CN"/>
              </w:rPr>
              <w:t>h</w:t>
            </w:r>
            <w:r>
              <w:rPr>
                <w:rFonts w:hint="default" w:ascii="Times New Roman" w:hAnsi="Times New Roman" w:eastAsia="宋体" w:cs="宋体"/>
                <w:color w:val="auto"/>
                <w:sz w:val="28"/>
                <w:szCs w:val="28"/>
                <w:highlight w:val="none"/>
                <w:shd w:val="clear" w:fill="auto"/>
              </w:rPr>
              <w:t xml:space="preserve">eat in </w:t>
            </w:r>
            <w:r>
              <w:rPr>
                <w:rFonts w:hint="default" w:ascii="Times New Roman" w:hAnsi="Times New Roman" w:eastAsia="宋体" w:cs="宋体"/>
                <w:color w:val="auto"/>
                <w:sz w:val="28"/>
                <w:szCs w:val="28"/>
                <w:highlight w:val="none"/>
                <w:shd w:val="clear" w:fill="auto"/>
                <w:lang w:val="en-US" w:eastAsia="zh-CN"/>
              </w:rPr>
              <w:t>l</w:t>
            </w:r>
            <w:r>
              <w:rPr>
                <w:rFonts w:hint="default" w:ascii="Times New Roman" w:hAnsi="Times New Roman" w:eastAsia="宋体" w:cs="宋体"/>
                <w:color w:val="auto"/>
                <w:sz w:val="28"/>
                <w:szCs w:val="28"/>
                <w:highlight w:val="none"/>
                <w:shd w:val="clear" w:fill="auto"/>
              </w:rPr>
              <w:t xml:space="preserve">iver and </w:t>
            </w:r>
            <w:r>
              <w:rPr>
                <w:rFonts w:hint="default" w:ascii="Times New Roman" w:hAnsi="Times New Roman" w:eastAsia="宋体" w:cs="宋体"/>
                <w:color w:val="auto"/>
                <w:sz w:val="28"/>
                <w:szCs w:val="28"/>
                <w:highlight w:val="none"/>
                <w:shd w:val="clear" w:fill="auto"/>
                <w:lang w:val="en-US" w:eastAsia="zh-CN"/>
              </w:rPr>
              <w:t>s</w:t>
            </w:r>
            <w:r>
              <w:rPr>
                <w:rFonts w:hint="default" w:ascii="Times New Roman" w:hAnsi="Times New Roman" w:eastAsia="宋体" w:cs="宋体"/>
                <w:color w:val="auto"/>
                <w:sz w:val="28"/>
                <w:szCs w:val="28"/>
                <w:highlight w:val="none"/>
                <w:shd w:val="clear" w:fill="auto"/>
              </w:rPr>
              <w:t>tomach</w:t>
            </w:r>
          </w:p>
        </w:tc>
      </w:tr>
      <w:tr w14:paraId="116D21B3">
        <w:tblPrEx>
          <w:tblCellMar>
            <w:top w:w="0" w:type="dxa"/>
            <w:left w:w="0" w:type="dxa"/>
            <w:bottom w:w="0" w:type="dxa"/>
            <w:right w:w="0" w:type="dxa"/>
          </w:tblCellMar>
        </w:tblPrEx>
        <w:trPr>
          <w:trHeight w:val="454" w:hRule="exact"/>
        </w:trPr>
        <w:tc>
          <w:tcPr>
            <w:tcW w:w="9640" w:type="dxa"/>
            <w:gridSpan w:val="7"/>
            <w:vAlign w:val="center"/>
          </w:tcPr>
          <w:p w14:paraId="0C220D83">
            <w:pPr>
              <w:ind w:firstLine="440"/>
              <w:jc w:val="center"/>
              <w:rPr>
                <w:rFonts w:ascii="Times New Roman" w:hAnsi="Times New Roman" w:cs="Times New Roman"/>
                <w:b/>
                <w:sz w:val="28"/>
                <w:szCs w:val="28"/>
              </w:rPr>
            </w:pPr>
            <w:r>
              <w:rPr>
                <w:rFonts w:ascii="Times New Roman" w:hAnsi="Times New Roman" w:cs="Times New Roman"/>
                <w:sz w:val="22"/>
                <w:szCs w:val="28"/>
              </w:rPr>
              <w:t>（完成时间：20</w:t>
            </w:r>
            <w:r>
              <w:rPr>
                <w:rFonts w:hint="eastAsia" w:ascii="Times New Roman" w:hAnsi="Times New Roman" w:cs="Times New Roman"/>
                <w:sz w:val="22"/>
                <w:szCs w:val="28"/>
              </w:rPr>
              <w:t>26</w:t>
            </w:r>
            <w:r>
              <w:rPr>
                <w:rFonts w:ascii="Times New Roman" w:hAnsi="Times New Roman" w:cs="Times New Roman"/>
                <w:sz w:val="22"/>
                <w:szCs w:val="28"/>
              </w:rPr>
              <w:t>年</w:t>
            </w:r>
            <w:r>
              <w:rPr>
                <w:rFonts w:hint="eastAsia" w:ascii="Times New Roman" w:hAnsi="Times New Roman" w:cs="Times New Roman"/>
                <w:sz w:val="22"/>
                <w:szCs w:val="28"/>
              </w:rPr>
              <w:t>6</w:t>
            </w:r>
            <w:r>
              <w:rPr>
                <w:rFonts w:ascii="Times New Roman" w:hAnsi="Times New Roman" w:cs="Times New Roman"/>
                <w:sz w:val="22"/>
                <w:szCs w:val="28"/>
              </w:rPr>
              <w:t>月）</w:t>
            </w:r>
          </w:p>
        </w:tc>
      </w:tr>
    </w:tbl>
    <w:p w14:paraId="22B291F7">
      <w:pPr>
        <w:rPr>
          <w:rFonts w:ascii="Times New Roman" w:hAnsi="Times New Roman" w:eastAsia="仿宋" w:cs="Times New Roman"/>
          <w:sz w:val="30"/>
          <w:szCs w:val="30"/>
        </w:rPr>
        <w:sectPr>
          <w:headerReference r:id="rId7" w:type="first"/>
          <w:footerReference r:id="rId10" w:type="first"/>
          <w:headerReference r:id="rId5" w:type="default"/>
          <w:footerReference r:id="rId8" w:type="default"/>
          <w:headerReference r:id="rId6" w:type="even"/>
          <w:footerReference r:id="rId9" w:type="even"/>
          <w:endnotePr>
            <w:numFmt w:val="decimal"/>
          </w:endnotePr>
          <w:pgSz w:w="11906" w:h="16838"/>
          <w:pgMar w:top="1440" w:right="1800" w:bottom="1440" w:left="1800" w:header="1418" w:footer="1134" w:gutter="0"/>
          <w:pgNumType w:fmt="upperRoman" w:start="1"/>
          <w:cols w:space="720" w:num="1"/>
          <w:formProt w:val="0"/>
          <w:docGrid w:linePitch="326" w:charSpace="0"/>
        </w:sectPr>
      </w:pPr>
      <w:r>
        <w:rPr>
          <w:rFonts w:ascii="Times New Roman" w:hAnsi="Times New Roman" w:cs="Times New Roman"/>
          <w:sz w:val="20"/>
          <w:szCs w:val="20"/>
        </w:rPr>
        <mc:AlternateContent>
          <mc:Choice Requires="wps">
            <w:drawing>
              <wp:anchor distT="0" distB="0" distL="114300" distR="114300" simplePos="0" relativeHeight="251659264" behindDoc="0" locked="0" layoutInCell="0" allowOverlap="1">
                <wp:simplePos x="0" y="0"/>
                <wp:positionH relativeFrom="column">
                  <wp:posOffset>-276225</wp:posOffset>
                </wp:positionH>
                <wp:positionV relativeFrom="page">
                  <wp:posOffset>7574915</wp:posOffset>
                </wp:positionV>
                <wp:extent cx="6047105" cy="2140585"/>
                <wp:effectExtent l="0" t="0" r="3175" b="8255"/>
                <wp:wrapNone/>
                <wp:docPr id="23" name="文本框 1"/>
                <wp:cNvGraphicFramePr/>
                <a:graphic xmlns:a="http://schemas.openxmlformats.org/drawingml/2006/main">
                  <a:graphicData uri="http://schemas.microsoft.com/office/word/2010/wordprocessingShape">
                    <wps:wsp>
                      <wps:cNvSpPr txBox="1">
                        <a:spLocks noChangeArrowheads="1"/>
                      </wps:cNvSpPr>
                      <wps:spPr bwMode="auto">
                        <a:xfrm>
                          <a:off x="0" y="0"/>
                          <a:ext cx="6047105" cy="2140585"/>
                        </a:xfrm>
                        <a:prstGeom prst="rect">
                          <a:avLst/>
                        </a:prstGeom>
                        <a:solidFill>
                          <a:srgbClr val="FFFFFF"/>
                        </a:solidFill>
                        <a:ln>
                          <a:noFill/>
                        </a:ln>
                      </wps:spPr>
                      <wps:txbx>
                        <w:txbxContent>
                          <w:tbl>
                            <w:tblPr>
                              <w:tblStyle w:val="19"/>
                              <w:tblW w:w="9854" w:type="dxa"/>
                              <w:jc w:val="center"/>
                              <w:tblLayout w:type="fixed"/>
                              <w:tblCellMar>
                                <w:top w:w="0" w:type="dxa"/>
                                <w:left w:w="0" w:type="dxa"/>
                                <w:bottom w:w="0" w:type="dxa"/>
                                <w:right w:w="0" w:type="dxa"/>
                              </w:tblCellMar>
                            </w:tblPr>
                            <w:tblGrid>
                              <w:gridCol w:w="3447"/>
                              <w:gridCol w:w="3175"/>
                              <w:gridCol w:w="3232"/>
                            </w:tblGrid>
                            <w:tr w14:paraId="17106FB5">
                              <w:tblPrEx>
                                <w:tblCellMar>
                                  <w:top w:w="0" w:type="dxa"/>
                                  <w:left w:w="0" w:type="dxa"/>
                                  <w:bottom w:w="0" w:type="dxa"/>
                                  <w:right w:w="0" w:type="dxa"/>
                                </w:tblCellMar>
                              </w:tblPrEx>
                              <w:trPr>
                                <w:trHeight w:val="312" w:hRule="exact"/>
                                <w:jc w:val="center"/>
                              </w:trPr>
                              <w:tc>
                                <w:tcPr>
                                  <w:tcW w:w="9854" w:type="dxa"/>
                                  <w:gridSpan w:val="3"/>
                                </w:tcPr>
                                <w:p w14:paraId="205925EB">
                                  <w:pPr>
                                    <w:ind w:firstLine="480"/>
                                    <w:rPr>
                                      <w:rFonts w:hint="eastAsia"/>
                                    </w:rPr>
                                  </w:pPr>
                                </w:p>
                              </w:tc>
                            </w:tr>
                            <w:tr w14:paraId="70467C47">
                              <w:tblPrEx>
                                <w:tblCellMar>
                                  <w:top w:w="0" w:type="dxa"/>
                                  <w:left w:w="0" w:type="dxa"/>
                                  <w:bottom w:w="0" w:type="dxa"/>
                                  <w:right w:w="0" w:type="dxa"/>
                                </w:tblCellMar>
                              </w:tblPrEx>
                              <w:trPr>
                                <w:trHeight w:val="567" w:hRule="exact"/>
                                <w:jc w:val="center"/>
                              </w:trPr>
                              <w:tc>
                                <w:tcPr>
                                  <w:tcW w:w="9854" w:type="dxa"/>
                                  <w:gridSpan w:val="3"/>
                                </w:tcPr>
                                <w:p w14:paraId="6C9A233B">
                                  <w:pPr>
                                    <w:ind w:firstLine="480"/>
                                    <w:rPr>
                                      <w:rFonts w:hint="eastAsia"/>
                                    </w:rPr>
                                  </w:pPr>
                                </w:p>
                              </w:tc>
                            </w:tr>
                            <w:tr w14:paraId="382343AA">
                              <w:tblPrEx>
                                <w:tblCellMar>
                                  <w:top w:w="0" w:type="dxa"/>
                                  <w:left w:w="0" w:type="dxa"/>
                                  <w:bottom w:w="0" w:type="dxa"/>
                                  <w:right w:w="0" w:type="dxa"/>
                                </w:tblCellMar>
                              </w:tblPrEx>
                              <w:trPr>
                                <w:trHeight w:val="567" w:hRule="exact"/>
                                <w:jc w:val="center"/>
                              </w:trPr>
                              <w:tc>
                                <w:tcPr>
                                  <w:tcW w:w="3447" w:type="dxa"/>
                                  <w:tcBorders>
                                    <w:bottom w:val="single" w:color="auto" w:sz="8" w:space="0"/>
                                  </w:tcBorders>
                                  <w:vAlign w:val="bottom"/>
                                </w:tcPr>
                                <w:p w14:paraId="5B1A94B8">
                                  <w:pPr>
                                    <w:ind w:firstLine="600"/>
                                    <w:rPr>
                                      <w:rFonts w:hint="eastAsia" w:ascii="黑体" w:hAnsi="黑体" w:eastAsia="黑体"/>
                                      <w:color w:val="0000FF"/>
                                    </w:rPr>
                                  </w:pPr>
                                  <w:r>
                                    <w:rPr>
                                      <w:rFonts w:hint="eastAsia" w:ascii="黑体" w:hAnsi="黑体" w:eastAsia="黑体"/>
                                      <w:spacing w:val="10"/>
                                      <w:sz w:val="28"/>
                                      <w:szCs w:val="28"/>
                                    </w:rPr>
                                    <w:t>20**</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发布</w:t>
                                  </w:r>
                                </w:p>
                              </w:tc>
                              <w:tc>
                                <w:tcPr>
                                  <w:tcW w:w="3175" w:type="dxa"/>
                                  <w:tcBorders>
                                    <w:bottom w:val="single" w:color="auto" w:sz="8" w:space="0"/>
                                  </w:tcBorders>
                                  <w:vAlign w:val="bottom"/>
                                </w:tcPr>
                                <w:p w14:paraId="25C84A76">
                                  <w:pPr>
                                    <w:ind w:firstLine="560"/>
                                    <w:jc w:val="center"/>
                                    <w:rPr>
                                      <w:rFonts w:hint="eastAsia" w:ascii="黑体" w:eastAsia="黑体"/>
                                      <w:color w:val="0000FF"/>
                                      <w:sz w:val="28"/>
                                    </w:rPr>
                                  </w:pPr>
                                </w:p>
                              </w:tc>
                              <w:tc>
                                <w:tcPr>
                                  <w:tcW w:w="3232" w:type="dxa"/>
                                  <w:tcBorders>
                                    <w:bottom w:val="single" w:color="auto" w:sz="8" w:space="0"/>
                                  </w:tcBorders>
                                  <w:vAlign w:val="bottom"/>
                                </w:tcPr>
                                <w:p w14:paraId="0FDD4EC3">
                                  <w:pPr>
                                    <w:ind w:firstLine="600"/>
                                    <w:jc w:val="both"/>
                                    <w:rPr>
                                      <w:rFonts w:hint="eastAsia" w:ascii="黑体" w:hAnsi="黑体" w:eastAsia="黑体"/>
                                      <w:color w:val="0000FF"/>
                                    </w:rPr>
                                  </w:pPr>
                                  <w:r>
                                    <w:rPr>
                                      <w:rFonts w:hint="eastAsia" w:ascii="黑体" w:hAnsi="黑体" w:eastAsia="黑体"/>
                                      <w:spacing w:val="10"/>
                                      <w:sz w:val="28"/>
                                      <w:szCs w:val="28"/>
                                    </w:rPr>
                                    <w:t>20**</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实施</w:t>
                                  </w:r>
                                </w:p>
                              </w:tc>
                            </w:tr>
                            <w:tr w14:paraId="41DBDD81">
                              <w:tblPrEx>
                                <w:tblCellMar>
                                  <w:top w:w="0" w:type="dxa"/>
                                  <w:left w:w="0" w:type="dxa"/>
                                  <w:bottom w:w="0" w:type="dxa"/>
                                  <w:right w:w="0" w:type="dxa"/>
                                </w:tblCellMar>
                              </w:tblPrEx>
                              <w:trPr>
                                <w:trHeight w:val="567" w:hRule="exact"/>
                                <w:jc w:val="center"/>
                              </w:trPr>
                              <w:tc>
                                <w:tcPr>
                                  <w:tcW w:w="9854" w:type="dxa"/>
                                  <w:gridSpan w:val="3"/>
                                  <w:tcBorders>
                                    <w:top w:val="single" w:color="auto" w:sz="8" w:space="0"/>
                                  </w:tcBorders>
                                  <w:vAlign w:val="center"/>
                                </w:tcPr>
                                <w:p w14:paraId="3BE7ACC5">
                                  <w:pPr>
                                    <w:ind w:firstLine="760"/>
                                    <w:jc w:val="center"/>
                                    <w:rPr>
                                      <w:rFonts w:hint="eastAsia" w:eastAsia="黑体"/>
                                      <w:color w:val="0000FF"/>
                                      <w:spacing w:val="30"/>
                                      <w:sz w:val="32"/>
                                    </w:rPr>
                                  </w:pPr>
                                </w:p>
                              </w:tc>
                            </w:tr>
                            <w:tr w14:paraId="26BB2E78">
                              <w:tblPrEx>
                                <w:tblCellMar>
                                  <w:top w:w="0" w:type="dxa"/>
                                  <w:left w:w="0" w:type="dxa"/>
                                  <w:bottom w:w="0" w:type="dxa"/>
                                  <w:right w:w="0" w:type="dxa"/>
                                </w:tblCellMar>
                              </w:tblPrEx>
                              <w:trPr>
                                <w:trHeight w:val="380" w:hRule="exact"/>
                                <w:jc w:val="center"/>
                              </w:trPr>
                              <w:tc>
                                <w:tcPr>
                                  <w:tcW w:w="9854" w:type="dxa"/>
                                  <w:gridSpan w:val="3"/>
                                </w:tcPr>
                                <w:p w14:paraId="2ACD72D5">
                                  <w:pPr>
                                    <w:ind w:firstLine="800"/>
                                    <w:jc w:val="center"/>
                                    <w:rPr>
                                      <w:rFonts w:hint="eastAsia"/>
                                      <w:color w:val="0000FF"/>
                                      <w:sz w:val="30"/>
                                      <w:szCs w:val="30"/>
                                    </w:rPr>
                                  </w:pPr>
                                  <w:r>
                                    <w:rPr>
                                      <w:rFonts w:hint="eastAsia" w:eastAsia="黑体"/>
                                      <w:spacing w:val="40"/>
                                      <w:sz w:val="32"/>
                                      <w:szCs w:val="32"/>
                                    </w:rPr>
                                    <w:t>中华中医药学会</w:t>
                                  </w:r>
                                  <w:r>
                                    <w:rPr>
                                      <w:rFonts w:hint="eastAsia" w:eastAsia="黑体"/>
                                      <w:spacing w:val="40"/>
                                      <w:sz w:val="28"/>
                                      <w:szCs w:val="28"/>
                                    </w:rPr>
                                    <w:t>发布</w:t>
                                  </w:r>
                                </w:p>
                              </w:tc>
                            </w:tr>
                          </w:tbl>
                          <w:p w14:paraId="75F28A4E">
                            <w:pPr>
                              <w:ind w:firstLine="480"/>
                              <w:rPr>
                                <w:rFonts w:hint="eastAsia"/>
                                <w:color w:val="0000FF"/>
                              </w:rPr>
                            </w:pPr>
                          </w:p>
                        </w:txbxContent>
                      </wps:txbx>
                      <wps:bodyPr rot="0" vert="horz" wrap="square" lIns="0" tIns="0" rIns="0" bIns="0" anchor="t" anchorCtr="0" upright="1">
                        <a:noAutofit/>
                      </wps:bodyPr>
                    </wps:wsp>
                  </a:graphicData>
                </a:graphic>
              </wp:anchor>
            </w:drawing>
          </mc:Choice>
          <mc:Fallback>
            <w:pict>
              <v:shape id="文本框 1" o:spid="_x0000_s1026" o:spt="202" type="#_x0000_t202" style="position:absolute;left:0pt;margin-left:-21.75pt;margin-top:596.45pt;height:168.55pt;width:476.15pt;mso-position-vertical-relative:page;z-index:251659264;mso-width-relative:page;mso-height-relative:page;" fillcolor="#FFFFFF" filled="t" stroked="f" coordsize="21600,21600" o:allowincell="f" o:gfxdata="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Cwp4tsAAAANAQAADwAAAAAAAAABACAAAAAiAAAAZHJzL2Rvd25yZXYueG1sUEsBAhQAFAAAAAgA&#10;h07iQJJ68UkiAgAAMAQAAA4AAAAAAAAAAQAgAAAAKgEAAGRycy9lMm9Eb2MueG1sUEsFBgAAAAAG&#10;AAYAWQEAAL4FAAAAAA==&#10;">
                <v:fill on="t" focussize="0,0"/>
                <v:stroke on="f"/>
                <v:imagedata o:title=""/>
                <o:lock v:ext="edit" aspectratio="f"/>
                <v:textbox inset="0mm,0mm,0mm,0mm">
                  <w:txbxContent>
                    <w:tbl>
                      <w:tblPr>
                        <w:tblStyle w:val="19"/>
                        <w:tblW w:w="9854" w:type="dxa"/>
                        <w:jc w:val="center"/>
                        <w:tblLayout w:type="fixed"/>
                        <w:tblCellMar>
                          <w:top w:w="0" w:type="dxa"/>
                          <w:left w:w="0" w:type="dxa"/>
                          <w:bottom w:w="0" w:type="dxa"/>
                          <w:right w:w="0" w:type="dxa"/>
                        </w:tblCellMar>
                      </w:tblPr>
                      <w:tblGrid>
                        <w:gridCol w:w="3447"/>
                        <w:gridCol w:w="3175"/>
                        <w:gridCol w:w="3232"/>
                      </w:tblGrid>
                      <w:tr w14:paraId="17106FB5">
                        <w:tblPrEx>
                          <w:tblCellMar>
                            <w:top w:w="0" w:type="dxa"/>
                            <w:left w:w="0" w:type="dxa"/>
                            <w:bottom w:w="0" w:type="dxa"/>
                            <w:right w:w="0" w:type="dxa"/>
                          </w:tblCellMar>
                        </w:tblPrEx>
                        <w:trPr>
                          <w:trHeight w:val="312" w:hRule="exact"/>
                          <w:jc w:val="center"/>
                        </w:trPr>
                        <w:tc>
                          <w:tcPr>
                            <w:tcW w:w="9854" w:type="dxa"/>
                            <w:gridSpan w:val="3"/>
                          </w:tcPr>
                          <w:p w14:paraId="205925EB">
                            <w:pPr>
                              <w:ind w:firstLine="480"/>
                              <w:rPr>
                                <w:rFonts w:hint="eastAsia"/>
                              </w:rPr>
                            </w:pPr>
                          </w:p>
                        </w:tc>
                      </w:tr>
                      <w:tr w14:paraId="70467C47">
                        <w:tblPrEx>
                          <w:tblCellMar>
                            <w:top w:w="0" w:type="dxa"/>
                            <w:left w:w="0" w:type="dxa"/>
                            <w:bottom w:w="0" w:type="dxa"/>
                            <w:right w:w="0" w:type="dxa"/>
                          </w:tblCellMar>
                        </w:tblPrEx>
                        <w:trPr>
                          <w:trHeight w:val="567" w:hRule="exact"/>
                          <w:jc w:val="center"/>
                        </w:trPr>
                        <w:tc>
                          <w:tcPr>
                            <w:tcW w:w="9854" w:type="dxa"/>
                            <w:gridSpan w:val="3"/>
                          </w:tcPr>
                          <w:p w14:paraId="6C9A233B">
                            <w:pPr>
                              <w:ind w:firstLine="480"/>
                              <w:rPr>
                                <w:rFonts w:hint="eastAsia"/>
                              </w:rPr>
                            </w:pPr>
                          </w:p>
                        </w:tc>
                      </w:tr>
                      <w:tr w14:paraId="382343AA">
                        <w:tblPrEx>
                          <w:tblCellMar>
                            <w:top w:w="0" w:type="dxa"/>
                            <w:left w:w="0" w:type="dxa"/>
                            <w:bottom w:w="0" w:type="dxa"/>
                            <w:right w:w="0" w:type="dxa"/>
                          </w:tblCellMar>
                        </w:tblPrEx>
                        <w:trPr>
                          <w:trHeight w:val="567" w:hRule="exact"/>
                          <w:jc w:val="center"/>
                        </w:trPr>
                        <w:tc>
                          <w:tcPr>
                            <w:tcW w:w="3447" w:type="dxa"/>
                            <w:tcBorders>
                              <w:bottom w:val="single" w:color="auto" w:sz="8" w:space="0"/>
                            </w:tcBorders>
                            <w:vAlign w:val="bottom"/>
                          </w:tcPr>
                          <w:p w14:paraId="5B1A94B8">
                            <w:pPr>
                              <w:ind w:firstLine="600"/>
                              <w:rPr>
                                <w:rFonts w:hint="eastAsia" w:ascii="黑体" w:hAnsi="黑体" w:eastAsia="黑体"/>
                                <w:color w:val="0000FF"/>
                              </w:rPr>
                            </w:pPr>
                            <w:r>
                              <w:rPr>
                                <w:rFonts w:hint="eastAsia" w:ascii="黑体" w:hAnsi="黑体" w:eastAsia="黑体"/>
                                <w:spacing w:val="10"/>
                                <w:sz w:val="28"/>
                                <w:szCs w:val="28"/>
                              </w:rPr>
                              <w:t>20**</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发布</w:t>
                            </w:r>
                          </w:p>
                        </w:tc>
                        <w:tc>
                          <w:tcPr>
                            <w:tcW w:w="3175" w:type="dxa"/>
                            <w:tcBorders>
                              <w:bottom w:val="single" w:color="auto" w:sz="8" w:space="0"/>
                            </w:tcBorders>
                            <w:vAlign w:val="bottom"/>
                          </w:tcPr>
                          <w:p w14:paraId="25C84A76">
                            <w:pPr>
                              <w:ind w:firstLine="560"/>
                              <w:jc w:val="center"/>
                              <w:rPr>
                                <w:rFonts w:hint="eastAsia" w:ascii="黑体" w:eastAsia="黑体"/>
                                <w:color w:val="0000FF"/>
                                <w:sz w:val="28"/>
                              </w:rPr>
                            </w:pPr>
                          </w:p>
                        </w:tc>
                        <w:tc>
                          <w:tcPr>
                            <w:tcW w:w="3232" w:type="dxa"/>
                            <w:tcBorders>
                              <w:bottom w:val="single" w:color="auto" w:sz="8" w:space="0"/>
                            </w:tcBorders>
                            <w:vAlign w:val="bottom"/>
                          </w:tcPr>
                          <w:p w14:paraId="0FDD4EC3">
                            <w:pPr>
                              <w:ind w:firstLine="600"/>
                              <w:jc w:val="both"/>
                              <w:rPr>
                                <w:rFonts w:hint="eastAsia" w:ascii="黑体" w:hAnsi="黑体" w:eastAsia="黑体"/>
                                <w:color w:val="0000FF"/>
                              </w:rPr>
                            </w:pPr>
                            <w:r>
                              <w:rPr>
                                <w:rFonts w:hint="eastAsia" w:ascii="黑体" w:hAnsi="黑体" w:eastAsia="黑体"/>
                                <w:spacing w:val="10"/>
                                <w:sz w:val="28"/>
                                <w:szCs w:val="28"/>
                              </w:rPr>
                              <w:t>20**</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实施</w:t>
                            </w:r>
                          </w:p>
                        </w:tc>
                      </w:tr>
                      <w:tr w14:paraId="41DBDD81">
                        <w:tblPrEx>
                          <w:tblCellMar>
                            <w:top w:w="0" w:type="dxa"/>
                            <w:left w:w="0" w:type="dxa"/>
                            <w:bottom w:w="0" w:type="dxa"/>
                            <w:right w:w="0" w:type="dxa"/>
                          </w:tblCellMar>
                        </w:tblPrEx>
                        <w:trPr>
                          <w:trHeight w:val="567" w:hRule="exact"/>
                          <w:jc w:val="center"/>
                        </w:trPr>
                        <w:tc>
                          <w:tcPr>
                            <w:tcW w:w="9854" w:type="dxa"/>
                            <w:gridSpan w:val="3"/>
                            <w:tcBorders>
                              <w:top w:val="single" w:color="auto" w:sz="8" w:space="0"/>
                            </w:tcBorders>
                            <w:vAlign w:val="center"/>
                          </w:tcPr>
                          <w:p w14:paraId="3BE7ACC5">
                            <w:pPr>
                              <w:ind w:firstLine="760"/>
                              <w:jc w:val="center"/>
                              <w:rPr>
                                <w:rFonts w:hint="eastAsia" w:eastAsia="黑体"/>
                                <w:color w:val="0000FF"/>
                                <w:spacing w:val="30"/>
                                <w:sz w:val="32"/>
                              </w:rPr>
                            </w:pPr>
                          </w:p>
                        </w:tc>
                      </w:tr>
                      <w:tr w14:paraId="26BB2E78">
                        <w:tblPrEx>
                          <w:tblCellMar>
                            <w:top w:w="0" w:type="dxa"/>
                            <w:left w:w="0" w:type="dxa"/>
                            <w:bottom w:w="0" w:type="dxa"/>
                            <w:right w:w="0" w:type="dxa"/>
                          </w:tblCellMar>
                        </w:tblPrEx>
                        <w:trPr>
                          <w:trHeight w:val="380" w:hRule="exact"/>
                          <w:jc w:val="center"/>
                        </w:trPr>
                        <w:tc>
                          <w:tcPr>
                            <w:tcW w:w="9854" w:type="dxa"/>
                            <w:gridSpan w:val="3"/>
                          </w:tcPr>
                          <w:p w14:paraId="2ACD72D5">
                            <w:pPr>
                              <w:ind w:firstLine="800"/>
                              <w:jc w:val="center"/>
                              <w:rPr>
                                <w:rFonts w:hint="eastAsia"/>
                                <w:color w:val="0000FF"/>
                                <w:sz w:val="30"/>
                                <w:szCs w:val="30"/>
                              </w:rPr>
                            </w:pPr>
                            <w:r>
                              <w:rPr>
                                <w:rFonts w:hint="eastAsia" w:eastAsia="黑体"/>
                                <w:spacing w:val="40"/>
                                <w:sz w:val="32"/>
                                <w:szCs w:val="32"/>
                              </w:rPr>
                              <w:t>中华中医药学会</w:t>
                            </w:r>
                            <w:r>
                              <w:rPr>
                                <w:rFonts w:hint="eastAsia" w:eastAsia="黑体"/>
                                <w:spacing w:val="40"/>
                                <w:sz w:val="28"/>
                                <w:szCs w:val="28"/>
                              </w:rPr>
                              <w:t>发布</w:t>
                            </w:r>
                          </w:p>
                        </w:tc>
                      </w:tr>
                    </w:tbl>
                    <w:p w14:paraId="75F28A4E">
                      <w:pPr>
                        <w:ind w:firstLine="480"/>
                        <w:rPr>
                          <w:rFonts w:hint="eastAsia"/>
                          <w:color w:val="0000FF"/>
                        </w:rPr>
                      </w:pPr>
                    </w:p>
                  </w:txbxContent>
                </v:textbox>
              </v:shape>
            </w:pict>
          </mc:Fallback>
        </mc:AlternateContent>
      </w:r>
    </w:p>
    <w:sdt>
      <w:sdtPr>
        <w:rPr>
          <w:sz w:val="21"/>
        </w:rPr>
        <w:id w:val="147458208"/>
        <w15:color w:val="DBDBDB"/>
        <w:docPartObj>
          <w:docPartGallery w:val="Table of Contents"/>
          <w:docPartUnique/>
        </w:docPartObj>
      </w:sdtPr>
      <w:sdtEndPr>
        <w:rPr>
          <w:rFonts w:hint="eastAsia"/>
          <w:b/>
          <w:sz w:val="21"/>
          <w:szCs w:val="21"/>
        </w:rPr>
      </w:sdtEndPr>
      <w:sdtContent>
        <w:p w14:paraId="37968493">
          <w:pPr>
            <w:spacing w:before="240" w:beforeLines="100" w:after="240" w:afterLines="100" w:line="360" w:lineRule="exact"/>
            <w:jc w:val="center"/>
            <w:rPr>
              <w:rFonts w:hint="eastAsia" w:ascii="黑体" w:hAnsi="黑体" w:eastAsia="黑体" w:cs="黑体"/>
              <w:sz w:val="32"/>
              <w:szCs w:val="32"/>
            </w:rPr>
          </w:pPr>
          <w:bookmarkStart w:id="1" w:name="_Toc184384511"/>
          <w:r>
            <w:rPr>
              <w:rFonts w:hint="eastAsia" w:ascii="黑体" w:hAnsi="黑体" w:eastAsia="黑体" w:cs="黑体"/>
              <w:sz w:val="32"/>
              <w:szCs w:val="32"/>
            </w:rPr>
            <w:t>目  次</w:t>
          </w:r>
        </w:p>
        <w:p w14:paraId="2468DF0F">
          <w:pPr>
            <w:pStyle w:val="14"/>
            <w:tabs>
              <w:tab w:val="right" w:leader="dot" w:pos="8312"/>
            </w:tabs>
          </w:pPr>
          <w:r>
            <w:rPr>
              <w:rFonts w:hint="eastAsia" w:ascii="宋体" w:hAnsi="宋体" w:eastAsia="宋体" w:cs="宋体"/>
              <w:szCs w:val="21"/>
            </w:rPr>
            <w:fldChar w:fldCharType="begin"/>
          </w:r>
          <w:r>
            <w:rPr>
              <w:rFonts w:hint="eastAsia" w:ascii="宋体" w:hAnsi="宋体" w:eastAsia="宋体" w:cs="宋体"/>
              <w:szCs w:val="21"/>
            </w:rPr>
            <w:instrText xml:space="preserve">TOC \o "1-2" \h \u </w:instrText>
          </w:r>
          <w:r>
            <w:rPr>
              <w:rFonts w:hint="eastAsia" w:ascii="宋体" w:hAnsi="宋体" w:eastAsia="宋体" w:cs="宋体"/>
              <w:szCs w:val="21"/>
            </w:rPr>
            <w:fldChar w:fldCharType="separate"/>
          </w:r>
          <w:r>
            <w:fldChar w:fldCharType="begin"/>
          </w:r>
          <w:r>
            <w:instrText xml:space="preserve"> HYPERLINK \l "_Toc19927" </w:instrText>
          </w:r>
          <w:r>
            <w:fldChar w:fldCharType="separate"/>
          </w:r>
          <w:r>
            <w:t>前  言</w:t>
          </w:r>
          <w:r>
            <w:tab/>
          </w:r>
          <w:r>
            <w:fldChar w:fldCharType="begin"/>
          </w:r>
          <w:r>
            <w:instrText xml:space="preserve"> PAGEREF _Toc19927 \h </w:instrText>
          </w:r>
          <w:r>
            <w:fldChar w:fldCharType="separate"/>
          </w:r>
          <w:r>
            <w:t>2</w:t>
          </w:r>
          <w:r>
            <w:fldChar w:fldCharType="end"/>
          </w:r>
          <w:r>
            <w:fldChar w:fldCharType="end"/>
          </w:r>
        </w:p>
        <w:p w14:paraId="66420C40">
          <w:pPr>
            <w:pStyle w:val="14"/>
            <w:tabs>
              <w:tab w:val="right" w:leader="dot" w:pos="8312"/>
            </w:tabs>
          </w:pPr>
          <w:r>
            <w:fldChar w:fldCharType="begin"/>
          </w:r>
          <w:r>
            <w:instrText xml:space="preserve"> HYPERLINK \l "_Toc5381" </w:instrText>
          </w:r>
          <w:r>
            <w:fldChar w:fldCharType="separate"/>
          </w:r>
          <w:r>
            <w:rPr>
              <w:rFonts w:hint="eastAsia" w:ascii="黑体" w:hAnsi="黑体" w:cs="黑体"/>
              <w:szCs w:val="32"/>
            </w:rPr>
            <w:t>引  言</w:t>
          </w:r>
          <w:r>
            <w:tab/>
          </w:r>
          <w:r>
            <w:fldChar w:fldCharType="begin"/>
          </w:r>
          <w:r>
            <w:instrText xml:space="preserve"> PAGEREF _Toc5381 \h </w:instrText>
          </w:r>
          <w:r>
            <w:fldChar w:fldCharType="separate"/>
          </w:r>
          <w:r>
            <w:t>3</w:t>
          </w:r>
          <w:r>
            <w:fldChar w:fldCharType="end"/>
          </w:r>
          <w:r>
            <w:fldChar w:fldCharType="end"/>
          </w:r>
        </w:p>
        <w:p w14:paraId="0EDCF03C">
          <w:pPr>
            <w:pStyle w:val="14"/>
            <w:tabs>
              <w:tab w:val="right" w:leader="dot" w:pos="8312"/>
            </w:tabs>
          </w:pPr>
          <w:r>
            <w:fldChar w:fldCharType="begin"/>
          </w:r>
          <w:r>
            <w:instrText xml:space="preserve"> HYPERLINK \l "_Toc10424" </w:instrText>
          </w:r>
          <w:r>
            <w:fldChar w:fldCharType="separate"/>
          </w:r>
          <w:r>
            <w:rPr>
              <w:szCs w:val="21"/>
            </w:rPr>
            <w:t>1 范围</w:t>
          </w:r>
          <w:r>
            <w:tab/>
          </w:r>
          <w:r>
            <w:fldChar w:fldCharType="begin"/>
          </w:r>
          <w:r>
            <w:instrText xml:space="preserve"> PAGEREF _Toc10424 \h </w:instrText>
          </w:r>
          <w:r>
            <w:fldChar w:fldCharType="separate"/>
          </w:r>
          <w:r>
            <w:t>4</w:t>
          </w:r>
          <w:r>
            <w:fldChar w:fldCharType="end"/>
          </w:r>
          <w:r>
            <w:fldChar w:fldCharType="end"/>
          </w:r>
        </w:p>
        <w:p w14:paraId="4CF8E05F">
          <w:pPr>
            <w:pStyle w:val="14"/>
            <w:tabs>
              <w:tab w:val="right" w:leader="dot" w:pos="8312"/>
            </w:tabs>
          </w:pPr>
          <w:r>
            <w:fldChar w:fldCharType="begin"/>
          </w:r>
          <w:r>
            <w:instrText xml:space="preserve"> HYPERLINK \l "_Toc2708" </w:instrText>
          </w:r>
          <w:r>
            <w:fldChar w:fldCharType="separate"/>
          </w:r>
          <w:r>
            <w:rPr>
              <w:szCs w:val="21"/>
            </w:rPr>
            <w:t>2 规范性引用文件</w:t>
          </w:r>
          <w:r>
            <w:tab/>
          </w:r>
          <w:r>
            <w:fldChar w:fldCharType="begin"/>
          </w:r>
          <w:r>
            <w:instrText xml:space="preserve"> PAGEREF _Toc2708 \h </w:instrText>
          </w:r>
          <w:r>
            <w:fldChar w:fldCharType="separate"/>
          </w:r>
          <w:r>
            <w:t>4</w:t>
          </w:r>
          <w:r>
            <w:fldChar w:fldCharType="end"/>
          </w:r>
          <w:r>
            <w:fldChar w:fldCharType="end"/>
          </w:r>
        </w:p>
        <w:p w14:paraId="02C48DA8">
          <w:pPr>
            <w:pStyle w:val="14"/>
            <w:tabs>
              <w:tab w:val="right" w:leader="dot" w:pos="8312"/>
            </w:tabs>
          </w:pPr>
          <w:r>
            <w:fldChar w:fldCharType="begin"/>
          </w:r>
          <w:r>
            <w:instrText xml:space="preserve"> HYPERLINK \l "_Toc17426" </w:instrText>
          </w:r>
          <w:r>
            <w:fldChar w:fldCharType="separate"/>
          </w:r>
          <w:r>
            <w:rPr>
              <w:szCs w:val="21"/>
            </w:rPr>
            <w:t>3 术语和定义</w:t>
          </w:r>
          <w:r>
            <w:tab/>
          </w:r>
          <w:r>
            <w:fldChar w:fldCharType="begin"/>
          </w:r>
          <w:r>
            <w:instrText xml:space="preserve"> PAGEREF _Toc17426 \h </w:instrText>
          </w:r>
          <w:r>
            <w:fldChar w:fldCharType="separate"/>
          </w:r>
          <w:r>
            <w:t>4</w:t>
          </w:r>
          <w:r>
            <w:fldChar w:fldCharType="end"/>
          </w:r>
          <w:r>
            <w:fldChar w:fldCharType="end"/>
          </w:r>
        </w:p>
        <w:p w14:paraId="497B2426">
          <w:pPr>
            <w:pStyle w:val="14"/>
            <w:tabs>
              <w:tab w:val="right" w:leader="dot" w:pos="8312"/>
            </w:tabs>
          </w:pPr>
          <w:r>
            <w:fldChar w:fldCharType="begin"/>
          </w:r>
          <w:r>
            <w:instrText xml:space="preserve"> HYPERLINK \l "_Toc6292" </w:instrText>
          </w:r>
          <w:r>
            <w:fldChar w:fldCharType="separate"/>
          </w:r>
          <w:r>
            <w:rPr>
              <w:szCs w:val="21"/>
            </w:rPr>
            <w:t>4 诊断</w:t>
          </w:r>
          <w:r>
            <w:rPr>
              <w:rFonts w:hint="eastAsia"/>
              <w:szCs w:val="21"/>
            </w:rPr>
            <w:t>依据</w:t>
          </w:r>
          <w:r>
            <w:tab/>
          </w:r>
          <w:r>
            <w:fldChar w:fldCharType="begin"/>
          </w:r>
          <w:r>
            <w:instrText xml:space="preserve"> PAGEREF _Toc6292 \h </w:instrText>
          </w:r>
          <w:r>
            <w:fldChar w:fldCharType="separate"/>
          </w:r>
          <w:r>
            <w:t>5</w:t>
          </w:r>
          <w:r>
            <w:fldChar w:fldCharType="end"/>
          </w:r>
          <w:r>
            <w:fldChar w:fldCharType="end"/>
          </w:r>
        </w:p>
        <w:p w14:paraId="14268F8A">
          <w:pPr>
            <w:pStyle w:val="15"/>
            <w:tabs>
              <w:tab w:val="right" w:leader="dot" w:pos="8312"/>
              <w:tab w:val="clear" w:pos="8296"/>
            </w:tabs>
            <w:ind w:left="851" w:hanging="479"/>
            <w:rPr>
              <w:rFonts w:hint="eastAsia"/>
            </w:rPr>
          </w:pPr>
          <w:r>
            <w:fldChar w:fldCharType="begin"/>
          </w:r>
          <w:r>
            <w:instrText xml:space="preserve"> HYPERLINK \l "_Toc32141" </w:instrText>
          </w:r>
          <w:r>
            <w:fldChar w:fldCharType="separate"/>
          </w:r>
          <w:r>
            <w:rPr>
              <w:rFonts w:hint="eastAsia" w:ascii="Times New Roman"/>
              <w:kern w:val="2"/>
              <w:szCs w:val="21"/>
            </w:rPr>
            <w:t>4.1 病因病机</w:t>
          </w:r>
          <w:r>
            <w:rPr>
              <w:rFonts w:hint="eastAsia" w:ascii="Times New Roman"/>
              <w:kern w:val="2"/>
              <w:szCs w:val="21"/>
            </w:rPr>
            <w:tab/>
          </w:r>
          <w:r>
            <w:fldChar w:fldCharType="begin"/>
          </w:r>
          <w:r>
            <w:instrText xml:space="preserve"> PAGEREF _Toc32141 \h </w:instrText>
          </w:r>
          <w:r>
            <w:fldChar w:fldCharType="separate"/>
          </w:r>
          <w:r>
            <w:t>5</w:t>
          </w:r>
          <w:r>
            <w:fldChar w:fldCharType="end"/>
          </w:r>
          <w:r>
            <w:fldChar w:fldCharType="end"/>
          </w:r>
        </w:p>
        <w:p w14:paraId="265D616C">
          <w:pPr>
            <w:pStyle w:val="15"/>
            <w:tabs>
              <w:tab w:val="right" w:leader="dot" w:pos="8312"/>
              <w:tab w:val="clear" w:pos="8296"/>
            </w:tabs>
            <w:ind w:left="851" w:hanging="479"/>
            <w:rPr>
              <w:rFonts w:hint="eastAsia"/>
            </w:rPr>
          </w:pPr>
          <w:r>
            <w:fldChar w:fldCharType="begin"/>
          </w:r>
          <w:r>
            <w:instrText xml:space="preserve"> HYPERLINK \l "_Toc14034" </w:instrText>
          </w:r>
          <w:r>
            <w:fldChar w:fldCharType="separate"/>
          </w:r>
          <w:r>
            <w:rPr>
              <w:rFonts w:hint="eastAsia" w:ascii="Times New Roman"/>
              <w:kern w:val="2"/>
              <w:szCs w:val="21"/>
            </w:rPr>
            <w:t>4.2 诊断标准</w:t>
          </w:r>
          <w:r>
            <w:rPr>
              <w:rFonts w:hint="eastAsia" w:ascii="Times New Roman"/>
              <w:kern w:val="2"/>
              <w:szCs w:val="21"/>
            </w:rPr>
            <w:tab/>
          </w:r>
          <w:r>
            <w:fldChar w:fldCharType="begin"/>
          </w:r>
          <w:r>
            <w:instrText xml:space="preserve"> PAGEREF _Toc14034 \h </w:instrText>
          </w:r>
          <w:r>
            <w:fldChar w:fldCharType="separate"/>
          </w:r>
          <w:r>
            <w:t>5</w:t>
          </w:r>
          <w:r>
            <w:fldChar w:fldCharType="end"/>
          </w:r>
          <w:r>
            <w:fldChar w:fldCharType="end"/>
          </w:r>
        </w:p>
        <w:p w14:paraId="676F403A">
          <w:pPr>
            <w:pStyle w:val="14"/>
            <w:tabs>
              <w:tab w:val="right" w:leader="dot" w:pos="8312"/>
            </w:tabs>
          </w:pPr>
          <w:r>
            <w:fldChar w:fldCharType="begin"/>
          </w:r>
          <w:r>
            <w:instrText xml:space="preserve"> HYPERLINK \l "_Toc25445" </w:instrText>
          </w:r>
          <w:r>
            <w:fldChar w:fldCharType="separate"/>
          </w:r>
          <w:r>
            <w:rPr>
              <w:szCs w:val="21"/>
            </w:rPr>
            <w:t>5. 疗效评价</w:t>
          </w:r>
          <w:r>
            <w:tab/>
          </w:r>
          <w:r>
            <w:fldChar w:fldCharType="begin"/>
          </w:r>
          <w:r>
            <w:instrText xml:space="preserve"> PAGEREF _Toc25445 \h </w:instrText>
          </w:r>
          <w:r>
            <w:fldChar w:fldCharType="separate"/>
          </w:r>
          <w:r>
            <w:t>6</w:t>
          </w:r>
          <w:r>
            <w:fldChar w:fldCharType="end"/>
          </w:r>
          <w:r>
            <w:fldChar w:fldCharType="end"/>
          </w:r>
        </w:p>
        <w:p w14:paraId="31FFE2AA">
          <w:pPr>
            <w:pStyle w:val="15"/>
            <w:tabs>
              <w:tab w:val="right" w:leader="dot" w:pos="8312"/>
              <w:tab w:val="clear" w:pos="8296"/>
            </w:tabs>
            <w:ind w:left="851" w:hanging="479"/>
            <w:rPr>
              <w:rFonts w:hint="eastAsia"/>
            </w:rPr>
          </w:pPr>
          <w:r>
            <w:fldChar w:fldCharType="begin"/>
          </w:r>
          <w:r>
            <w:instrText xml:space="preserve"> HYPERLINK \l "_Toc25014" </w:instrText>
          </w:r>
          <w:r>
            <w:fldChar w:fldCharType="separate"/>
          </w:r>
          <w:r>
            <w:rPr>
              <w:rFonts w:ascii="Times New Roman"/>
              <w:kern w:val="2"/>
              <w:szCs w:val="22"/>
            </w:rPr>
            <w:t>5.</w:t>
          </w:r>
          <w:r>
            <w:rPr>
              <w:rFonts w:hint="eastAsia" w:ascii="Times New Roman"/>
              <w:kern w:val="2"/>
              <w:szCs w:val="22"/>
            </w:rPr>
            <w:t>1</w:t>
          </w:r>
          <w:r>
            <w:rPr>
              <w:rFonts w:ascii="Times New Roman"/>
              <w:kern w:val="2"/>
              <w:szCs w:val="22"/>
            </w:rPr>
            <w:t xml:space="preserve"> 中医</w:t>
          </w:r>
          <w:r>
            <w:rPr>
              <w:rFonts w:hint="eastAsia" w:ascii="Times New Roman"/>
              <w:kern w:val="2"/>
              <w:szCs w:val="22"/>
            </w:rPr>
            <w:t>证候</w:t>
          </w:r>
          <w:r>
            <w:rPr>
              <w:rFonts w:ascii="Times New Roman"/>
              <w:kern w:val="2"/>
              <w:szCs w:val="22"/>
            </w:rPr>
            <w:t>疗效评价指标</w:t>
          </w:r>
          <w:r>
            <w:rPr>
              <w:rFonts w:ascii="Times New Roman"/>
              <w:kern w:val="2"/>
              <w:szCs w:val="22"/>
            </w:rPr>
            <w:tab/>
          </w:r>
          <w:r>
            <w:fldChar w:fldCharType="begin"/>
          </w:r>
          <w:r>
            <w:instrText xml:space="preserve"> PAGEREF _Toc25014 \h </w:instrText>
          </w:r>
          <w:r>
            <w:fldChar w:fldCharType="separate"/>
          </w:r>
          <w:r>
            <w:t>6</w:t>
          </w:r>
          <w:r>
            <w:fldChar w:fldCharType="end"/>
          </w:r>
          <w:r>
            <w:fldChar w:fldCharType="end"/>
          </w:r>
        </w:p>
        <w:p w14:paraId="40A75552">
          <w:pPr>
            <w:pStyle w:val="15"/>
            <w:tabs>
              <w:tab w:val="right" w:leader="dot" w:pos="8312"/>
              <w:tab w:val="clear" w:pos="8296"/>
            </w:tabs>
            <w:ind w:left="851" w:hanging="479"/>
            <w:rPr>
              <w:rFonts w:hint="eastAsia"/>
            </w:rPr>
          </w:pPr>
          <w:r>
            <w:fldChar w:fldCharType="begin"/>
          </w:r>
          <w:r>
            <w:instrText xml:space="preserve"> HYPERLINK \l "_Toc29457" </w:instrText>
          </w:r>
          <w:r>
            <w:fldChar w:fldCharType="separate"/>
          </w:r>
          <w:r>
            <w:rPr>
              <w:rFonts w:hint="eastAsia" w:ascii="Times New Roman"/>
              <w:kern w:val="2"/>
              <w:szCs w:val="21"/>
            </w:rPr>
            <w:t>5.2 中医证候疗效评价原则</w:t>
          </w:r>
          <w:r>
            <w:rPr>
              <w:rFonts w:hint="eastAsia" w:ascii="Times New Roman"/>
              <w:kern w:val="2"/>
              <w:szCs w:val="21"/>
            </w:rPr>
            <w:tab/>
          </w:r>
          <w:r>
            <w:fldChar w:fldCharType="begin"/>
          </w:r>
          <w:r>
            <w:instrText xml:space="preserve"> PAGEREF _Toc29457 \h </w:instrText>
          </w:r>
          <w:r>
            <w:fldChar w:fldCharType="separate"/>
          </w:r>
          <w:r>
            <w:t>7</w:t>
          </w:r>
          <w:r>
            <w:fldChar w:fldCharType="end"/>
          </w:r>
          <w:r>
            <w:fldChar w:fldCharType="end"/>
          </w:r>
        </w:p>
        <w:p w14:paraId="6E810227">
          <w:pPr>
            <w:pStyle w:val="14"/>
            <w:tabs>
              <w:tab w:val="right" w:leader="dot" w:pos="8312"/>
            </w:tabs>
          </w:pPr>
          <w:r>
            <w:fldChar w:fldCharType="begin"/>
          </w:r>
          <w:r>
            <w:instrText xml:space="preserve"> HYPERLINK \l "_Toc4295" </w:instrText>
          </w:r>
          <w:r>
            <w:fldChar w:fldCharType="separate"/>
          </w:r>
          <w:r>
            <w:rPr>
              <w:rFonts w:hint="eastAsia" w:ascii="黑体" w:hAnsi="黑体" w:cs="黑体"/>
              <w:szCs w:val="32"/>
            </w:rPr>
            <w:t>附录 A</w:t>
          </w:r>
          <w:r>
            <w:tab/>
          </w:r>
          <w:r>
            <w:fldChar w:fldCharType="begin"/>
          </w:r>
          <w:r>
            <w:instrText xml:space="preserve"> PAGEREF _Toc4295 \h </w:instrText>
          </w:r>
          <w:r>
            <w:fldChar w:fldCharType="separate"/>
          </w:r>
          <w:r>
            <w:t>8</w:t>
          </w:r>
          <w:r>
            <w:fldChar w:fldCharType="end"/>
          </w:r>
          <w:r>
            <w:fldChar w:fldCharType="end"/>
          </w:r>
        </w:p>
        <w:p w14:paraId="663C8A6D">
          <w:pPr>
            <w:pStyle w:val="14"/>
            <w:tabs>
              <w:tab w:val="right" w:leader="dot" w:pos="8312"/>
            </w:tabs>
          </w:pPr>
          <w:r>
            <w:fldChar w:fldCharType="begin"/>
          </w:r>
          <w:r>
            <w:instrText xml:space="preserve"> HYPERLINK \l "_Toc7747" </w:instrText>
          </w:r>
          <w:r>
            <w:fldChar w:fldCharType="separate"/>
          </w:r>
          <w:r>
            <w:rPr>
              <w:rFonts w:hint="eastAsia" w:ascii="黑体" w:hAnsi="黑体" w:cs="黑体"/>
              <w:szCs w:val="32"/>
            </w:rPr>
            <w:t>附录 B</w:t>
          </w:r>
          <w:r>
            <w:tab/>
          </w:r>
          <w:r>
            <w:fldChar w:fldCharType="begin"/>
          </w:r>
          <w:r>
            <w:instrText xml:space="preserve"> PAGEREF _Toc7747 \h </w:instrText>
          </w:r>
          <w:r>
            <w:fldChar w:fldCharType="separate"/>
          </w:r>
          <w:r>
            <w:t>9</w:t>
          </w:r>
          <w:r>
            <w:fldChar w:fldCharType="end"/>
          </w:r>
          <w:r>
            <w:fldChar w:fldCharType="end"/>
          </w:r>
        </w:p>
        <w:p w14:paraId="3B9765F8">
          <w:pPr>
            <w:pStyle w:val="14"/>
            <w:tabs>
              <w:tab w:val="right" w:leader="dot" w:pos="8312"/>
            </w:tabs>
          </w:pPr>
          <w:r>
            <w:fldChar w:fldCharType="begin"/>
          </w:r>
          <w:r>
            <w:instrText xml:space="preserve"> HYPERLINK \l "_Toc28198" </w:instrText>
          </w:r>
          <w:r>
            <w:fldChar w:fldCharType="separate"/>
          </w:r>
          <w:r>
            <w:rPr>
              <w:szCs w:val="21"/>
            </w:rPr>
            <w:t>参考文献</w:t>
          </w:r>
          <w:r>
            <w:tab/>
          </w:r>
          <w:r>
            <w:fldChar w:fldCharType="begin"/>
          </w:r>
          <w:r>
            <w:instrText xml:space="preserve"> PAGEREF _Toc28198 \h </w:instrText>
          </w:r>
          <w:r>
            <w:fldChar w:fldCharType="separate"/>
          </w:r>
          <w:r>
            <w:t>10</w:t>
          </w:r>
          <w:r>
            <w:fldChar w:fldCharType="end"/>
          </w:r>
          <w:r>
            <w:fldChar w:fldCharType="end"/>
          </w:r>
        </w:p>
        <w:p w14:paraId="3A2FA3ED">
          <w:pPr>
            <w:spacing w:line="360" w:lineRule="exact"/>
            <w:rPr>
              <w:rFonts w:hint="eastAsia"/>
              <w:b/>
              <w:sz w:val="21"/>
              <w:szCs w:val="21"/>
            </w:rPr>
          </w:pPr>
          <w:r>
            <w:rPr>
              <w:rFonts w:hint="eastAsia"/>
              <w:szCs w:val="21"/>
            </w:rPr>
            <w:fldChar w:fldCharType="end"/>
          </w:r>
        </w:p>
      </w:sdtContent>
    </w:sdt>
    <w:p w14:paraId="50B083DA">
      <w:pPr>
        <w:pStyle w:val="46"/>
        <w:rPr>
          <w:rFonts w:hint="eastAsia" w:cs="宋体"/>
          <w:sz w:val="21"/>
          <w:szCs w:val="21"/>
        </w:rPr>
      </w:pPr>
    </w:p>
    <w:p w14:paraId="1EBF2A59">
      <w:pPr>
        <w:pStyle w:val="46"/>
        <w:rPr>
          <w:rFonts w:hint="eastAsia" w:cs="宋体"/>
          <w:sz w:val="21"/>
          <w:szCs w:val="21"/>
        </w:rPr>
      </w:pPr>
    </w:p>
    <w:p w14:paraId="26C85E3E">
      <w:pPr>
        <w:pStyle w:val="46"/>
        <w:rPr>
          <w:rFonts w:hint="eastAsia"/>
        </w:rPr>
      </w:pPr>
    </w:p>
    <w:p w14:paraId="6FD4360E">
      <w:pPr>
        <w:pStyle w:val="46"/>
        <w:rPr>
          <w:rFonts w:hint="eastAsia"/>
        </w:rPr>
      </w:pPr>
    </w:p>
    <w:p w14:paraId="3B2AA681">
      <w:pPr>
        <w:pStyle w:val="46"/>
        <w:rPr>
          <w:rFonts w:hint="eastAsia"/>
        </w:rPr>
      </w:pPr>
    </w:p>
    <w:p w14:paraId="6E428099">
      <w:pPr>
        <w:pStyle w:val="46"/>
        <w:rPr>
          <w:rFonts w:hint="eastAsia"/>
        </w:rPr>
      </w:pPr>
    </w:p>
    <w:p w14:paraId="084C5057">
      <w:pPr>
        <w:pStyle w:val="46"/>
        <w:rPr>
          <w:rFonts w:hint="eastAsia"/>
        </w:rPr>
      </w:pPr>
    </w:p>
    <w:p w14:paraId="72B2DCAA">
      <w:pPr>
        <w:pStyle w:val="46"/>
        <w:rPr>
          <w:rFonts w:hint="eastAsia"/>
        </w:rPr>
      </w:pPr>
    </w:p>
    <w:p w14:paraId="52C85566">
      <w:pPr>
        <w:pStyle w:val="46"/>
        <w:rPr>
          <w:rFonts w:hint="eastAsia"/>
        </w:rPr>
      </w:pPr>
    </w:p>
    <w:p w14:paraId="6A811CC5">
      <w:pPr>
        <w:pStyle w:val="46"/>
        <w:rPr>
          <w:rFonts w:hint="eastAsia"/>
        </w:rPr>
      </w:pPr>
    </w:p>
    <w:p w14:paraId="76398EED">
      <w:pPr>
        <w:pStyle w:val="46"/>
        <w:rPr>
          <w:rFonts w:hint="eastAsia"/>
        </w:rPr>
      </w:pPr>
    </w:p>
    <w:p w14:paraId="192D0061">
      <w:pPr>
        <w:pStyle w:val="46"/>
        <w:rPr>
          <w:rFonts w:hint="eastAsia"/>
        </w:rPr>
      </w:pPr>
    </w:p>
    <w:p w14:paraId="6E743A77">
      <w:pPr>
        <w:pStyle w:val="46"/>
        <w:rPr>
          <w:rFonts w:hint="eastAsia"/>
        </w:rPr>
      </w:pPr>
    </w:p>
    <w:p w14:paraId="7BF3CE07">
      <w:pPr>
        <w:pStyle w:val="46"/>
        <w:rPr>
          <w:rFonts w:hint="eastAsia"/>
        </w:rPr>
      </w:pPr>
    </w:p>
    <w:p w14:paraId="5333EAD6">
      <w:pPr>
        <w:pStyle w:val="46"/>
        <w:rPr>
          <w:rFonts w:hint="eastAsia"/>
        </w:rPr>
      </w:pPr>
    </w:p>
    <w:p w14:paraId="09C4FD2C">
      <w:pPr>
        <w:pStyle w:val="46"/>
        <w:rPr>
          <w:rFonts w:hint="eastAsia"/>
        </w:rPr>
      </w:pPr>
    </w:p>
    <w:p w14:paraId="653123E6">
      <w:pPr>
        <w:pStyle w:val="46"/>
        <w:rPr>
          <w:rFonts w:hint="eastAsia"/>
        </w:rPr>
      </w:pPr>
    </w:p>
    <w:p w14:paraId="293B211F">
      <w:pPr>
        <w:pStyle w:val="46"/>
        <w:rPr>
          <w:rFonts w:hint="eastAsia"/>
        </w:rPr>
      </w:pPr>
    </w:p>
    <w:p w14:paraId="5C7271AF">
      <w:pPr>
        <w:pStyle w:val="46"/>
        <w:rPr>
          <w:rFonts w:hint="eastAsia"/>
        </w:rPr>
      </w:pPr>
    </w:p>
    <w:p w14:paraId="2D803518">
      <w:pPr>
        <w:pStyle w:val="46"/>
        <w:rPr>
          <w:rFonts w:hint="eastAsia"/>
        </w:rPr>
      </w:pPr>
    </w:p>
    <w:p w14:paraId="2A81B07D">
      <w:pPr>
        <w:pStyle w:val="46"/>
        <w:rPr>
          <w:rFonts w:hint="eastAsia"/>
        </w:rPr>
      </w:pPr>
    </w:p>
    <w:p w14:paraId="4C5C6BEC">
      <w:pPr>
        <w:pStyle w:val="46"/>
        <w:rPr>
          <w:rFonts w:hint="eastAsia"/>
        </w:rPr>
      </w:pPr>
    </w:p>
    <w:p w14:paraId="10A525A3">
      <w:pPr>
        <w:pStyle w:val="46"/>
        <w:rPr>
          <w:rFonts w:hint="eastAsia"/>
        </w:rPr>
      </w:pPr>
    </w:p>
    <w:p w14:paraId="2AA19D15">
      <w:pPr>
        <w:pStyle w:val="46"/>
        <w:rPr>
          <w:rFonts w:hint="eastAsia"/>
        </w:rPr>
      </w:pPr>
    </w:p>
    <w:p w14:paraId="1513F151">
      <w:pPr>
        <w:pStyle w:val="46"/>
        <w:rPr>
          <w:rFonts w:hint="eastAsia"/>
        </w:rPr>
      </w:pPr>
    </w:p>
    <w:p w14:paraId="391D7D3A">
      <w:pPr>
        <w:pStyle w:val="46"/>
        <w:ind w:firstLine="0"/>
        <w:rPr>
          <w:rFonts w:hint="eastAsia"/>
        </w:rPr>
      </w:pPr>
    </w:p>
    <w:bookmarkEnd w:id="1"/>
    <w:p w14:paraId="3B59FAE1">
      <w:pPr>
        <w:pStyle w:val="39"/>
        <w:spacing w:before="0" w:after="0" w:line="360" w:lineRule="exact"/>
      </w:pPr>
      <w:bookmarkStart w:id="2" w:name="_Toc19927"/>
      <w:bookmarkStart w:id="3" w:name="_Toc183607131"/>
      <w:bookmarkStart w:id="4" w:name="_Toc184384520"/>
      <w:r>
        <w:rPr>
          <w:rFonts w:ascii="Times New Roman"/>
        </w:rPr>
        <w:t>前  言</w:t>
      </w:r>
      <w:bookmarkEnd w:id="2"/>
    </w:p>
    <w:p w14:paraId="05FA574B">
      <w:pPr>
        <w:rPr>
          <w:rFonts w:hint="eastAsia" w:ascii="Times New Roman"/>
          <w:sz w:val="32"/>
          <w:szCs w:val="32"/>
        </w:rPr>
      </w:pPr>
    </w:p>
    <w:p w14:paraId="6FF38BA5">
      <w:pPr>
        <w:spacing w:line="360" w:lineRule="auto"/>
        <w:ind w:firstLine="420" w:firstLineChars="200"/>
        <w:rPr>
          <w:rFonts w:ascii="Times New Roman" w:hAnsi="Times New Roman" w:cs="Times New Roman"/>
          <w:sz w:val="21"/>
          <w:szCs w:val="21"/>
        </w:rPr>
      </w:pPr>
      <w:r>
        <w:rPr>
          <w:rFonts w:ascii="Times New Roman" w:hAnsi="Times New Roman" w:cs="Times New Roman"/>
          <w:sz w:val="21"/>
          <w:szCs w:val="21"/>
        </w:rPr>
        <w:t>本</w:t>
      </w:r>
      <w:r>
        <w:rPr>
          <w:rFonts w:hint="eastAsia" w:ascii="Times New Roman" w:hAnsi="Times New Roman" w:cs="Times New Roman"/>
          <w:sz w:val="21"/>
          <w:szCs w:val="21"/>
        </w:rPr>
        <w:t>文件参照GB/T1.1—2020《标准化工作导则 第1部分：标准化文件的结构和起草规则》的规定起草。</w:t>
      </w:r>
    </w:p>
    <w:p w14:paraId="6D412A01">
      <w:pPr>
        <w:spacing w:line="360" w:lineRule="auto"/>
        <w:ind w:firstLine="420" w:firstLineChars="200"/>
        <w:rPr>
          <w:rFonts w:ascii="Times New Roman" w:hAnsi="Times New Roman" w:cs="Times New Roman"/>
          <w:sz w:val="21"/>
          <w:szCs w:val="21"/>
        </w:rPr>
      </w:pPr>
      <w:r>
        <w:rPr>
          <w:rFonts w:ascii="Times New Roman" w:hAnsi="Times New Roman" w:cs="Times New Roman"/>
          <w:sz w:val="21"/>
          <w:szCs w:val="21"/>
        </w:rPr>
        <w:t>请注意本文件的某些内容可能涉及专利。本文件的发布机构不承担识别专利的责任。</w:t>
      </w:r>
    </w:p>
    <w:p w14:paraId="77F56C4F">
      <w:pPr>
        <w:spacing w:line="360" w:lineRule="auto"/>
        <w:ind w:firstLine="420" w:firstLineChars="200"/>
        <w:rPr>
          <w:rFonts w:ascii="Times New Roman" w:hAnsi="Times New Roman" w:cs="Times New Roman"/>
          <w:sz w:val="21"/>
          <w:szCs w:val="21"/>
        </w:rPr>
      </w:pPr>
      <w:r>
        <w:rPr>
          <w:rFonts w:ascii="Times New Roman" w:hAnsi="Times New Roman" w:cs="Times New Roman"/>
          <w:sz w:val="21"/>
          <w:szCs w:val="21"/>
        </w:rPr>
        <w:t>本</w:t>
      </w:r>
      <w:r>
        <w:rPr>
          <w:rFonts w:hint="eastAsia" w:ascii="Times New Roman" w:hAnsi="Times New Roman" w:cs="Times New Roman"/>
          <w:sz w:val="21"/>
          <w:szCs w:val="21"/>
        </w:rPr>
        <w:t>文件</w:t>
      </w:r>
      <w:r>
        <w:rPr>
          <w:rFonts w:ascii="Times New Roman" w:hAnsi="Times New Roman" w:cs="Times New Roman"/>
          <w:sz w:val="21"/>
          <w:szCs w:val="21"/>
        </w:rPr>
        <w:t>由中国中医科学院西苑医院提出。</w:t>
      </w:r>
    </w:p>
    <w:p w14:paraId="1D490DF5">
      <w:pPr>
        <w:pStyle w:val="32"/>
        <w:spacing w:line="360" w:lineRule="auto"/>
        <w:ind w:firstLine="420"/>
        <w:rPr>
          <w:rFonts w:ascii="Times New Roman"/>
        </w:rPr>
      </w:pPr>
      <w:r>
        <w:rPr>
          <w:rFonts w:ascii="Times New Roman"/>
        </w:rPr>
        <w:t>本文件由中华中医药学会归口。</w:t>
      </w:r>
    </w:p>
    <w:p w14:paraId="16A94234">
      <w:pPr>
        <w:pStyle w:val="32"/>
        <w:spacing w:line="360" w:lineRule="auto"/>
        <w:ind w:firstLine="420"/>
        <w:rPr>
          <w:rFonts w:ascii="Times New Roman"/>
        </w:rPr>
      </w:pPr>
      <w:r>
        <w:rPr>
          <w:rFonts w:ascii="Times New Roman"/>
        </w:rPr>
        <w:t>本文件起草单位：中国中医科学院西苑医院、</w:t>
      </w:r>
      <w:r>
        <w:rPr>
          <w:rFonts w:hint="eastAsia" w:ascii="Times New Roman"/>
        </w:rPr>
        <w:t>北京大学、</w:t>
      </w:r>
      <w:r>
        <w:rPr>
          <w:rFonts w:ascii="Times New Roman"/>
        </w:rPr>
        <w:t>苏州市中医医院</w:t>
      </w:r>
      <w:r>
        <w:rPr>
          <w:rFonts w:hint="eastAsia" w:ascii="Times New Roman"/>
        </w:rPr>
        <w:t>、</w:t>
      </w:r>
      <w:r>
        <w:rPr>
          <w:rFonts w:ascii="Times New Roman"/>
        </w:rPr>
        <w:t>天津中医药大学、</w:t>
      </w:r>
      <w:r>
        <w:rPr>
          <w:rFonts w:hint="eastAsia" w:ascii="Times New Roman"/>
        </w:rPr>
        <w:t>河南中医药大学第一附属医院、南京中医药大学、北京中医药大学、上海中医药大学附属曙光医院、</w:t>
      </w:r>
      <w:r>
        <w:rPr>
          <w:rFonts w:hint="eastAsia" w:ascii="Times New Roman"/>
          <w:lang w:val="en-US" w:eastAsia="zh-CN"/>
        </w:rPr>
        <w:t>首都医科大学附属</w:t>
      </w:r>
      <w:r>
        <w:rPr>
          <w:rFonts w:hint="eastAsia" w:ascii="Times New Roman"/>
        </w:rPr>
        <w:t>北京中医医院</w:t>
      </w:r>
    </w:p>
    <w:p w14:paraId="765D8254">
      <w:pPr>
        <w:spacing w:line="360" w:lineRule="auto"/>
        <w:ind w:firstLine="420" w:firstLineChars="200"/>
        <w:rPr>
          <w:rFonts w:hint="eastAsia" w:ascii="Times New Roman"/>
        </w:rPr>
      </w:pPr>
      <w:r>
        <w:rPr>
          <w:rFonts w:ascii="Times New Roman" w:hAnsi="Times New Roman" w:cs="Times New Roman"/>
          <w:sz w:val="21"/>
          <w:szCs w:val="21"/>
        </w:rPr>
        <w:t>主要起草单位：中国中医科学院西苑医院</w:t>
      </w:r>
    </w:p>
    <w:p w14:paraId="7C5DCE9E">
      <w:pPr>
        <w:pStyle w:val="32"/>
        <w:spacing w:line="360" w:lineRule="auto"/>
        <w:ind w:firstLine="420"/>
        <w:rPr>
          <w:rFonts w:ascii="Times New Roman"/>
        </w:rPr>
      </w:pPr>
      <w:r>
        <w:rPr>
          <w:rFonts w:ascii="Times New Roman"/>
        </w:rPr>
        <w:t>本文件主要起草人：高蕊</w:t>
      </w:r>
    </w:p>
    <w:p w14:paraId="35CC7836">
      <w:pPr>
        <w:pStyle w:val="32"/>
        <w:spacing w:line="360" w:lineRule="auto"/>
        <w:ind w:firstLine="420"/>
        <w:rPr>
          <w:rFonts w:ascii="Times New Roman"/>
          <w:szCs w:val="21"/>
        </w:rPr>
      </w:pPr>
      <w:r>
        <w:rPr>
          <w:rFonts w:ascii="Times New Roman"/>
        </w:rPr>
        <w:t>本文件</w:t>
      </w:r>
      <w:r>
        <w:rPr>
          <w:rFonts w:hint="eastAsia" w:ascii="Times New Roman"/>
          <w:lang w:val="en-US" w:eastAsia="zh-CN"/>
        </w:rPr>
        <w:t>其他</w:t>
      </w:r>
      <w:r>
        <w:rPr>
          <w:rFonts w:ascii="Times New Roman"/>
        </w:rPr>
        <w:t>起草人：刘静、</w:t>
      </w:r>
      <w:r>
        <w:rPr>
          <w:rFonts w:hint="eastAsia" w:ascii="Times New Roman"/>
        </w:rPr>
        <w:t>周晓华、王萍、朱惠萍、赵迎盼、</w:t>
      </w:r>
      <w:r>
        <w:rPr>
          <w:rFonts w:ascii="Times New Roman"/>
        </w:rPr>
        <w:t>张俊华、</w:t>
      </w:r>
      <w:r>
        <w:rPr>
          <w:rFonts w:hint="eastAsia" w:ascii="Times New Roman"/>
        </w:rPr>
        <w:t>王天芳、符宇、申春悌、元唯安、</w:t>
      </w:r>
      <w:r>
        <w:rPr>
          <w:rFonts w:ascii="Times New Roman"/>
        </w:rPr>
        <w:t>黄玉宇、</w:t>
      </w:r>
      <w:r>
        <w:rPr>
          <w:rFonts w:hint="eastAsia" w:ascii="Times New Roman"/>
        </w:rPr>
        <w:t>韩赟、</w:t>
      </w:r>
      <w:r>
        <w:rPr>
          <w:rFonts w:ascii="Times New Roman"/>
        </w:rPr>
        <w:t>秦媛媛、赵飞燕、张颢龄、</w:t>
      </w:r>
      <w:r>
        <w:rPr>
          <w:rFonts w:hint="eastAsia" w:ascii="Times New Roman"/>
        </w:rPr>
        <w:t>高娅婷、</w:t>
      </w:r>
      <w:r>
        <w:rPr>
          <w:rFonts w:ascii="Times New Roman"/>
        </w:rPr>
        <w:t>王桂杰</w:t>
      </w:r>
      <w:r>
        <w:rPr>
          <w:rFonts w:hint="eastAsia" w:ascii="Times New Roman"/>
        </w:rPr>
        <w:t>、李博、张俪、</w:t>
      </w:r>
      <w:r>
        <w:rPr>
          <w:rFonts w:ascii="Times New Roman"/>
        </w:rPr>
        <w:t>王建新、</w:t>
      </w:r>
      <w:r>
        <w:rPr>
          <w:rFonts w:hint="eastAsia" w:ascii="Times New Roman"/>
        </w:rPr>
        <w:t>任毅铭</w:t>
      </w:r>
    </w:p>
    <w:p w14:paraId="002C905B">
      <w:pPr>
        <w:rPr>
          <w:rFonts w:hint="eastAsia" w:ascii="Times New Roman"/>
        </w:rPr>
      </w:pPr>
    </w:p>
    <w:p w14:paraId="48AA9347">
      <w:pPr>
        <w:rPr>
          <w:rFonts w:hint="eastAsia" w:ascii="Times New Roman"/>
        </w:rPr>
      </w:pPr>
    </w:p>
    <w:p w14:paraId="52E0E8AE">
      <w:pPr>
        <w:rPr>
          <w:rFonts w:hint="eastAsia" w:ascii="Times New Roman"/>
        </w:rPr>
      </w:pPr>
    </w:p>
    <w:p w14:paraId="194B33EE">
      <w:pPr>
        <w:rPr>
          <w:rFonts w:hint="eastAsia" w:ascii="Times New Roman"/>
        </w:rPr>
      </w:pPr>
    </w:p>
    <w:p w14:paraId="7513E755">
      <w:pPr>
        <w:rPr>
          <w:rFonts w:hint="eastAsia" w:ascii="Times New Roman"/>
        </w:rPr>
      </w:pPr>
    </w:p>
    <w:p w14:paraId="179E98B9">
      <w:pPr>
        <w:rPr>
          <w:rFonts w:hint="eastAsia" w:ascii="Times New Roman"/>
        </w:rPr>
      </w:pPr>
    </w:p>
    <w:p w14:paraId="3A55B9F7">
      <w:pPr>
        <w:rPr>
          <w:rFonts w:hint="eastAsia" w:ascii="Times New Roman"/>
        </w:rPr>
      </w:pPr>
    </w:p>
    <w:p w14:paraId="05CBFA85">
      <w:pPr>
        <w:rPr>
          <w:rFonts w:hint="eastAsia" w:ascii="Times New Roman"/>
        </w:rPr>
      </w:pPr>
    </w:p>
    <w:p w14:paraId="7D568639">
      <w:pPr>
        <w:rPr>
          <w:rFonts w:hint="eastAsia" w:ascii="Times New Roman"/>
        </w:rPr>
      </w:pPr>
    </w:p>
    <w:p w14:paraId="7B68249A">
      <w:pPr>
        <w:rPr>
          <w:rFonts w:hint="eastAsia" w:ascii="Times New Roman"/>
        </w:rPr>
      </w:pPr>
    </w:p>
    <w:p w14:paraId="6551175D">
      <w:pPr>
        <w:rPr>
          <w:rFonts w:hint="eastAsia" w:ascii="Times New Roman"/>
        </w:rPr>
      </w:pPr>
    </w:p>
    <w:p w14:paraId="72FA2885">
      <w:pPr>
        <w:rPr>
          <w:rFonts w:hint="eastAsia" w:ascii="Times New Roman"/>
        </w:rPr>
      </w:pPr>
    </w:p>
    <w:p w14:paraId="01F15913">
      <w:pPr>
        <w:rPr>
          <w:rFonts w:hint="eastAsia" w:ascii="Times New Roman"/>
        </w:rPr>
      </w:pPr>
    </w:p>
    <w:p w14:paraId="22F2F0F7">
      <w:pPr>
        <w:rPr>
          <w:rFonts w:hint="eastAsia" w:ascii="Times New Roman"/>
        </w:rPr>
      </w:pPr>
    </w:p>
    <w:p w14:paraId="5D12FD03">
      <w:pPr>
        <w:rPr>
          <w:rFonts w:hint="eastAsia" w:ascii="Times New Roman"/>
        </w:rPr>
      </w:pPr>
    </w:p>
    <w:p w14:paraId="3C813F4C">
      <w:pPr>
        <w:rPr>
          <w:rFonts w:hint="eastAsia" w:ascii="Times New Roman"/>
        </w:rPr>
      </w:pPr>
    </w:p>
    <w:p w14:paraId="45660CF8">
      <w:pPr>
        <w:rPr>
          <w:rFonts w:hint="eastAsia" w:ascii="Times New Roman"/>
        </w:rPr>
      </w:pPr>
    </w:p>
    <w:p w14:paraId="770C4F12">
      <w:pPr>
        <w:rPr>
          <w:rFonts w:hint="eastAsia" w:ascii="Times New Roman"/>
        </w:rPr>
      </w:pPr>
    </w:p>
    <w:p w14:paraId="2E426299">
      <w:pPr>
        <w:rPr>
          <w:rFonts w:hint="eastAsia" w:ascii="Times New Roman"/>
        </w:rPr>
      </w:pPr>
    </w:p>
    <w:p w14:paraId="43CD4134">
      <w:pPr>
        <w:rPr>
          <w:rFonts w:hint="eastAsia" w:ascii="Times New Roman"/>
        </w:rPr>
      </w:pPr>
    </w:p>
    <w:p w14:paraId="344B3584">
      <w:pPr>
        <w:rPr>
          <w:rFonts w:hint="eastAsia" w:ascii="Times New Roman"/>
        </w:rPr>
      </w:pPr>
    </w:p>
    <w:p w14:paraId="4450E9B0">
      <w:pPr>
        <w:rPr>
          <w:rFonts w:hint="eastAsia" w:ascii="Times New Roman"/>
        </w:rPr>
      </w:pPr>
    </w:p>
    <w:p w14:paraId="6F21CB84">
      <w:pPr>
        <w:rPr>
          <w:rFonts w:hint="eastAsia" w:ascii="Times New Roman"/>
        </w:rPr>
      </w:pPr>
    </w:p>
    <w:p w14:paraId="7E898B33">
      <w:pPr>
        <w:rPr>
          <w:rFonts w:hint="eastAsia" w:ascii="Times New Roman"/>
        </w:rPr>
      </w:pPr>
    </w:p>
    <w:p w14:paraId="7DAE144A">
      <w:pPr>
        <w:rPr>
          <w:rFonts w:hint="eastAsia" w:ascii="Times New Roman"/>
        </w:rPr>
      </w:pPr>
    </w:p>
    <w:p w14:paraId="1A4D6953">
      <w:pPr>
        <w:rPr>
          <w:rFonts w:hint="eastAsia" w:ascii="Times New Roman"/>
        </w:rPr>
      </w:pPr>
    </w:p>
    <w:p w14:paraId="26CE542B">
      <w:pPr>
        <w:rPr>
          <w:rFonts w:hint="eastAsia" w:ascii="Times New Roman"/>
        </w:rPr>
      </w:pPr>
    </w:p>
    <w:p w14:paraId="547FC63E">
      <w:pPr>
        <w:rPr>
          <w:rFonts w:hint="eastAsia" w:ascii="Times New Roman"/>
        </w:rPr>
      </w:pPr>
    </w:p>
    <w:p w14:paraId="44E52372">
      <w:pPr>
        <w:jc w:val="center"/>
        <w:outlineLvl w:val="0"/>
        <w:rPr>
          <w:rFonts w:hint="eastAsia" w:ascii="黑体" w:hAnsi="黑体" w:eastAsia="黑体" w:cs="黑体"/>
          <w:sz w:val="32"/>
          <w:szCs w:val="32"/>
        </w:rPr>
      </w:pPr>
      <w:bookmarkStart w:id="5" w:name="_Toc5381"/>
      <w:r>
        <w:rPr>
          <w:rFonts w:hint="eastAsia" w:ascii="黑体" w:hAnsi="黑体" w:eastAsia="黑体" w:cs="黑体"/>
          <w:sz w:val="32"/>
          <w:szCs w:val="32"/>
        </w:rPr>
        <w:t>引  言</w:t>
      </w:r>
      <w:bookmarkEnd w:id="5"/>
    </w:p>
    <w:p w14:paraId="258DADF9">
      <w:pPr>
        <w:jc w:val="center"/>
        <w:rPr>
          <w:rFonts w:hint="eastAsia" w:ascii="黑体" w:hAnsi="黑体" w:eastAsia="黑体" w:cs="黑体"/>
          <w:sz w:val="32"/>
          <w:szCs w:val="32"/>
        </w:rPr>
      </w:pPr>
    </w:p>
    <w:p w14:paraId="4757EFF7">
      <w:pPr>
        <w:spacing w:line="360" w:lineRule="auto"/>
        <w:ind w:firstLine="420" w:firstLineChars="200"/>
        <w:rPr>
          <w:rFonts w:hint="eastAsia"/>
          <w:sz w:val="21"/>
          <w:szCs w:val="21"/>
        </w:rPr>
      </w:pPr>
      <w:r>
        <w:rPr>
          <w:rFonts w:hint="eastAsia"/>
          <w:sz w:val="21"/>
          <w:szCs w:val="21"/>
        </w:rPr>
        <w:t>本文件是一部指导和规范中医肝胃郁热证证候诊断的规范性文件。</w:t>
      </w:r>
    </w:p>
    <w:p w14:paraId="217782A1">
      <w:pPr>
        <w:spacing w:line="360" w:lineRule="auto"/>
        <w:ind w:firstLine="420" w:firstLineChars="200"/>
        <w:rPr>
          <w:rFonts w:hint="eastAsia"/>
          <w:sz w:val="21"/>
          <w:szCs w:val="21"/>
        </w:rPr>
      </w:pPr>
      <w:r>
        <w:rPr>
          <w:rFonts w:hint="eastAsia"/>
          <w:sz w:val="21"/>
          <w:szCs w:val="21"/>
        </w:rPr>
        <w:t>辨证论治是中医药学</w:t>
      </w:r>
      <w:r>
        <w:rPr>
          <w:rFonts w:hint="eastAsia"/>
          <w:sz w:val="21"/>
          <w:szCs w:val="21"/>
          <w:lang w:val="en-US" w:eastAsia="zh-CN"/>
        </w:rPr>
        <w:t>诊断</w:t>
      </w:r>
      <w:r>
        <w:rPr>
          <w:rFonts w:hint="eastAsia"/>
          <w:sz w:val="21"/>
          <w:szCs w:val="21"/>
        </w:rPr>
        <w:t>和治疗疾病的核心方法，</w:t>
      </w:r>
      <w:r>
        <w:rPr>
          <w:rFonts w:hint="eastAsia"/>
          <w:sz w:val="21"/>
          <w:szCs w:val="21"/>
          <w:lang w:val="en-US" w:eastAsia="zh-CN"/>
        </w:rPr>
        <w:t>因此</w:t>
      </w:r>
      <w:r>
        <w:rPr>
          <w:rFonts w:hint="eastAsia"/>
          <w:sz w:val="21"/>
          <w:szCs w:val="21"/>
        </w:rPr>
        <w:t>规范、客观且具备可操作性的中医证候诊断与疗效评价标准，是开展高质量中医药临床诊疗、科学研究及中药新药研发的前提与基石。肝主疏泄而条达气机，胃主受纳而和降浊气，二者升降相因、气血相调。若情志失调、饮食不节或外邪内侵，致肝气郁结、横逆犯胃、郁而化热，极易形成肝胃郁热证。肝胃郁热证作为临床常见的中医复合证候，广泛分布于功能性胃肠病、胃食管反流病、消化性溃疡、慢性肝胆疾患以及部分心身疾病、耳鼻喉科（如急性咽炎）等多系统疾病的发生发展与病机演变过程中。</w:t>
      </w:r>
    </w:p>
    <w:p w14:paraId="1C34971A">
      <w:pPr>
        <w:spacing w:line="360" w:lineRule="auto"/>
        <w:ind w:firstLine="420" w:firstLineChars="200"/>
        <w:rPr>
          <w:rFonts w:hint="eastAsia"/>
          <w:sz w:val="21"/>
          <w:szCs w:val="21"/>
        </w:rPr>
      </w:pPr>
      <w:r>
        <w:rPr>
          <w:rFonts w:hint="eastAsia"/>
          <w:sz w:val="21"/>
          <w:szCs w:val="21"/>
        </w:rPr>
        <w:t>长期以来，临床上对肝胃郁热证的诊断多依赖于医生的个人经验与主观判断，缺乏公认、统一的主/次症分级量化赋值规则及阈值标准；在疗效评价方面，亦缺乏兼顾核心主症改善与证候多维量化的高级别评价工具。诊断标准不统一、疗效指标不客观，严重制约了肝胃郁热证相关临床诊疗方案的推广普及、循证医学证据的高质量积累以及中药新药的规范化审评审批。</w:t>
      </w:r>
    </w:p>
    <w:p w14:paraId="48F476C0">
      <w:pPr>
        <w:spacing w:line="360" w:lineRule="auto"/>
        <w:ind w:firstLine="420" w:firstLineChars="200"/>
        <w:rPr>
          <w:rFonts w:hint="default" w:eastAsia="宋体"/>
          <w:sz w:val="21"/>
          <w:szCs w:val="21"/>
          <w:lang w:val="en-US" w:eastAsia="zh-CN"/>
        </w:rPr>
      </w:pPr>
      <w:r>
        <w:rPr>
          <w:rFonts w:hint="eastAsia"/>
          <w:sz w:val="21"/>
          <w:szCs w:val="21"/>
        </w:rPr>
        <w:t>为解决上述临床与科研关键瓶颈问题，本文件严格遵循现代标准化研制规范与循证医学方法，融合文献研究、两轮德尔菲专家问卷、前瞻性临床调研、</w:t>
      </w:r>
      <w:r>
        <w:rPr>
          <w:rFonts w:hint="eastAsia"/>
          <w:sz w:val="21"/>
          <w:szCs w:val="21"/>
          <w:lang w:val="en-US" w:eastAsia="zh-CN"/>
        </w:rPr>
        <w:t>内部验证</w:t>
      </w:r>
      <w:r>
        <w:rPr>
          <w:rFonts w:hint="eastAsia"/>
          <w:sz w:val="21"/>
          <w:szCs w:val="21"/>
        </w:rPr>
        <w:t>与同行专家共识论证，系统构建了肝胃郁热证的特征性主/次症分级量化赋分体系、量化诊断阈值模型以及兼顾临床重要差异的多维疗效评价方法。</w:t>
      </w:r>
      <w:r>
        <w:rPr>
          <w:rFonts w:hint="eastAsia"/>
          <w:sz w:val="21"/>
          <w:szCs w:val="21"/>
          <w:lang w:val="en-US" w:eastAsia="zh-CN"/>
        </w:rPr>
        <w:t>旨在统一肝胃郁热证的诊断标准，提升临床诊疗规范化水平；构建肝胃郁热证科学的疗效评价体系；服务新药研发与临床试验，赋能科研证据转化；促进中医药标准化与国际化传播。</w:t>
      </w:r>
    </w:p>
    <w:p w14:paraId="49E9868B">
      <w:pPr>
        <w:pStyle w:val="32"/>
        <w:spacing w:line="360" w:lineRule="auto"/>
        <w:ind w:firstLine="420"/>
        <w:rPr>
          <w:rFonts w:ascii="Times New Roman"/>
        </w:rPr>
      </w:pPr>
      <w:bookmarkStart w:id="6" w:name="_Toc436205034"/>
      <w:bookmarkStart w:id="7" w:name="_Toc510534526"/>
      <w:bookmarkStart w:id="8" w:name="_Toc509933847"/>
    </w:p>
    <w:p w14:paraId="1EDB6494">
      <w:pPr>
        <w:pStyle w:val="32"/>
        <w:spacing w:line="360" w:lineRule="auto"/>
        <w:ind w:firstLine="420"/>
        <w:rPr>
          <w:rFonts w:ascii="Times New Roman"/>
        </w:rPr>
      </w:pPr>
    </w:p>
    <w:p w14:paraId="61AE52B0">
      <w:pPr>
        <w:pStyle w:val="32"/>
        <w:spacing w:line="360" w:lineRule="auto"/>
        <w:ind w:firstLine="420"/>
        <w:rPr>
          <w:rFonts w:ascii="Times New Roman"/>
        </w:rPr>
      </w:pPr>
    </w:p>
    <w:p w14:paraId="77A70A5E">
      <w:pPr>
        <w:pStyle w:val="32"/>
        <w:spacing w:line="360" w:lineRule="auto"/>
        <w:ind w:firstLine="420"/>
        <w:rPr>
          <w:rFonts w:ascii="Times New Roman"/>
        </w:rPr>
      </w:pPr>
    </w:p>
    <w:p w14:paraId="5E45AF95">
      <w:pPr>
        <w:pStyle w:val="32"/>
        <w:spacing w:line="360" w:lineRule="auto"/>
        <w:ind w:firstLine="420"/>
        <w:rPr>
          <w:rFonts w:ascii="Times New Roman"/>
        </w:rPr>
      </w:pPr>
    </w:p>
    <w:p w14:paraId="326DD5A6">
      <w:pPr>
        <w:pStyle w:val="32"/>
        <w:spacing w:line="360" w:lineRule="auto"/>
        <w:ind w:firstLine="420"/>
        <w:rPr>
          <w:rFonts w:ascii="Times New Roman"/>
        </w:rPr>
      </w:pPr>
    </w:p>
    <w:p w14:paraId="3AAA1813">
      <w:pPr>
        <w:pStyle w:val="32"/>
        <w:spacing w:line="360" w:lineRule="auto"/>
        <w:ind w:firstLine="420"/>
        <w:rPr>
          <w:rFonts w:ascii="Times New Roman"/>
        </w:rPr>
      </w:pPr>
    </w:p>
    <w:p w14:paraId="2A6A516B">
      <w:pPr>
        <w:pStyle w:val="32"/>
        <w:spacing w:line="360" w:lineRule="auto"/>
        <w:ind w:firstLine="420"/>
        <w:rPr>
          <w:rFonts w:ascii="Times New Roman"/>
        </w:rPr>
      </w:pPr>
    </w:p>
    <w:p w14:paraId="66CC66D6">
      <w:pPr>
        <w:pStyle w:val="32"/>
        <w:spacing w:line="360" w:lineRule="auto"/>
        <w:ind w:firstLine="420"/>
        <w:rPr>
          <w:rFonts w:ascii="Times New Roman"/>
        </w:rPr>
      </w:pPr>
    </w:p>
    <w:p w14:paraId="442F7876">
      <w:pPr>
        <w:pStyle w:val="32"/>
        <w:spacing w:line="360" w:lineRule="auto"/>
        <w:ind w:firstLine="420"/>
        <w:rPr>
          <w:rFonts w:ascii="Times New Roman"/>
        </w:rPr>
      </w:pPr>
    </w:p>
    <w:p w14:paraId="59DB8F29">
      <w:pPr>
        <w:pStyle w:val="32"/>
        <w:spacing w:line="360" w:lineRule="auto"/>
        <w:ind w:firstLine="420"/>
        <w:rPr>
          <w:rFonts w:ascii="Times New Roman"/>
        </w:rPr>
      </w:pPr>
    </w:p>
    <w:p w14:paraId="08F1641E">
      <w:pPr>
        <w:pStyle w:val="32"/>
        <w:spacing w:line="360" w:lineRule="auto"/>
        <w:ind w:firstLine="420"/>
        <w:rPr>
          <w:rFonts w:ascii="Times New Roman"/>
        </w:rPr>
      </w:pPr>
    </w:p>
    <w:p w14:paraId="34244E5E">
      <w:pPr>
        <w:pStyle w:val="32"/>
        <w:spacing w:line="360" w:lineRule="auto"/>
        <w:ind w:firstLine="420"/>
        <w:rPr>
          <w:rFonts w:ascii="Times New Roman"/>
        </w:rPr>
      </w:pPr>
    </w:p>
    <w:p w14:paraId="5B3ABA54">
      <w:pPr>
        <w:pStyle w:val="32"/>
        <w:spacing w:line="360" w:lineRule="auto"/>
        <w:ind w:firstLine="420"/>
        <w:rPr>
          <w:rFonts w:ascii="Times New Roman"/>
        </w:rPr>
      </w:pPr>
    </w:p>
    <w:p w14:paraId="39486B7E">
      <w:pPr>
        <w:pStyle w:val="32"/>
        <w:spacing w:line="360" w:lineRule="auto"/>
        <w:ind w:firstLine="420"/>
        <w:rPr>
          <w:rFonts w:ascii="Times New Roman"/>
        </w:rPr>
      </w:pPr>
    </w:p>
    <w:bookmarkEnd w:id="6"/>
    <w:bookmarkEnd w:id="7"/>
    <w:bookmarkEnd w:id="8"/>
    <w:p w14:paraId="557DDCC6">
      <w:pPr>
        <w:pStyle w:val="36"/>
        <w:spacing w:before="0" w:after="0" w:line="360" w:lineRule="exact"/>
        <w:ind w:right="1298" w:rightChars="541" w:firstLine="640"/>
        <w:outlineLvl w:val="9"/>
        <w:rPr>
          <w:rFonts w:hint="eastAsia"/>
        </w:rPr>
      </w:pPr>
      <w:bookmarkStart w:id="9" w:name="_Toc459704603"/>
      <w:bookmarkStart w:id="10" w:name="_Toc510534528"/>
      <w:bookmarkStart w:id="11" w:name="_Toc459720143"/>
      <w:bookmarkStart w:id="12" w:name="_Toc509933849"/>
      <w:bookmarkStart w:id="13" w:name="_Toc459724774"/>
      <w:r>
        <w:rPr>
          <w:rFonts w:hint="eastAsia" w:ascii="Times New Roman" w:hAnsi="Times New Roman"/>
        </w:rPr>
        <w:t>肝胃郁热证诊断与疗效评价规范</w:t>
      </w:r>
      <w:bookmarkEnd w:id="9"/>
      <w:bookmarkEnd w:id="10"/>
      <w:bookmarkEnd w:id="11"/>
      <w:bookmarkEnd w:id="12"/>
      <w:bookmarkEnd w:id="13"/>
    </w:p>
    <w:p w14:paraId="588B8B3E">
      <w:pPr>
        <w:pStyle w:val="31"/>
        <w:numPr>
          <w:ilvl w:val="0"/>
          <w:numId w:val="0"/>
        </w:numPr>
        <w:spacing w:before="240" w:beforeLines="100" w:after="240" w:afterLines="100"/>
        <w:outlineLvl w:val="0"/>
        <w:rPr>
          <w:rFonts w:ascii="Times New Roman" w:hAnsi="Times New Roman" w:cs="Times New Roman"/>
          <w:szCs w:val="21"/>
        </w:rPr>
      </w:pPr>
      <w:bookmarkStart w:id="14" w:name="_Toc10424"/>
      <w:r>
        <w:rPr>
          <w:rFonts w:ascii="Times New Roman" w:hAnsi="Times New Roman" w:cs="Times New Roman"/>
          <w:szCs w:val="21"/>
        </w:rPr>
        <w:t>1 范围</w:t>
      </w:r>
      <w:bookmarkEnd w:id="14"/>
    </w:p>
    <w:p w14:paraId="7C69B844">
      <w:pPr>
        <w:pStyle w:val="32"/>
        <w:spacing w:line="360" w:lineRule="exact"/>
        <w:ind w:firstLine="420"/>
        <w:rPr>
          <w:rFonts w:ascii="Times New Roman"/>
          <w:szCs w:val="21"/>
        </w:rPr>
      </w:pPr>
      <w:bookmarkStart w:id="15" w:name="_Toc459704604"/>
      <w:bookmarkStart w:id="16" w:name="_Toc459720144"/>
      <w:bookmarkStart w:id="17" w:name="_Toc459724775"/>
      <w:r>
        <w:rPr>
          <w:rFonts w:ascii="Times New Roman"/>
          <w:szCs w:val="21"/>
        </w:rPr>
        <w:t>本文件</w:t>
      </w:r>
      <w:r>
        <w:rPr>
          <w:rFonts w:hint="eastAsia" w:ascii="Arial" w:hAnsi="Arial" w:cs="Arial"/>
          <w:i w:val="0"/>
          <w:iCs w:val="0"/>
          <w:color w:val="000000"/>
          <w:kern w:val="0"/>
          <w:sz w:val="20"/>
          <w:szCs w:val="20"/>
          <w:u w:val="none"/>
          <w:lang w:val="en-US" w:eastAsia="zh-CN" w:bidi="ar"/>
        </w:rPr>
        <w:t>确立了肝胃郁热证</w:t>
      </w:r>
      <w:r>
        <w:rPr>
          <w:rFonts w:hint="default" w:ascii="Arial" w:hAnsi="Arial" w:eastAsia="宋体" w:cs="Arial"/>
          <w:i w:val="0"/>
          <w:iCs w:val="0"/>
          <w:color w:val="000000"/>
          <w:kern w:val="0"/>
          <w:sz w:val="20"/>
          <w:szCs w:val="20"/>
          <w:u w:val="none"/>
          <w:lang w:val="en-US" w:eastAsia="zh-CN" w:bidi="ar"/>
        </w:rPr>
        <w:t>诊断、疗效评价</w:t>
      </w:r>
      <w:r>
        <w:rPr>
          <w:rFonts w:hint="eastAsia" w:ascii="Arial" w:hAnsi="Arial" w:cs="Arial"/>
          <w:i w:val="0"/>
          <w:iCs w:val="0"/>
          <w:color w:val="000000"/>
          <w:kern w:val="0"/>
          <w:sz w:val="20"/>
          <w:szCs w:val="20"/>
          <w:u w:val="none"/>
          <w:lang w:val="en-US" w:eastAsia="zh-CN" w:bidi="ar"/>
        </w:rPr>
        <w:t>等</w:t>
      </w:r>
      <w:r>
        <w:rPr>
          <w:rFonts w:hint="default" w:ascii="Arial" w:hAnsi="Arial" w:eastAsia="宋体" w:cs="Arial"/>
          <w:i w:val="0"/>
          <w:iCs w:val="0"/>
          <w:color w:val="000000"/>
          <w:kern w:val="0"/>
          <w:sz w:val="20"/>
          <w:szCs w:val="20"/>
          <w:u w:val="none"/>
          <w:lang w:val="en-US" w:eastAsia="zh-CN" w:bidi="ar"/>
        </w:rPr>
        <w:t>内容</w:t>
      </w:r>
      <w:r>
        <w:rPr>
          <w:rFonts w:ascii="Times New Roman"/>
          <w:szCs w:val="21"/>
        </w:rPr>
        <w:t>。</w:t>
      </w:r>
    </w:p>
    <w:p w14:paraId="39D903E0">
      <w:pPr>
        <w:pStyle w:val="32"/>
        <w:spacing w:line="360" w:lineRule="exact"/>
        <w:ind w:firstLine="420"/>
        <w:rPr>
          <w:rFonts w:ascii="Times New Roman"/>
          <w:szCs w:val="21"/>
        </w:rPr>
      </w:pPr>
      <w:r>
        <w:rPr>
          <w:rFonts w:ascii="Times New Roman"/>
          <w:szCs w:val="21"/>
        </w:rPr>
        <w:t>本文件适用于中医及中西医结合临床诊疗、临床试验、中医药科研及教学等领域的肝胃郁热证诊断与临床疗效评价，供从事中医药及中西医结合临床、科研及相关专业人员使用。</w:t>
      </w:r>
    </w:p>
    <w:p w14:paraId="65B35CEF">
      <w:pPr>
        <w:pStyle w:val="31"/>
        <w:numPr>
          <w:ilvl w:val="0"/>
          <w:numId w:val="0"/>
        </w:numPr>
        <w:spacing w:before="240" w:beforeLines="100" w:after="240" w:afterLines="100"/>
        <w:outlineLvl w:val="0"/>
        <w:rPr>
          <w:rFonts w:ascii="Times New Roman" w:hAnsi="Times New Roman" w:cs="Times New Roman"/>
          <w:szCs w:val="21"/>
        </w:rPr>
      </w:pPr>
      <w:bookmarkStart w:id="18" w:name="_Toc509933850"/>
      <w:bookmarkStart w:id="19" w:name="_Toc2708"/>
      <w:bookmarkStart w:id="20" w:name="_Toc510534529"/>
      <w:r>
        <w:rPr>
          <w:rFonts w:ascii="Times New Roman" w:hAnsi="Times New Roman" w:cs="Times New Roman"/>
          <w:szCs w:val="21"/>
        </w:rPr>
        <w:t>2 规范性引用文件</w:t>
      </w:r>
      <w:bookmarkEnd w:id="15"/>
      <w:bookmarkEnd w:id="16"/>
      <w:bookmarkEnd w:id="17"/>
      <w:bookmarkEnd w:id="18"/>
      <w:bookmarkEnd w:id="19"/>
      <w:bookmarkEnd w:id="20"/>
    </w:p>
    <w:p w14:paraId="2D011A56">
      <w:pPr>
        <w:pStyle w:val="32"/>
        <w:tabs>
          <w:tab w:val="center" w:pos="4201"/>
          <w:tab w:val="right" w:leader="dot" w:pos="9298"/>
        </w:tabs>
        <w:spacing w:line="360" w:lineRule="auto"/>
        <w:ind w:firstLine="420"/>
        <w:rPr>
          <w:rFonts w:ascii="Times New Roman"/>
          <w:szCs w:val="21"/>
        </w:rPr>
      </w:pPr>
      <w:bookmarkStart w:id="21" w:name="_Toc459704605"/>
      <w:bookmarkEnd w:id="21"/>
      <w:r>
        <w:rPr>
          <w:rFonts w:ascii="Times New Roman"/>
          <w:szCs w:val="21"/>
        </w:rPr>
        <w:t>下列文件对本文件的应用是必不可少的。凡是注日期的引用文件，仅注日期的版本适用于本文件</w:t>
      </w:r>
      <w:r>
        <w:rPr>
          <w:rFonts w:hint="eastAsia" w:ascii="Times New Roman"/>
          <w:szCs w:val="21"/>
        </w:rPr>
        <w:t>，</w:t>
      </w:r>
      <w:r>
        <w:rPr>
          <w:rFonts w:ascii="Times New Roman"/>
          <w:szCs w:val="21"/>
        </w:rPr>
        <w:t>凡是不注日期的引用文件，其最新版本（包括所有的修改单）适用于本文件。</w:t>
      </w:r>
    </w:p>
    <w:p w14:paraId="2D5F6E92">
      <w:pPr>
        <w:pStyle w:val="32"/>
        <w:tabs>
          <w:tab w:val="center" w:pos="4201"/>
          <w:tab w:val="right" w:leader="dot" w:pos="9298"/>
        </w:tabs>
        <w:spacing w:line="360" w:lineRule="auto"/>
        <w:ind w:firstLine="420"/>
        <w:rPr>
          <w:rFonts w:ascii="Times New Roman"/>
          <w:szCs w:val="21"/>
        </w:rPr>
      </w:pPr>
      <w:r>
        <w:rPr>
          <w:rFonts w:ascii="Times New Roman"/>
          <w:szCs w:val="21"/>
        </w:rPr>
        <w:t>GB/T 16751.2-202</w:t>
      </w:r>
      <w:r>
        <w:rPr>
          <w:rFonts w:hint="eastAsia" w:ascii="Times New Roman"/>
          <w:szCs w:val="21"/>
        </w:rPr>
        <w:t>1</w:t>
      </w:r>
      <w:r>
        <w:rPr>
          <w:rFonts w:ascii="Times New Roman"/>
          <w:szCs w:val="21"/>
        </w:rPr>
        <w:t>《中医临床诊疗术语 第2部分</w:t>
      </w:r>
      <w:r>
        <w:rPr>
          <w:rFonts w:hint="eastAsia" w:ascii="Times New Roman"/>
          <w:szCs w:val="21"/>
        </w:rPr>
        <w:t>：</w:t>
      </w:r>
      <w:r>
        <w:rPr>
          <w:rFonts w:ascii="Times New Roman"/>
          <w:szCs w:val="21"/>
        </w:rPr>
        <w:t>证候》</w:t>
      </w:r>
      <w:r>
        <w:rPr>
          <w:rFonts w:hint="eastAsia" w:ascii="Times New Roman"/>
          <w:szCs w:val="21"/>
        </w:rPr>
        <w:t>‌</w:t>
      </w:r>
    </w:p>
    <w:p w14:paraId="40A3266A">
      <w:pPr>
        <w:pStyle w:val="31"/>
        <w:numPr>
          <w:ilvl w:val="0"/>
          <w:numId w:val="0"/>
        </w:numPr>
        <w:spacing w:before="240" w:beforeLines="100" w:after="240" w:afterLines="100"/>
        <w:outlineLvl w:val="0"/>
        <w:rPr>
          <w:rFonts w:ascii="Times New Roman" w:hAnsi="Times New Roman" w:cs="Times New Roman"/>
          <w:szCs w:val="21"/>
        </w:rPr>
      </w:pPr>
      <w:bookmarkStart w:id="22" w:name="_Toc17426"/>
      <w:bookmarkStart w:id="23" w:name="_Toc436205037"/>
      <w:bookmarkStart w:id="24" w:name="_Toc510534530"/>
      <w:bookmarkStart w:id="25" w:name="_Toc509933851"/>
      <w:r>
        <w:rPr>
          <w:rFonts w:ascii="Times New Roman" w:hAnsi="Times New Roman" w:cs="Times New Roman"/>
          <w:szCs w:val="21"/>
        </w:rPr>
        <w:t>3 术语和定义</w:t>
      </w:r>
      <w:bookmarkEnd w:id="22"/>
      <w:bookmarkEnd w:id="23"/>
      <w:bookmarkEnd w:id="24"/>
      <w:bookmarkEnd w:id="25"/>
    </w:p>
    <w:p w14:paraId="4E059895">
      <w:pPr>
        <w:pStyle w:val="32"/>
        <w:spacing w:line="360" w:lineRule="auto"/>
        <w:ind w:firstLine="420"/>
        <w:rPr>
          <w:rFonts w:ascii="Times New Roman"/>
          <w:szCs w:val="21"/>
        </w:rPr>
      </w:pPr>
      <w:bookmarkStart w:id="26" w:name="_Hlk92788667"/>
      <w:r>
        <w:rPr>
          <w:rFonts w:ascii="Times New Roman"/>
          <w:szCs w:val="21"/>
        </w:rPr>
        <w:t>下列术语适用于本文件。</w:t>
      </w:r>
    </w:p>
    <w:p w14:paraId="47BB716F">
      <w:pPr>
        <w:pStyle w:val="32"/>
        <w:spacing w:line="360" w:lineRule="auto"/>
        <w:ind w:firstLine="0" w:firstLineChars="0"/>
        <w:rPr>
          <w:rFonts w:ascii="Times New Roman"/>
          <w:szCs w:val="21"/>
        </w:rPr>
      </w:pPr>
      <w:r>
        <w:rPr>
          <w:rFonts w:hint="eastAsia" w:ascii="Times New Roman"/>
          <w:szCs w:val="21"/>
        </w:rPr>
        <w:t>3.1</w:t>
      </w:r>
    </w:p>
    <w:p w14:paraId="7CFB78FA">
      <w:pPr>
        <w:pStyle w:val="32"/>
        <w:spacing w:line="360" w:lineRule="auto"/>
        <w:ind w:firstLine="420"/>
        <w:rPr>
          <w:rFonts w:ascii="Times New Roman" w:eastAsia="黑体"/>
          <w:szCs w:val="21"/>
        </w:rPr>
      </w:pPr>
      <w:r>
        <w:rPr>
          <w:rFonts w:hint="eastAsia" w:ascii="Times New Roman" w:eastAsia="黑体"/>
          <w:szCs w:val="21"/>
        </w:rPr>
        <w:t>证候 pattern/syndrome of traditional Chinese medicine</w:t>
      </w:r>
    </w:p>
    <w:p w14:paraId="565CFDDD">
      <w:pPr>
        <w:pStyle w:val="32"/>
        <w:spacing w:line="360" w:lineRule="auto"/>
        <w:ind w:firstLine="420"/>
        <w:rPr>
          <w:rFonts w:ascii="Times New Roman"/>
          <w:szCs w:val="21"/>
        </w:rPr>
      </w:pPr>
      <w:r>
        <w:rPr>
          <w:rFonts w:ascii="Times New Roman"/>
          <w:szCs w:val="21"/>
        </w:rPr>
        <w:t>证的外候，是疾病过程中机体综合反应出的症状与体征，包括患者可察觉的主观指征或行为障碍，特别是医生通过望、闻、问、切四诊和中医诊断仪器发现的异常体征。</w:t>
      </w:r>
    </w:p>
    <w:p w14:paraId="4883E89E">
      <w:pPr>
        <w:pStyle w:val="32"/>
        <w:snapToGrid w:val="0"/>
        <w:spacing w:line="360" w:lineRule="auto"/>
        <w:ind w:firstLine="420"/>
        <w:rPr>
          <w:rFonts w:ascii="Times New Roman"/>
          <w:szCs w:val="21"/>
        </w:rPr>
      </w:pPr>
      <w:r>
        <w:rPr>
          <w:rFonts w:ascii="Times New Roman"/>
          <w:szCs w:val="21"/>
        </w:rPr>
        <w:t>[来源：GB/T 20348—20</w:t>
      </w:r>
      <w:r>
        <w:rPr>
          <w:rFonts w:hint="eastAsia" w:ascii="Times New Roman"/>
          <w:szCs w:val="21"/>
          <w:lang w:val="en-US" w:eastAsia="zh-CN"/>
        </w:rPr>
        <w:t>2</w:t>
      </w:r>
      <w:r>
        <w:rPr>
          <w:rFonts w:ascii="Times New Roman"/>
          <w:szCs w:val="21"/>
        </w:rPr>
        <w:t>6, 3.1.1.4</w:t>
      </w:r>
      <w:r>
        <w:rPr>
          <w:rFonts w:hint="eastAsia" w:ascii="Times New Roman"/>
          <w:szCs w:val="21"/>
        </w:rPr>
        <w:t>；</w:t>
      </w:r>
      <w:r>
        <w:rPr>
          <w:rFonts w:ascii="Times New Roman"/>
          <w:szCs w:val="21"/>
        </w:rPr>
        <w:t>ZY/T 10-2024</w:t>
      </w:r>
      <w:r>
        <w:rPr>
          <w:rFonts w:hint="eastAsia" w:ascii="Times New Roman"/>
          <w:szCs w:val="21"/>
        </w:rPr>
        <w:t>《</w:t>
      </w:r>
      <w:r>
        <w:rPr>
          <w:rFonts w:ascii="Times New Roman"/>
          <w:szCs w:val="21"/>
        </w:rPr>
        <w:t>中医病证诊断与疗效评价规范制修订通则</w:t>
      </w:r>
      <w:r>
        <w:rPr>
          <w:rFonts w:hint="eastAsia" w:ascii="Times New Roman"/>
          <w:szCs w:val="21"/>
        </w:rPr>
        <w:t>》</w:t>
      </w:r>
      <w:r>
        <w:rPr>
          <w:rFonts w:ascii="Times New Roman"/>
          <w:szCs w:val="21"/>
        </w:rPr>
        <w:t>]</w:t>
      </w:r>
    </w:p>
    <w:bookmarkEnd w:id="26"/>
    <w:p w14:paraId="077FCD5E">
      <w:pPr>
        <w:pStyle w:val="32"/>
        <w:spacing w:line="360" w:lineRule="auto"/>
        <w:ind w:firstLine="0" w:firstLineChars="0"/>
        <w:rPr>
          <w:rFonts w:ascii="Times New Roman" w:eastAsia="黑体"/>
          <w:szCs w:val="21"/>
        </w:rPr>
      </w:pPr>
      <w:r>
        <w:rPr>
          <w:rFonts w:ascii="Times New Roman" w:eastAsia="黑体"/>
          <w:szCs w:val="21"/>
        </w:rPr>
        <w:t>3.</w:t>
      </w:r>
      <w:r>
        <w:rPr>
          <w:rFonts w:hint="eastAsia" w:ascii="Times New Roman" w:eastAsia="黑体"/>
          <w:szCs w:val="21"/>
        </w:rPr>
        <w:t>2</w:t>
      </w:r>
    </w:p>
    <w:p w14:paraId="4CF64C11">
      <w:pPr>
        <w:pStyle w:val="32"/>
        <w:spacing w:line="360" w:lineRule="auto"/>
        <w:ind w:firstLine="420"/>
        <w:rPr>
          <w:rFonts w:ascii="Times New Roman" w:eastAsia="黑体"/>
          <w:szCs w:val="21"/>
        </w:rPr>
      </w:pPr>
      <w:bookmarkStart w:id="27" w:name="_Toc25849"/>
      <w:bookmarkStart w:id="28" w:name="_Toc3400"/>
      <w:r>
        <w:rPr>
          <w:rFonts w:hint="eastAsia" w:ascii="Times New Roman" w:eastAsia="黑体"/>
          <w:szCs w:val="21"/>
        </w:rPr>
        <w:t>肝胃郁热证</w:t>
      </w:r>
      <w:r>
        <w:rPr>
          <w:rFonts w:ascii="Times New Roman" w:eastAsia="黑体"/>
          <w:szCs w:val="21"/>
        </w:rPr>
        <w:t xml:space="preserve"> </w:t>
      </w:r>
      <w:bookmarkEnd w:id="27"/>
      <w:bookmarkEnd w:id="28"/>
      <w:r>
        <w:rPr>
          <w:rFonts w:hint="eastAsia" w:ascii="Times New Roman" w:eastAsia="黑体"/>
          <w:szCs w:val="21"/>
        </w:rPr>
        <w:t>pattern/syndrome of stagnant heat in the liver and stomach</w:t>
      </w:r>
    </w:p>
    <w:p w14:paraId="1FD0F581">
      <w:pPr>
        <w:pStyle w:val="32"/>
        <w:snapToGrid w:val="0"/>
        <w:spacing w:line="360" w:lineRule="auto"/>
        <w:ind w:firstLine="420"/>
        <w:rPr>
          <w:rFonts w:ascii="Times New Roman" w:eastAsia="黑体"/>
          <w:szCs w:val="21"/>
        </w:rPr>
      </w:pPr>
      <w:r>
        <w:rPr>
          <w:rFonts w:hint="eastAsia" w:ascii="Times New Roman"/>
          <w:szCs w:val="21"/>
        </w:rPr>
        <w:t>因肝气郁结，胃热内盛所致。临床以胃脘灼痛，泛酸，嘈杂，心烦、易怒，两胁闷胀，口干，口苦，舌质红，舌苔黄，脉弦数等为特征的证候。</w:t>
      </w:r>
    </w:p>
    <w:p w14:paraId="2E671AB9">
      <w:pPr>
        <w:pStyle w:val="32"/>
        <w:tabs>
          <w:tab w:val="center" w:pos="4201"/>
          <w:tab w:val="right" w:leader="dot" w:pos="9298"/>
        </w:tabs>
        <w:spacing w:line="360" w:lineRule="auto"/>
        <w:ind w:firstLine="420"/>
        <w:rPr>
          <w:rFonts w:ascii="Times New Roman"/>
          <w:szCs w:val="21"/>
        </w:rPr>
      </w:pPr>
      <w:r>
        <w:rPr>
          <w:rFonts w:ascii="Times New Roman"/>
          <w:szCs w:val="21"/>
        </w:rPr>
        <w:t>[来源：</w:t>
      </w:r>
      <w:r>
        <w:rPr>
          <w:rFonts w:hint="eastAsia" w:ascii="Times New Roman"/>
          <w:kern w:val="2"/>
          <w:szCs w:val="21"/>
        </w:rPr>
        <w:t>GB/T 16751.2-2021《中医临床诊疗术语 第2部分：证候》 6.6.2.4.1.3</w:t>
      </w:r>
      <w:r>
        <w:rPr>
          <w:rFonts w:ascii="Times New Roman"/>
          <w:szCs w:val="21"/>
        </w:rPr>
        <w:t>]</w:t>
      </w:r>
    </w:p>
    <w:p w14:paraId="44790246">
      <w:pPr>
        <w:pStyle w:val="32"/>
        <w:spacing w:line="360" w:lineRule="auto"/>
        <w:ind w:firstLine="0" w:firstLineChars="0"/>
        <w:rPr>
          <w:rFonts w:ascii="Times New Roman" w:eastAsia="黑体"/>
          <w:szCs w:val="21"/>
        </w:rPr>
      </w:pPr>
      <w:r>
        <w:rPr>
          <w:rFonts w:ascii="Times New Roman" w:eastAsia="黑体"/>
          <w:szCs w:val="21"/>
        </w:rPr>
        <w:t>3.</w:t>
      </w:r>
      <w:r>
        <w:rPr>
          <w:rFonts w:hint="eastAsia" w:ascii="Times New Roman" w:eastAsia="黑体"/>
          <w:szCs w:val="21"/>
        </w:rPr>
        <w:t>3</w:t>
      </w:r>
    </w:p>
    <w:p w14:paraId="715913D0">
      <w:pPr>
        <w:pStyle w:val="32"/>
        <w:spacing w:line="360" w:lineRule="auto"/>
        <w:ind w:firstLine="420"/>
        <w:rPr>
          <w:rFonts w:ascii="Times New Roman" w:eastAsia="黑体"/>
          <w:szCs w:val="21"/>
        </w:rPr>
      </w:pPr>
      <w:r>
        <w:rPr>
          <w:rFonts w:hint="eastAsia" w:ascii="Times New Roman" w:eastAsia="黑体"/>
          <w:szCs w:val="21"/>
        </w:rPr>
        <w:t>肝胃热盛证/肝胃积热证 pattern/syndrome of exuberant heat in the liver and stomach</w:t>
      </w:r>
    </w:p>
    <w:p w14:paraId="015A1158">
      <w:pPr>
        <w:pStyle w:val="32"/>
        <w:tabs>
          <w:tab w:val="center" w:pos="4201"/>
          <w:tab w:val="right" w:leader="dot" w:pos="9298"/>
        </w:tabs>
        <w:spacing w:line="360" w:lineRule="auto"/>
        <w:ind w:firstLine="420"/>
        <w:rPr>
          <w:rFonts w:ascii="Times New Roman"/>
          <w:szCs w:val="21"/>
        </w:rPr>
      </w:pPr>
      <w:r>
        <w:rPr>
          <w:rFonts w:hint="eastAsia" w:ascii="Times New Roman"/>
          <w:szCs w:val="21"/>
        </w:rPr>
        <w:t>因肝胃火热炽盛所致。临床以发热，口渴，急躁、易怒，胁痛，胃脘灼痛，口苦，舌质红，舌苔黄，脉弦数有力等为特征的证候。</w:t>
      </w:r>
    </w:p>
    <w:p w14:paraId="77581D54">
      <w:pPr>
        <w:pStyle w:val="32"/>
        <w:tabs>
          <w:tab w:val="center" w:pos="4201"/>
          <w:tab w:val="right" w:leader="dot" w:pos="9298"/>
        </w:tabs>
        <w:spacing w:line="360" w:lineRule="auto"/>
        <w:ind w:firstLine="420"/>
        <w:rPr>
          <w:rFonts w:ascii="Times New Roman"/>
          <w:szCs w:val="21"/>
        </w:rPr>
      </w:pPr>
      <w:r>
        <w:rPr>
          <w:rFonts w:hint="eastAsia" w:ascii="Times New Roman"/>
          <w:szCs w:val="21"/>
        </w:rPr>
        <w:t xml:space="preserve">[来源：GB/T 16751.2-2021《中医临床诊疗术语 第2部分：证候》 </w:t>
      </w:r>
      <w:r>
        <w:rPr>
          <w:rFonts w:hint="eastAsia" w:ascii="Times New Roman"/>
          <w:kern w:val="2"/>
          <w:szCs w:val="21"/>
        </w:rPr>
        <w:t>6.6.2.4.1.3.1</w:t>
      </w:r>
      <w:r>
        <w:rPr>
          <w:rFonts w:hint="eastAsia" w:ascii="Times New Roman"/>
          <w:szCs w:val="21"/>
        </w:rPr>
        <w:t>]</w:t>
      </w:r>
    </w:p>
    <w:p w14:paraId="0A6A20D9">
      <w:pPr>
        <w:pStyle w:val="32"/>
        <w:tabs>
          <w:tab w:val="center" w:pos="4201"/>
          <w:tab w:val="right" w:leader="dot" w:pos="9298"/>
        </w:tabs>
        <w:spacing w:line="360" w:lineRule="auto"/>
        <w:ind w:firstLine="0" w:firstLineChars="0"/>
        <w:rPr>
          <w:rFonts w:ascii="Times New Roman"/>
          <w:szCs w:val="21"/>
        </w:rPr>
      </w:pPr>
      <w:r>
        <w:rPr>
          <w:rFonts w:hint="eastAsia" w:ascii="Times New Roman"/>
          <w:szCs w:val="21"/>
        </w:rPr>
        <w:t>3.4</w:t>
      </w:r>
    </w:p>
    <w:p w14:paraId="247AD11E">
      <w:pPr>
        <w:pStyle w:val="31"/>
        <w:numPr>
          <w:ilvl w:val="0"/>
          <w:numId w:val="0"/>
        </w:numPr>
        <w:spacing w:beforeLines="0" w:afterLines="0" w:line="360" w:lineRule="auto"/>
        <w:ind w:firstLine="420" w:firstLineChars="200"/>
        <w:outlineLvl w:val="9"/>
        <w:rPr>
          <w:rFonts w:ascii="Times New Roman"/>
          <w:szCs w:val="21"/>
        </w:rPr>
      </w:pPr>
      <w:r>
        <w:rPr>
          <w:rFonts w:hint="eastAsia" w:ascii="Times New Roman"/>
          <w:szCs w:val="21"/>
        </w:rPr>
        <w:t xml:space="preserve">肝火犯胃证  </w:t>
      </w:r>
      <w:r>
        <w:rPr>
          <w:rFonts w:hint="eastAsia" w:ascii="Times New Roman" w:eastAsia="黑体"/>
          <w:szCs w:val="21"/>
        </w:rPr>
        <w:t>pattern/syndrome</w:t>
      </w:r>
      <w:r>
        <w:rPr>
          <w:rFonts w:hint="eastAsia" w:ascii="Times New Roman"/>
          <w:szCs w:val="21"/>
        </w:rPr>
        <w:t xml:space="preserve"> of liver fire invading the stomach</w:t>
      </w:r>
    </w:p>
    <w:p w14:paraId="16B52CCA">
      <w:pPr>
        <w:pStyle w:val="31"/>
        <w:numPr>
          <w:ilvl w:val="0"/>
          <w:numId w:val="0"/>
        </w:numPr>
        <w:spacing w:beforeLines="0" w:afterLines="0" w:line="360" w:lineRule="auto"/>
        <w:ind w:firstLine="420" w:firstLineChars="200"/>
        <w:outlineLvl w:val="9"/>
        <w:rPr>
          <w:rFonts w:ascii="Times New Roman" w:hAnsi="Times New Roman" w:eastAsia="宋体" w:cs="Times New Roman"/>
          <w:kern w:val="0"/>
          <w:szCs w:val="21"/>
        </w:rPr>
      </w:pPr>
      <w:r>
        <w:rPr>
          <w:rFonts w:ascii="Times New Roman" w:hAnsi="Times New Roman" w:eastAsia="宋体" w:cs="Times New Roman"/>
          <w:kern w:val="0"/>
          <w:szCs w:val="21"/>
        </w:rPr>
        <w:t>因肝火炽盛犯胃，胃失和降所致。临床以胁肋、胃脘灼热、作痛，口苦，口干，呕吐苦水，大便秘结，小便黄，舌质红，舌苔黄，脉弦数等为特征的证候。</w:t>
      </w:r>
    </w:p>
    <w:p w14:paraId="3F840066">
      <w:pPr>
        <w:pStyle w:val="32"/>
        <w:tabs>
          <w:tab w:val="center" w:pos="4201"/>
          <w:tab w:val="right" w:leader="dot" w:pos="9298"/>
        </w:tabs>
        <w:spacing w:line="360" w:lineRule="auto"/>
        <w:ind w:firstLine="420"/>
        <w:rPr>
          <w:rFonts w:ascii="Times New Roman"/>
          <w:szCs w:val="21"/>
        </w:rPr>
      </w:pPr>
      <w:r>
        <w:rPr>
          <w:rFonts w:hint="eastAsia" w:ascii="Times New Roman"/>
          <w:szCs w:val="21"/>
        </w:rPr>
        <w:t xml:space="preserve">[来源：GB/T 16751.2-2021《中医临床诊疗术语 第2部分：证候》 </w:t>
      </w:r>
      <w:r>
        <w:rPr>
          <w:rFonts w:hint="eastAsia" w:ascii="Times New Roman"/>
          <w:kern w:val="2"/>
          <w:szCs w:val="21"/>
        </w:rPr>
        <w:t>6.6.2.4.1.3.2</w:t>
      </w:r>
      <w:r>
        <w:rPr>
          <w:rFonts w:hint="eastAsia" w:ascii="Times New Roman"/>
          <w:szCs w:val="21"/>
        </w:rPr>
        <w:t>]</w:t>
      </w:r>
    </w:p>
    <w:p w14:paraId="595EF6A0">
      <w:pPr>
        <w:pStyle w:val="31"/>
        <w:numPr>
          <w:ilvl w:val="0"/>
          <w:numId w:val="0"/>
        </w:numPr>
        <w:spacing w:beforeLines="0" w:afterLines="0" w:line="360" w:lineRule="auto"/>
        <w:outlineLvl w:val="0"/>
        <w:rPr>
          <w:rFonts w:ascii="Times New Roman" w:hAnsi="Times New Roman" w:cs="Times New Roman"/>
          <w:szCs w:val="21"/>
        </w:rPr>
      </w:pPr>
      <w:bookmarkStart w:id="29" w:name="_Toc6292"/>
      <w:r>
        <w:rPr>
          <w:rFonts w:ascii="Times New Roman" w:hAnsi="Times New Roman" w:cs="Times New Roman"/>
          <w:szCs w:val="21"/>
        </w:rPr>
        <w:t>4 诊断</w:t>
      </w:r>
      <w:r>
        <w:rPr>
          <w:rFonts w:hint="eastAsia" w:ascii="Times New Roman" w:hAnsi="Times New Roman" w:cs="Times New Roman"/>
          <w:szCs w:val="21"/>
        </w:rPr>
        <w:t>依据</w:t>
      </w:r>
      <w:bookmarkEnd w:id="29"/>
    </w:p>
    <w:p w14:paraId="2B283004">
      <w:pPr>
        <w:pStyle w:val="32"/>
        <w:tabs>
          <w:tab w:val="center" w:pos="4201"/>
          <w:tab w:val="right" w:leader="dot" w:pos="9298"/>
        </w:tabs>
        <w:snapToGrid w:val="0"/>
        <w:spacing w:line="360" w:lineRule="auto"/>
        <w:ind w:firstLine="0" w:firstLineChars="0"/>
        <w:outlineLvl w:val="1"/>
        <w:rPr>
          <w:rFonts w:ascii="Times New Roman" w:eastAsia="黑体"/>
          <w:kern w:val="2"/>
          <w:szCs w:val="21"/>
        </w:rPr>
      </w:pPr>
      <w:bookmarkStart w:id="30" w:name="_Toc32141"/>
      <w:r>
        <w:rPr>
          <w:rFonts w:hint="eastAsia" w:ascii="Times New Roman" w:eastAsia="黑体"/>
          <w:kern w:val="2"/>
          <w:szCs w:val="21"/>
        </w:rPr>
        <w:t>4.1 病因病机</w:t>
      </w:r>
      <w:bookmarkEnd w:id="30"/>
    </w:p>
    <w:p w14:paraId="51416E10">
      <w:pPr>
        <w:pStyle w:val="32"/>
        <w:tabs>
          <w:tab w:val="center" w:pos="4201"/>
          <w:tab w:val="right" w:leader="dot" w:pos="9298"/>
        </w:tabs>
        <w:spacing w:line="360" w:lineRule="auto"/>
        <w:ind w:firstLine="420"/>
        <w:rPr>
          <w:rFonts w:hint="default" w:ascii="Times New Roman" w:eastAsia="宋体"/>
          <w:szCs w:val="21"/>
          <w:lang w:val="en-US" w:eastAsia="zh-CN"/>
        </w:rPr>
      </w:pPr>
      <w:r>
        <w:rPr>
          <w:rFonts w:hint="eastAsia" w:ascii="Times New Roman"/>
          <w:szCs w:val="21"/>
        </w:rPr>
        <w:t>肝胃郁热证因肝气郁结、胃热内盛所致。临床多由情志不遂、饮食不节、外感热邪或暑湿化热以及其他病证传变引起。</w:t>
      </w:r>
      <w:r>
        <w:rPr>
          <w:rFonts w:hint="eastAsia" w:ascii="Times New Roman"/>
          <w:szCs w:val="21"/>
          <w:lang w:val="en-US" w:eastAsia="zh-CN"/>
        </w:rPr>
        <w:t>临床诊断时，应结合病机演变特征与临床表现，与肝胃不和证（病机重心在于气滞、无明显郁热之象）进行鉴别。同时依据 GB/T 16751.2—2021 的证候分类体系，肝胃郁热证（编码：6.6.2.4.1.3）与肝胃热盛证/肝胃积热证（编码：6.6.2.4.1.3.1）肝火犯胃证（编码：6.6.2.4.1.3.2）构成了“母目－子目”及病机由浅入深、由郁化火的连续演变体系，临床应用时，应严格甄别热势程度，若已发展至实火亢极的肝胃热盛证或肝火犯胃证阶段，不宜直接套用本规范诊断标准与量表进行诊断与评价。</w:t>
      </w:r>
    </w:p>
    <w:p w14:paraId="4C6961A6">
      <w:pPr>
        <w:pStyle w:val="32"/>
        <w:tabs>
          <w:tab w:val="center" w:pos="4201"/>
          <w:tab w:val="right" w:leader="dot" w:pos="9298"/>
        </w:tabs>
        <w:snapToGrid w:val="0"/>
        <w:spacing w:line="360" w:lineRule="auto"/>
        <w:ind w:firstLine="0" w:firstLineChars="0"/>
        <w:outlineLvl w:val="1"/>
        <w:rPr>
          <w:rFonts w:ascii="Times New Roman" w:eastAsia="黑体"/>
          <w:kern w:val="2"/>
          <w:szCs w:val="21"/>
        </w:rPr>
      </w:pPr>
      <w:bookmarkStart w:id="31" w:name="_Toc14034"/>
      <w:r>
        <w:rPr>
          <w:rFonts w:hint="eastAsia" w:ascii="Times New Roman" w:eastAsia="黑体"/>
          <w:kern w:val="2"/>
          <w:szCs w:val="21"/>
        </w:rPr>
        <w:t>4.2 诊断标准</w:t>
      </w:r>
      <w:bookmarkEnd w:id="31"/>
    </w:p>
    <w:p w14:paraId="01D40828">
      <w:pPr>
        <w:pStyle w:val="32"/>
        <w:tabs>
          <w:tab w:val="center" w:pos="4201"/>
          <w:tab w:val="right" w:leader="dot" w:pos="9298"/>
        </w:tabs>
        <w:spacing w:line="360" w:lineRule="auto"/>
        <w:ind w:firstLine="0" w:firstLineChars="0"/>
        <w:rPr>
          <w:rFonts w:ascii="Times New Roman"/>
          <w:szCs w:val="21"/>
        </w:rPr>
      </w:pPr>
      <w:r>
        <w:rPr>
          <w:rFonts w:hint="eastAsia" w:ascii="Times New Roman"/>
          <w:szCs w:val="21"/>
        </w:rPr>
        <w:t>4.2.1 肝胃郁热证诊断条目</w:t>
      </w:r>
    </w:p>
    <w:p w14:paraId="3E499AC2">
      <w:pPr>
        <w:pStyle w:val="32"/>
        <w:tabs>
          <w:tab w:val="center" w:pos="4201"/>
          <w:tab w:val="right" w:leader="dot" w:pos="9298"/>
        </w:tabs>
        <w:spacing w:line="360" w:lineRule="auto"/>
        <w:ind w:firstLine="422"/>
        <w:rPr>
          <w:rFonts w:ascii="Times New Roman"/>
          <w:szCs w:val="21"/>
        </w:rPr>
      </w:pPr>
      <w:r>
        <w:rPr>
          <w:rFonts w:hint="eastAsia" w:ascii="Times New Roman"/>
          <w:b/>
          <w:bCs/>
          <w:szCs w:val="21"/>
        </w:rPr>
        <w:t>主症：</w:t>
      </w:r>
      <w:r>
        <w:rPr>
          <w:rFonts w:hint="eastAsia" w:ascii="Times New Roman"/>
          <w:szCs w:val="21"/>
        </w:rPr>
        <w:t>胃胀或胃痛；反酸、烧心或上腹部烧灼感；心烦易怒；</w:t>
      </w:r>
    </w:p>
    <w:p w14:paraId="28C2CF1C">
      <w:pPr>
        <w:pStyle w:val="32"/>
        <w:tabs>
          <w:tab w:val="center" w:pos="4201"/>
          <w:tab w:val="right" w:leader="dot" w:pos="9298"/>
        </w:tabs>
        <w:spacing w:line="360" w:lineRule="auto"/>
        <w:ind w:firstLine="422"/>
        <w:rPr>
          <w:rFonts w:ascii="Times New Roman"/>
          <w:szCs w:val="21"/>
        </w:rPr>
      </w:pPr>
      <w:r>
        <w:rPr>
          <w:rFonts w:hint="eastAsia" w:ascii="Times New Roman"/>
          <w:b/>
          <w:bCs/>
          <w:szCs w:val="21"/>
        </w:rPr>
        <w:t>次症：</w:t>
      </w:r>
      <w:r>
        <w:rPr>
          <w:rFonts w:hint="eastAsia" w:ascii="Times New Roman"/>
          <w:szCs w:val="21"/>
        </w:rPr>
        <w:t>胁胀或胁痛；打嗝或嗳气；大便干燥；口苦；口干口渴喜冷饮；小便黄；</w:t>
      </w:r>
    </w:p>
    <w:p w14:paraId="54902C5A">
      <w:pPr>
        <w:pStyle w:val="32"/>
        <w:tabs>
          <w:tab w:val="center" w:pos="4201"/>
          <w:tab w:val="right" w:leader="dot" w:pos="9298"/>
        </w:tabs>
        <w:spacing w:line="360" w:lineRule="auto"/>
        <w:ind w:firstLine="422"/>
        <w:rPr>
          <w:rFonts w:ascii="Times New Roman"/>
          <w:szCs w:val="21"/>
        </w:rPr>
      </w:pPr>
      <w:r>
        <w:rPr>
          <w:rFonts w:hint="eastAsia" w:ascii="Times New Roman"/>
          <w:b/>
          <w:bCs/>
          <w:szCs w:val="21"/>
        </w:rPr>
        <w:t>舌象：</w:t>
      </w:r>
      <w:r>
        <w:rPr>
          <w:rFonts w:hint="eastAsia" w:ascii="Times New Roman"/>
          <w:szCs w:val="21"/>
        </w:rPr>
        <w:t>舌红，苔黄；</w:t>
      </w:r>
    </w:p>
    <w:p w14:paraId="3A0267F7">
      <w:pPr>
        <w:pStyle w:val="32"/>
        <w:tabs>
          <w:tab w:val="center" w:pos="4201"/>
          <w:tab w:val="right" w:leader="dot" w:pos="9298"/>
        </w:tabs>
        <w:spacing w:line="360" w:lineRule="auto"/>
        <w:ind w:firstLine="422"/>
        <w:rPr>
          <w:rFonts w:ascii="Times New Roman"/>
          <w:szCs w:val="21"/>
        </w:rPr>
      </w:pPr>
      <w:r>
        <w:rPr>
          <w:rFonts w:hint="eastAsia" w:ascii="Times New Roman"/>
          <w:b/>
          <w:bCs/>
          <w:szCs w:val="21"/>
        </w:rPr>
        <w:t>脉象：</w:t>
      </w:r>
      <w:r>
        <w:rPr>
          <w:rFonts w:hint="eastAsia" w:ascii="Times New Roman"/>
          <w:szCs w:val="21"/>
        </w:rPr>
        <w:t>脉弦、滑或数。</w:t>
      </w:r>
    </w:p>
    <w:p w14:paraId="095B3E75">
      <w:pPr>
        <w:pStyle w:val="32"/>
        <w:tabs>
          <w:tab w:val="center" w:pos="4201"/>
          <w:tab w:val="right" w:leader="dot" w:pos="9298"/>
        </w:tabs>
        <w:spacing w:line="360" w:lineRule="auto"/>
        <w:ind w:firstLine="0" w:firstLineChars="0"/>
        <w:rPr>
          <w:rFonts w:ascii="Times New Roman"/>
          <w:szCs w:val="21"/>
        </w:rPr>
      </w:pPr>
      <w:r>
        <w:rPr>
          <w:rFonts w:hint="eastAsia" w:ascii="Times New Roman"/>
          <w:szCs w:val="21"/>
        </w:rPr>
        <w:t>4.2.2 诊断原则</w:t>
      </w:r>
    </w:p>
    <w:p w14:paraId="0C77CC2C">
      <w:pPr>
        <w:pStyle w:val="32"/>
        <w:tabs>
          <w:tab w:val="center" w:pos="4201"/>
          <w:tab w:val="right" w:leader="dot" w:pos="9298"/>
        </w:tabs>
        <w:spacing w:line="360" w:lineRule="auto"/>
        <w:ind w:firstLine="420"/>
        <w:rPr>
          <w:rFonts w:ascii="Times New Roman"/>
          <w:szCs w:val="21"/>
        </w:rPr>
      </w:pPr>
      <w:r>
        <w:rPr>
          <w:rFonts w:hint="eastAsia" w:ascii="Times New Roman"/>
          <w:szCs w:val="21"/>
        </w:rPr>
        <w:t>符合主症2项，次症</w:t>
      </w:r>
      <w:r>
        <w:rPr>
          <w:rFonts w:hint="eastAsia" w:ascii="Times New Roman"/>
          <w:szCs w:val="21"/>
          <w:lang w:val="en-US" w:eastAsia="zh-CN"/>
        </w:rPr>
        <w:t>2</w:t>
      </w:r>
      <w:r>
        <w:rPr>
          <w:rFonts w:hint="eastAsia" w:ascii="Times New Roman"/>
          <w:szCs w:val="21"/>
        </w:rPr>
        <w:t>项，参照舌、脉象，即可诊断。</w:t>
      </w:r>
    </w:p>
    <w:p w14:paraId="6AE07A44">
      <w:pPr>
        <w:pStyle w:val="32"/>
        <w:numPr>
          <w:ilvl w:val="0"/>
          <w:numId w:val="5"/>
        </w:numPr>
        <w:tabs>
          <w:tab w:val="center" w:pos="4201"/>
          <w:tab w:val="right" w:leader="dot" w:pos="9298"/>
        </w:tabs>
        <w:spacing w:before="240" w:beforeLines="100" w:after="240" w:afterLines="100"/>
        <w:ind w:firstLine="0" w:firstLineChars="0"/>
        <w:outlineLvl w:val="0"/>
        <w:rPr>
          <w:rFonts w:ascii="Times New Roman" w:eastAsia="黑体"/>
          <w:kern w:val="2"/>
          <w:szCs w:val="21"/>
        </w:rPr>
      </w:pPr>
      <w:bookmarkStart w:id="32" w:name="_Toc25445"/>
      <w:r>
        <w:rPr>
          <w:rFonts w:ascii="Times New Roman" w:eastAsia="黑体"/>
          <w:kern w:val="2"/>
          <w:szCs w:val="21"/>
        </w:rPr>
        <w:t>疗效评价</w:t>
      </w:r>
      <w:bookmarkEnd w:id="32"/>
    </w:p>
    <w:p w14:paraId="40BF6B14">
      <w:pPr>
        <w:pStyle w:val="32"/>
        <w:tabs>
          <w:tab w:val="center" w:pos="4201"/>
          <w:tab w:val="right" w:leader="dot" w:pos="9298"/>
        </w:tabs>
        <w:spacing w:before="240" w:beforeLines="100" w:after="240" w:afterLines="100"/>
        <w:ind w:firstLine="0" w:firstLineChars="0"/>
        <w:outlineLvl w:val="1"/>
        <w:rPr>
          <w:rFonts w:ascii="Times New Roman"/>
          <w:szCs w:val="21"/>
        </w:rPr>
      </w:pPr>
      <w:bookmarkStart w:id="33" w:name="_Toc25014"/>
      <w:r>
        <w:rPr>
          <w:rFonts w:ascii="Times New Roman" w:eastAsia="黑体"/>
          <w:kern w:val="2"/>
          <w:szCs w:val="22"/>
        </w:rPr>
        <w:t>5.</w:t>
      </w:r>
      <w:r>
        <w:rPr>
          <w:rFonts w:hint="eastAsia" w:ascii="Times New Roman" w:eastAsia="黑体"/>
          <w:kern w:val="2"/>
          <w:szCs w:val="22"/>
        </w:rPr>
        <w:t>1</w:t>
      </w:r>
      <w:r>
        <w:rPr>
          <w:rFonts w:ascii="Times New Roman" w:eastAsia="黑体"/>
          <w:kern w:val="2"/>
          <w:szCs w:val="22"/>
        </w:rPr>
        <w:t xml:space="preserve"> 中医</w:t>
      </w:r>
      <w:r>
        <w:rPr>
          <w:rFonts w:hint="eastAsia" w:ascii="Times New Roman" w:eastAsia="黑体"/>
          <w:kern w:val="2"/>
          <w:szCs w:val="22"/>
        </w:rPr>
        <w:t>证候</w:t>
      </w:r>
      <w:r>
        <w:rPr>
          <w:rFonts w:ascii="Times New Roman" w:eastAsia="黑体"/>
          <w:kern w:val="2"/>
          <w:szCs w:val="22"/>
        </w:rPr>
        <w:t>疗效评价指标</w:t>
      </w:r>
      <w:bookmarkEnd w:id="33"/>
    </w:p>
    <w:p w14:paraId="0A7BB9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420"/>
        <w:jc w:val="center"/>
        <w:rPr>
          <w:rFonts w:ascii="Times New Roman" w:hAnsi="Times New Roman" w:cs="Times New Roman"/>
          <w:sz w:val="18"/>
          <w:szCs w:val="18"/>
        </w:rPr>
      </w:pPr>
      <w:bookmarkStart w:id="34" w:name="_Toc9439"/>
      <w:r>
        <w:rPr>
          <w:rFonts w:ascii="Times New Roman" w:hAnsi="Times New Roman" w:cs="Times New Roman"/>
          <w:sz w:val="18"/>
          <w:szCs w:val="18"/>
        </w:rPr>
        <w:t>表</w:t>
      </w:r>
      <w:r>
        <w:rPr>
          <w:rFonts w:hint="eastAsia" w:ascii="Times New Roman" w:hAnsi="Times New Roman" w:cs="Times New Roman"/>
          <w:sz w:val="18"/>
          <w:szCs w:val="18"/>
        </w:rPr>
        <w:t>1</w:t>
      </w:r>
      <w:r>
        <w:rPr>
          <w:rFonts w:ascii="Times New Roman" w:hAnsi="Times New Roman" w:cs="Times New Roman"/>
          <w:sz w:val="18"/>
          <w:szCs w:val="18"/>
        </w:rPr>
        <w:t>：肝胃郁热证条目分级量化及评分表</w:t>
      </w:r>
    </w:p>
    <w:tbl>
      <w:tblPr>
        <w:tblStyle w:val="20"/>
        <w:tblW w:w="8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9"/>
        <w:gridCol w:w="5290"/>
        <w:gridCol w:w="1280"/>
      </w:tblGrid>
      <w:tr w14:paraId="62DA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6899" w:type="dxa"/>
            <w:gridSpan w:val="2"/>
            <w:vAlign w:val="center"/>
          </w:tcPr>
          <w:p w14:paraId="477AF3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sz w:val="18"/>
                <w:szCs w:val="18"/>
              </w:rPr>
            </w:pPr>
            <w:r>
              <w:rPr>
                <w:rFonts w:ascii="Times New Roman" w:hAnsi="Times New Roman" w:cs="Times New Roman"/>
                <w:b/>
                <w:bCs/>
                <w:sz w:val="18"/>
                <w:szCs w:val="18"/>
              </w:rPr>
              <w:t>主症</w:t>
            </w:r>
          </w:p>
        </w:tc>
        <w:tc>
          <w:tcPr>
            <w:tcW w:w="1280" w:type="dxa"/>
            <w:vAlign w:val="center"/>
          </w:tcPr>
          <w:p w14:paraId="52E2D3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sz w:val="18"/>
                <w:szCs w:val="18"/>
              </w:rPr>
            </w:pPr>
            <w:r>
              <w:rPr>
                <w:rFonts w:ascii="Times New Roman" w:hAnsi="Times New Roman" w:cs="Times New Roman"/>
                <w:b/>
                <w:bCs/>
                <w:sz w:val="18"/>
                <w:szCs w:val="18"/>
              </w:rPr>
              <w:t>评分</w:t>
            </w:r>
          </w:p>
        </w:tc>
      </w:tr>
      <w:tr w14:paraId="48345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9" w:type="dxa"/>
            <w:vAlign w:val="center"/>
          </w:tcPr>
          <w:p w14:paraId="6C1440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18"/>
                <w:szCs w:val="18"/>
              </w:rPr>
            </w:pPr>
            <w:r>
              <w:rPr>
                <w:rFonts w:hint="eastAsia" w:ascii="Times New Roman"/>
                <w:sz w:val="18"/>
                <w:szCs w:val="18"/>
              </w:rPr>
              <w:t>胃胀</w:t>
            </w:r>
            <w:r>
              <w:rPr>
                <w:rFonts w:hint="eastAsia" w:ascii="Times New Roman"/>
                <w:sz w:val="18"/>
                <w:szCs w:val="18"/>
                <w:lang w:val="en-US" w:eastAsia="zh-CN"/>
              </w:rPr>
              <w:t>或</w:t>
            </w:r>
            <w:r>
              <w:rPr>
                <w:rFonts w:hint="eastAsia" w:ascii="Times New Roman"/>
                <w:sz w:val="18"/>
                <w:szCs w:val="18"/>
              </w:rPr>
              <w:t>胃痛</w:t>
            </w:r>
          </w:p>
        </w:tc>
        <w:tc>
          <w:tcPr>
            <w:tcW w:w="5290" w:type="dxa"/>
            <w:vAlign w:val="center"/>
          </w:tcPr>
          <w:p w14:paraId="600AE2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18"/>
                <w:szCs w:val="18"/>
              </w:rPr>
            </w:pPr>
            <w:r>
              <w:rPr>
                <w:rFonts w:hint="eastAsia" w:ascii="Times New Roman" w:hAnsi="Times New Roman" w:cs="Times New Roman"/>
                <w:bCs/>
                <w:sz w:val="18"/>
                <w:szCs w:val="18"/>
              </w:rPr>
              <w:t>□无；</w:t>
            </w:r>
          </w:p>
          <w:p w14:paraId="1CA775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18"/>
                <w:szCs w:val="18"/>
              </w:rPr>
            </w:pPr>
            <w:r>
              <w:rPr>
                <w:rFonts w:hint="eastAsia" w:ascii="Times New Roman" w:hAnsi="Times New Roman" w:cs="Times New Roman"/>
                <w:bCs/>
                <w:sz w:val="18"/>
                <w:szCs w:val="18"/>
              </w:rPr>
              <w:t>□轻微胀满或隐痛，持续时间短，可自行缓解，不影响工作；</w:t>
            </w:r>
          </w:p>
          <w:p w14:paraId="5F4211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18"/>
                <w:szCs w:val="18"/>
              </w:rPr>
            </w:pPr>
            <w:r>
              <w:rPr>
                <w:rFonts w:hint="eastAsia" w:ascii="Times New Roman" w:hAnsi="Times New Roman" w:cs="Times New Roman"/>
                <w:bCs/>
                <w:sz w:val="18"/>
                <w:szCs w:val="18"/>
              </w:rPr>
              <w:t>□明显胀满或疼痛，时有发生，需服药或休息才能缓解，影响部分日常活动；</w:t>
            </w:r>
          </w:p>
          <w:p w14:paraId="04A7E6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1"/>
                <w:szCs w:val="21"/>
              </w:rPr>
            </w:pPr>
            <w:r>
              <w:rPr>
                <w:rFonts w:hint="eastAsia" w:ascii="Times New Roman" w:hAnsi="Times New Roman" w:cs="Times New Roman"/>
                <w:bCs/>
                <w:sz w:val="18"/>
                <w:szCs w:val="18"/>
              </w:rPr>
              <w:t>□持续剧烈胀满或疼痛，难以忍受，需要强效药物干预，且严重影响工作和休息。</w:t>
            </w:r>
          </w:p>
        </w:tc>
        <w:tc>
          <w:tcPr>
            <w:tcW w:w="1280" w:type="dxa"/>
            <w:vAlign w:val="center"/>
          </w:tcPr>
          <w:p w14:paraId="384570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Pr>
                <w:rFonts w:hint="eastAsia" w:ascii="Times New Roman" w:hAnsi="Times New Roman" w:cs="Times New Roman"/>
                <w:sz w:val="18"/>
                <w:szCs w:val="18"/>
              </w:rPr>
              <w:t>0</w:t>
            </w:r>
            <w:r>
              <w:rPr>
                <w:rFonts w:ascii="Times New Roman" w:hAnsi="Times New Roman" w:cs="Times New Roman"/>
                <w:sz w:val="18"/>
                <w:szCs w:val="18"/>
              </w:rPr>
              <w:t>分</w:t>
            </w:r>
          </w:p>
          <w:p w14:paraId="5AFA4CF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Pr>
                <w:rFonts w:hint="eastAsia" w:ascii="Times New Roman" w:hAnsi="Times New Roman" w:cs="Times New Roman"/>
                <w:sz w:val="18"/>
                <w:szCs w:val="18"/>
              </w:rPr>
              <w:t>2分</w:t>
            </w:r>
          </w:p>
          <w:p w14:paraId="4F68B2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4分</w:t>
            </w:r>
          </w:p>
          <w:p w14:paraId="7E9C2B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6分</w:t>
            </w:r>
          </w:p>
        </w:tc>
      </w:tr>
      <w:tr w14:paraId="1F36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9" w:type="dxa"/>
            <w:vAlign w:val="center"/>
          </w:tcPr>
          <w:p w14:paraId="1C43EA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int="eastAsia" w:ascii="Times New Roman"/>
                <w:sz w:val="18"/>
                <w:szCs w:val="18"/>
              </w:rPr>
            </w:pPr>
            <w:r>
              <w:rPr>
                <w:rFonts w:hint="eastAsia" w:ascii="Times New Roman"/>
                <w:sz w:val="18"/>
                <w:szCs w:val="18"/>
              </w:rPr>
              <w:t>反酸、烧心或上腹部烧灼感</w:t>
            </w:r>
          </w:p>
        </w:tc>
        <w:tc>
          <w:tcPr>
            <w:tcW w:w="5290" w:type="dxa"/>
            <w:vAlign w:val="center"/>
          </w:tcPr>
          <w:p w14:paraId="749407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18"/>
                <w:szCs w:val="18"/>
              </w:rPr>
            </w:pPr>
            <w:r>
              <w:rPr>
                <w:rFonts w:hint="eastAsia" w:ascii="Times New Roman" w:hAnsi="Times New Roman" w:cs="Times New Roman"/>
                <w:bCs/>
                <w:sz w:val="18"/>
                <w:szCs w:val="18"/>
              </w:rPr>
              <w:t>□无；</w:t>
            </w:r>
          </w:p>
          <w:p w14:paraId="6E00EB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18"/>
                <w:szCs w:val="18"/>
              </w:rPr>
            </w:pPr>
            <w:r>
              <w:rPr>
                <w:rFonts w:hint="eastAsia" w:ascii="Times New Roman" w:hAnsi="Times New Roman" w:cs="Times New Roman"/>
                <w:bCs/>
                <w:sz w:val="18"/>
                <w:szCs w:val="18"/>
              </w:rPr>
              <w:t>□偶有轻微反酸、烧心或上腹烧灼感，程度轻微，不影响日常生活；</w:t>
            </w:r>
          </w:p>
          <w:p w14:paraId="344B4D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18"/>
                <w:szCs w:val="18"/>
              </w:rPr>
            </w:pPr>
            <w:r>
              <w:rPr>
                <w:rFonts w:hint="eastAsia" w:ascii="Times New Roman" w:hAnsi="Times New Roman" w:cs="Times New Roman"/>
                <w:bCs/>
                <w:sz w:val="18"/>
                <w:szCs w:val="18"/>
              </w:rPr>
              <w:t>□时常出现反酸、烧心或上腹烧灼感，症状明显，轻度影响饮食与生活；</w:t>
            </w:r>
          </w:p>
          <w:p w14:paraId="47D7E9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18"/>
                <w:szCs w:val="18"/>
              </w:rPr>
            </w:pPr>
            <w:r>
              <w:rPr>
                <w:rFonts w:hint="eastAsia" w:ascii="Times New Roman" w:hAnsi="Times New Roman" w:cs="Times New Roman"/>
                <w:bCs/>
                <w:sz w:val="18"/>
                <w:szCs w:val="18"/>
              </w:rPr>
              <w:t>□频繁持续反酸、烧心或上腹烧灼感，症状剧烈，严重影响饮食、作息及日常活动。</w:t>
            </w:r>
          </w:p>
        </w:tc>
        <w:tc>
          <w:tcPr>
            <w:tcW w:w="1280" w:type="dxa"/>
            <w:vAlign w:val="center"/>
          </w:tcPr>
          <w:p w14:paraId="4137F8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Pr>
                <w:rFonts w:hint="eastAsia" w:ascii="Times New Roman" w:hAnsi="Times New Roman" w:cs="Times New Roman"/>
                <w:sz w:val="18"/>
                <w:szCs w:val="18"/>
              </w:rPr>
              <w:t>0</w:t>
            </w:r>
            <w:r>
              <w:rPr>
                <w:rFonts w:ascii="Times New Roman" w:hAnsi="Times New Roman" w:cs="Times New Roman"/>
                <w:sz w:val="18"/>
                <w:szCs w:val="18"/>
              </w:rPr>
              <w:t>分</w:t>
            </w:r>
          </w:p>
          <w:p w14:paraId="1B370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Pr>
                <w:rFonts w:hint="eastAsia" w:ascii="Times New Roman" w:hAnsi="Times New Roman" w:cs="Times New Roman"/>
                <w:sz w:val="18"/>
                <w:szCs w:val="18"/>
              </w:rPr>
              <w:t>2分</w:t>
            </w:r>
          </w:p>
          <w:p w14:paraId="284CD9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4分</w:t>
            </w:r>
          </w:p>
          <w:p w14:paraId="275266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6分</w:t>
            </w:r>
          </w:p>
        </w:tc>
      </w:tr>
      <w:tr w14:paraId="14B32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1609" w:type="dxa"/>
            <w:vAlign w:val="center"/>
          </w:tcPr>
          <w:p w14:paraId="0D9F1E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18"/>
                <w:szCs w:val="18"/>
              </w:rPr>
            </w:pPr>
            <w:r>
              <w:rPr>
                <w:rFonts w:hint="eastAsia" w:ascii="Times New Roman"/>
                <w:sz w:val="18"/>
                <w:szCs w:val="18"/>
              </w:rPr>
              <w:t>心烦易怒</w:t>
            </w:r>
          </w:p>
        </w:tc>
        <w:tc>
          <w:tcPr>
            <w:tcW w:w="5290" w:type="dxa"/>
            <w:vAlign w:val="center"/>
          </w:tcPr>
          <w:p w14:paraId="2C5D1A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18"/>
                <w:szCs w:val="18"/>
              </w:rPr>
            </w:pPr>
            <w:r>
              <w:rPr>
                <w:rFonts w:hint="eastAsia" w:ascii="Times New Roman" w:hAnsi="Times New Roman" w:cs="Times New Roman"/>
                <w:bCs/>
                <w:sz w:val="18"/>
                <w:szCs w:val="18"/>
              </w:rPr>
              <w:t>□无；</w:t>
            </w:r>
          </w:p>
          <w:p w14:paraId="0ADBC5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18"/>
                <w:szCs w:val="18"/>
              </w:rPr>
            </w:pPr>
            <w:r>
              <w:rPr>
                <w:rFonts w:hint="eastAsia" w:ascii="Times New Roman" w:hAnsi="Times New Roman" w:cs="Times New Roman"/>
                <w:bCs/>
                <w:sz w:val="18"/>
                <w:szCs w:val="18"/>
              </w:rPr>
              <w:t>□偶有心烦，情绪略易波动，但能自我克制，不影响日常生活；</w:t>
            </w:r>
          </w:p>
          <w:p w14:paraId="2C3D7B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18"/>
                <w:szCs w:val="18"/>
              </w:rPr>
            </w:pPr>
            <w:r>
              <w:rPr>
                <w:rFonts w:hint="eastAsia" w:ascii="Times New Roman" w:hAnsi="Times New Roman" w:cs="Times New Roman"/>
                <w:bCs/>
                <w:sz w:val="18"/>
                <w:szCs w:val="18"/>
              </w:rPr>
              <w:t>□经常心烦，容易急躁、易因小事生气，有时情绪难以自控，对日常有一定影响；</w:t>
            </w:r>
          </w:p>
          <w:p w14:paraId="4DA5FB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18"/>
                <w:szCs w:val="18"/>
              </w:rPr>
            </w:pPr>
            <w:r>
              <w:rPr>
                <w:rFonts w:hint="eastAsia" w:ascii="Times New Roman" w:hAnsi="Times New Roman" w:cs="Times New Roman"/>
                <w:bCs/>
                <w:sz w:val="18"/>
                <w:szCs w:val="18"/>
              </w:rPr>
              <w:t>□持续心烦，明显易怒，一触即发，情绪难以抑制，显著影响日常生活与人际交往。</w:t>
            </w:r>
          </w:p>
        </w:tc>
        <w:tc>
          <w:tcPr>
            <w:tcW w:w="1280" w:type="dxa"/>
            <w:vAlign w:val="center"/>
          </w:tcPr>
          <w:p w14:paraId="73BCF1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0分</w:t>
            </w:r>
          </w:p>
          <w:p w14:paraId="32840B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2分</w:t>
            </w:r>
          </w:p>
          <w:p w14:paraId="0EB04B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4分</w:t>
            </w:r>
          </w:p>
          <w:p w14:paraId="1C5F72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6分</w:t>
            </w:r>
          </w:p>
        </w:tc>
      </w:tr>
      <w:tr w14:paraId="3F1CA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6899" w:type="dxa"/>
            <w:gridSpan w:val="2"/>
            <w:vAlign w:val="center"/>
          </w:tcPr>
          <w:p w14:paraId="387762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sz w:val="18"/>
                <w:szCs w:val="18"/>
              </w:rPr>
            </w:pPr>
            <w:r>
              <w:rPr>
                <w:rFonts w:ascii="Times New Roman" w:hAnsi="Times New Roman" w:cs="Times New Roman"/>
                <w:b/>
                <w:bCs/>
                <w:sz w:val="18"/>
                <w:szCs w:val="18"/>
              </w:rPr>
              <w:t>次症</w:t>
            </w:r>
          </w:p>
        </w:tc>
        <w:tc>
          <w:tcPr>
            <w:tcW w:w="1280" w:type="dxa"/>
            <w:vAlign w:val="center"/>
          </w:tcPr>
          <w:p w14:paraId="570392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sz w:val="18"/>
                <w:szCs w:val="18"/>
              </w:rPr>
            </w:pPr>
            <w:r>
              <w:rPr>
                <w:rFonts w:ascii="Times New Roman" w:hAnsi="Times New Roman" w:cs="Times New Roman"/>
                <w:b/>
                <w:bCs/>
                <w:sz w:val="18"/>
                <w:szCs w:val="18"/>
              </w:rPr>
              <w:t>评分</w:t>
            </w:r>
          </w:p>
        </w:tc>
      </w:tr>
      <w:tr w14:paraId="711D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09" w:type="dxa"/>
            <w:vAlign w:val="center"/>
          </w:tcPr>
          <w:p w14:paraId="4901E0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int="eastAsia" w:ascii="Times New Roman"/>
                <w:sz w:val="18"/>
                <w:szCs w:val="18"/>
              </w:rPr>
            </w:pPr>
            <w:r>
              <w:rPr>
                <w:rFonts w:hint="eastAsia" w:ascii="Times New Roman"/>
                <w:sz w:val="18"/>
                <w:szCs w:val="18"/>
              </w:rPr>
              <w:t>胁胀</w:t>
            </w:r>
            <w:r>
              <w:rPr>
                <w:rFonts w:hint="eastAsia" w:ascii="Times New Roman"/>
                <w:sz w:val="18"/>
                <w:szCs w:val="18"/>
                <w:lang w:val="en-US" w:eastAsia="zh-CN"/>
              </w:rPr>
              <w:t>或</w:t>
            </w:r>
            <w:r>
              <w:rPr>
                <w:rFonts w:hint="eastAsia" w:ascii="Times New Roman"/>
                <w:sz w:val="18"/>
                <w:szCs w:val="18"/>
              </w:rPr>
              <w:t>胁痛</w:t>
            </w:r>
          </w:p>
        </w:tc>
        <w:tc>
          <w:tcPr>
            <w:tcW w:w="5290" w:type="dxa"/>
            <w:vAlign w:val="center"/>
          </w:tcPr>
          <w:p w14:paraId="67FCE3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18"/>
                <w:szCs w:val="18"/>
              </w:rPr>
            </w:pPr>
            <w:r>
              <w:rPr>
                <w:rFonts w:hint="eastAsia" w:ascii="Times New Roman" w:hAnsi="Times New Roman" w:cs="Times New Roman"/>
                <w:bCs/>
                <w:sz w:val="18"/>
                <w:szCs w:val="18"/>
              </w:rPr>
              <w:t>□无；</w:t>
            </w:r>
          </w:p>
          <w:p w14:paraId="6BAB00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18"/>
                <w:szCs w:val="18"/>
              </w:rPr>
            </w:pPr>
            <w:r>
              <w:rPr>
                <w:rFonts w:hint="eastAsia" w:ascii="Times New Roman" w:hAnsi="Times New Roman" w:cs="Times New Roman"/>
                <w:bCs/>
                <w:sz w:val="18"/>
                <w:szCs w:val="18"/>
              </w:rPr>
              <w:t>□有；</w:t>
            </w:r>
          </w:p>
        </w:tc>
        <w:tc>
          <w:tcPr>
            <w:tcW w:w="1280" w:type="dxa"/>
            <w:vAlign w:val="center"/>
          </w:tcPr>
          <w:p w14:paraId="1A38BA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Pr>
                <w:rFonts w:hint="eastAsia" w:ascii="Times New Roman" w:hAnsi="Times New Roman" w:cs="Times New Roman"/>
                <w:sz w:val="18"/>
                <w:szCs w:val="18"/>
              </w:rPr>
              <w:t>0分</w:t>
            </w:r>
          </w:p>
          <w:p w14:paraId="0D61845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1分</w:t>
            </w:r>
          </w:p>
        </w:tc>
      </w:tr>
      <w:tr w14:paraId="25F16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09" w:type="dxa"/>
            <w:vAlign w:val="center"/>
          </w:tcPr>
          <w:p w14:paraId="1B129EBA">
            <w:pPr>
              <w:pStyle w:val="32"/>
              <w:tabs>
                <w:tab w:val="center" w:pos="4201"/>
                <w:tab w:val="right" w:leader="dot" w:pos="9298"/>
              </w:tabs>
              <w:spacing w:line="360" w:lineRule="auto"/>
              <w:ind w:firstLine="0" w:firstLineChars="0"/>
              <w:jc w:val="left"/>
              <w:rPr>
                <w:rFonts w:ascii="Times New Roman"/>
                <w:sz w:val="18"/>
                <w:szCs w:val="18"/>
              </w:rPr>
            </w:pPr>
            <w:r>
              <w:rPr>
                <w:rFonts w:hint="eastAsia" w:ascii="Times New Roman"/>
                <w:sz w:val="18"/>
                <w:szCs w:val="18"/>
              </w:rPr>
              <w:t>打嗝或嗳气</w:t>
            </w:r>
          </w:p>
        </w:tc>
        <w:tc>
          <w:tcPr>
            <w:tcW w:w="5290" w:type="dxa"/>
            <w:vAlign w:val="center"/>
          </w:tcPr>
          <w:p w14:paraId="34600B7B">
            <w:pPr>
              <w:rPr>
                <w:rFonts w:ascii="Times New Roman" w:hAnsi="Times New Roman" w:cs="Times New Roman"/>
                <w:bCs/>
                <w:sz w:val="18"/>
                <w:szCs w:val="18"/>
              </w:rPr>
            </w:pPr>
            <w:r>
              <w:rPr>
                <w:rFonts w:hint="eastAsia" w:ascii="Times New Roman" w:hAnsi="Times New Roman" w:cs="Times New Roman"/>
                <w:bCs/>
                <w:sz w:val="18"/>
                <w:szCs w:val="18"/>
              </w:rPr>
              <w:t>□无；</w:t>
            </w:r>
          </w:p>
          <w:p w14:paraId="63A53337">
            <w:pPr>
              <w:rPr>
                <w:rFonts w:ascii="Times New Roman" w:hAnsi="Times New Roman" w:cs="Times New Roman"/>
                <w:sz w:val="18"/>
                <w:szCs w:val="18"/>
              </w:rPr>
            </w:pPr>
            <w:r>
              <w:rPr>
                <w:rFonts w:hint="eastAsia" w:ascii="Times New Roman" w:hAnsi="Times New Roman" w:cs="Times New Roman"/>
                <w:bCs/>
                <w:sz w:val="18"/>
                <w:szCs w:val="18"/>
              </w:rPr>
              <w:t>□有；</w:t>
            </w:r>
          </w:p>
        </w:tc>
        <w:tc>
          <w:tcPr>
            <w:tcW w:w="1280" w:type="dxa"/>
            <w:vAlign w:val="center"/>
          </w:tcPr>
          <w:p w14:paraId="53AAB4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Pr>
                <w:rFonts w:hint="eastAsia" w:ascii="Times New Roman" w:hAnsi="Times New Roman" w:cs="Times New Roman"/>
                <w:sz w:val="18"/>
                <w:szCs w:val="18"/>
              </w:rPr>
              <w:t>0分</w:t>
            </w:r>
          </w:p>
          <w:p w14:paraId="56D78AB7">
            <w:pPr>
              <w:jc w:val="center"/>
              <w:rPr>
                <w:rFonts w:ascii="Times New Roman" w:hAnsi="Times New Roman" w:cs="Times New Roman"/>
                <w:sz w:val="18"/>
                <w:szCs w:val="18"/>
              </w:rPr>
            </w:pPr>
            <w:r>
              <w:rPr>
                <w:rFonts w:ascii="Times New Roman" w:hAnsi="Times New Roman" w:cs="Times New Roman"/>
                <w:sz w:val="18"/>
                <w:szCs w:val="18"/>
              </w:rPr>
              <w:t>1分</w:t>
            </w:r>
          </w:p>
        </w:tc>
      </w:tr>
      <w:tr w14:paraId="6C6B3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09" w:type="dxa"/>
            <w:vAlign w:val="center"/>
          </w:tcPr>
          <w:p w14:paraId="3986A019">
            <w:pPr>
              <w:pStyle w:val="32"/>
              <w:tabs>
                <w:tab w:val="center" w:pos="4201"/>
                <w:tab w:val="right" w:leader="dot" w:pos="9298"/>
              </w:tabs>
              <w:spacing w:line="360" w:lineRule="auto"/>
              <w:ind w:firstLine="0" w:firstLineChars="0"/>
              <w:jc w:val="left"/>
              <w:rPr>
                <w:rFonts w:ascii="Times New Roman"/>
                <w:sz w:val="18"/>
                <w:szCs w:val="18"/>
              </w:rPr>
            </w:pPr>
            <w:r>
              <w:rPr>
                <w:rFonts w:hint="eastAsia" w:ascii="Times New Roman"/>
                <w:sz w:val="18"/>
                <w:szCs w:val="18"/>
              </w:rPr>
              <w:t>大便干燥</w:t>
            </w:r>
          </w:p>
        </w:tc>
        <w:tc>
          <w:tcPr>
            <w:tcW w:w="5290" w:type="dxa"/>
            <w:vAlign w:val="center"/>
          </w:tcPr>
          <w:p w14:paraId="7CB8C069">
            <w:pPr>
              <w:rPr>
                <w:rFonts w:ascii="Times New Roman" w:hAnsi="Times New Roman" w:cs="Times New Roman"/>
                <w:bCs/>
                <w:sz w:val="18"/>
                <w:szCs w:val="18"/>
              </w:rPr>
            </w:pPr>
            <w:r>
              <w:rPr>
                <w:rFonts w:hint="eastAsia" w:ascii="Times New Roman" w:hAnsi="Times New Roman" w:cs="Times New Roman"/>
                <w:bCs/>
                <w:sz w:val="18"/>
                <w:szCs w:val="18"/>
              </w:rPr>
              <w:t>□无；</w:t>
            </w:r>
          </w:p>
          <w:p w14:paraId="56BA7A79">
            <w:pPr>
              <w:rPr>
                <w:rFonts w:ascii="Times New Roman" w:hAnsi="Times New Roman" w:cs="Times New Roman"/>
                <w:sz w:val="18"/>
                <w:szCs w:val="18"/>
              </w:rPr>
            </w:pPr>
            <w:r>
              <w:rPr>
                <w:rFonts w:hint="eastAsia" w:ascii="Times New Roman" w:hAnsi="Times New Roman" w:cs="Times New Roman"/>
                <w:bCs/>
                <w:sz w:val="18"/>
                <w:szCs w:val="18"/>
              </w:rPr>
              <w:t>□有；</w:t>
            </w:r>
          </w:p>
        </w:tc>
        <w:tc>
          <w:tcPr>
            <w:tcW w:w="1280" w:type="dxa"/>
            <w:vAlign w:val="center"/>
          </w:tcPr>
          <w:p w14:paraId="4AF957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Pr>
                <w:rFonts w:hint="eastAsia" w:ascii="Times New Roman" w:hAnsi="Times New Roman" w:cs="Times New Roman"/>
                <w:sz w:val="18"/>
                <w:szCs w:val="18"/>
              </w:rPr>
              <w:t>0分</w:t>
            </w:r>
          </w:p>
          <w:p w14:paraId="5A9A4C3A">
            <w:pPr>
              <w:jc w:val="center"/>
              <w:rPr>
                <w:rFonts w:ascii="Times New Roman" w:hAnsi="Times New Roman" w:cs="Times New Roman"/>
                <w:sz w:val="18"/>
                <w:szCs w:val="18"/>
              </w:rPr>
            </w:pPr>
            <w:r>
              <w:rPr>
                <w:rFonts w:ascii="Times New Roman" w:hAnsi="Times New Roman" w:cs="Times New Roman"/>
                <w:sz w:val="18"/>
                <w:szCs w:val="18"/>
              </w:rPr>
              <w:t>1分</w:t>
            </w:r>
          </w:p>
        </w:tc>
      </w:tr>
      <w:tr w14:paraId="5CD7B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09" w:type="dxa"/>
            <w:vAlign w:val="center"/>
          </w:tcPr>
          <w:p w14:paraId="671F3A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int="eastAsia" w:ascii="Times New Roman"/>
                <w:sz w:val="18"/>
                <w:szCs w:val="18"/>
              </w:rPr>
            </w:pPr>
            <w:r>
              <w:rPr>
                <w:rFonts w:hint="eastAsia" w:ascii="Times New Roman"/>
                <w:sz w:val="18"/>
                <w:szCs w:val="18"/>
              </w:rPr>
              <w:t>口苦</w:t>
            </w:r>
          </w:p>
        </w:tc>
        <w:tc>
          <w:tcPr>
            <w:tcW w:w="5290" w:type="dxa"/>
            <w:vAlign w:val="center"/>
          </w:tcPr>
          <w:p w14:paraId="3415957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18"/>
                <w:szCs w:val="18"/>
              </w:rPr>
            </w:pPr>
            <w:r>
              <w:rPr>
                <w:rFonts w:hint="eastAsia" w:ascii="Times New Roman" w:hAnsi="Times New Roman" w:cs="Times New Roman"/>
                <w:bCs/>
                <w:sz w:val="18"/>
                <w:szCs w:val="18"/>
              </w:rPr>
              <w:t>□无；</w:t>
            </w:r>
          </w:p>
          <w:p w14:paraId="3B143E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18"/>
                <w:szCs w:val="18"/>
              </w:rPr>
            </w:pPr>
            <w:r>
              <w:rPr>
                <w:rFonts w:hint="eastAsia" w:ascii="Times New Roman" w:hAnsi="Times New Roman" w:cs="Times New Roman"/>
                <w:bCs/>
                <w:sz w:val="18"/>
                <w:szCs w:val="18"/>
              </w:rPr>
              <w:t>□有；</w:t>
            </w:r>
          </w:p>
        </w:tc>
        <w:tc>
          <w:tcPr>
            <w:tcW w:w="1280" w:type="dxa"/>
            <w:vAlign w:val="center"/>
          </w:tcPr>
          <w:p w14:paraId="12BD74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Pr>
                <w:rFonts w:hint="eastAsia" w:ascii="Times New Roman" w:hAnsi="Times New Roman" w:cs="Times New Roman"/>
                <w:sz w:val="18"/>
                <w:szCs w:val="18"/>
              </w:rPr>
              <w:t>0分</w:t>
            </w:r>
          </w:p>
          <w:p w14:paraId="093BF9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1分</w:t>
            </w:r>
          </w:p>
        </w:tc>
      </w:tr>
      <w:tr w14:paraId="7575F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09" w:type="dxa"/>
            <w:vAlign w:val="center"/>
          </w:tcPr>
          <w:p w14:paraId="5AB4A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hint="eastAsia" w:ascii="Times New Roman"/>
                <w:sz w:val="18"/>
                <w:szCs w:val="18"/>
              </w:rPr>
            </w:pPr>
            <w:r>
              <w:rPr>
                <w:rFonts w:hint="eastAsia" w:ascii="Times New Roman"/>
                <w:sz w:val="18"/>
                <w:szCs w:val="18"/>
              </w:rPr>
              <w:t>口干口渴喜冷饮</w:t>
            </w:r>
          </w:p>
        </w:tc>
        <w:tc>
          <w:tcPr>
            <w:tcW w:w="5290" w:type="dxa"/>
            <w:vAlign w:val="center"/>
          </w:tcPr>
          <w:p w14:paraId="608958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18"/>
                <w:szCs w:val="18"/>
              </w:rPr>
            </w:pPr>
            <w:r>
              <w:rPr>
                <w:rFonts w:hint="eastAsia" w:ascii="Times New Roman" w:hAnsi="Times New Roman" w:cs="Times New Roman"/>
                <w:bCs/>
                <w:sz w:val="18"/>
                <w:szCs w:val="18"/>
              </w:rPr>
              <w:t>□无；</w:t>
            </w:r>
          </w:p>
          <w:p w14:paraId="100D1E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18"/>
                <w:szCs w:val="18"/>
              </w:rPr>
            </w:pPr>
            <w:r>
              <w:rPr>
                <w:rFonts w:hint="eastAsia" w:ascii="Times New Roman" w:hAnsi="Times New Roman" w:cs="Times New Roman"/>
                <w:bCs/>
                <w:sz w:val="18"/>
                <w:szCs w:val="18"/>
              </w:rPr>
              <w:t>□有；</w:t>
            </w:r>
          </w:p>
        </w:tc>
        <w:tc>
          <w:tcPr>
            <w:tcW w:w="1280" w:type="dxa"/>
            <w:vAlign w:val="center"/>
          </w:tcPr>
          <w:p w14:paraId="6255D6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Pr>
                <w:rFonts w:hint="eastAsia" w:ascii="Times New Roman" w:hAnsi="Times New Roman" w:cs="Times New Roman"/>
                <w:sz w:val="18"/>
                <w:szCs w:val="18"/>
              </w:rPr>
              <w:t>0分</w:t>
            </w:r>
          </w:p>
          <w:p w14:paraId="12056E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1分</w:t>
            </w:r>
          </w:p>
        </w:tc>
      </w:tr>
      <w:tr w14:paraId="58E87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9" w:type="dxa"/>
            <w:vAlign w:val="center"/>
          </w:tcPr>
          <w:p w14:paraId="489BF04D">
            <w:pPr>
              <w:pStyle w:val="32"/>
              <w:tabs>
                <w:tab w:val="center" w:pos="4201"/>
                <w:tab w:val="right" w:leader="dot" w:pos="9298"/>
              </w:tabs>
              <w:spacing w:line="360" w:lineRule="auto"/>
              <w:ind w:firstLine="0" w:firstLineChars="0"/>
              <w:jc w:val="left"/>
              <w:rPr>
                <w:rFonts w:ascii="Times New Roman"/>
                <w:sz w:val="18"/>
                <w:szCs w:val="18"/>
              </w:rPr>
            </w:pPr>
            <w:r>
              <w:rPr>
                <w:rFonts w:hint="eastAsia" w:ascii="Times New Roman"/>
                <w:sz w:val="18"/>
                <w:szCs w:val="18"/>
              </w:rPr>
              <w:t>小便黄</w:t>
            </w:r>
          </w:p>
        </w:tc>
        <w:tc>
          <w:tcPr>
            <w:tcW w:w="5290" w:type="dxa"/>
            <w:vAlign w:val="center"/>
          </w:tcPr>
          <w:p w14:paraId="215EA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18"/>
                <w:szCs w:val="18"/>
              </w:rPr>
            </w:pPr>
            <w:r>
              <w:rPr>
                <w:rFonts w:hint="eastAsia" w:ascii="Times New Roman" w:hAnsi="Times New Roman" w:cs="Times New Roman"/>
                <w:bCs/>
                <w:sz w:val="18"/>
                <w:szCs w:val="18"/>
              </w:rPr>
              <w:t>□无；</w:t>
            </w:r>
          </w:p>
          <w:p w14:paraId="476741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18"/>
                <w:szCs w:val="18"/>
              </w:rPr>
            </w:pPr>
            <w:r>
              <w:rPr>
                <w:rFonts w:hint="eastAsia" w:ascii="Times New Roman" w:hAnsi="Times New Roman" w:cs="Times New Roman"/>
                <w:bCs/>
                <w:sz w:val="18"/>
                <w:szCs w:val="18"/>
              </w:rPr>
              <w:t>□有；</w:t>
            </w:r>
          </w:p>
        </w:tc>
        <w:tc>
          <w:tcPr>
            <w:tcW w:w="1280" w:type="dxa"/>
            <w:vAlign w:val="center"/>
          </w:tcPr>
          <w:p w14:paraId="5F37AD7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Pr>
                <w:rFonts w:hint="eastAsia" w:ascii="Times New Roman" w:hAnsi="Times New Roman" w:cs="Times New Roman"/>
                <w:sz w:val="18"/>
                <w:szCs w:val="18"/>
              </w:rPr>
              <w:t>0分</w:t>
            </w:r>
          </w:p>
          <w:p w14:paraId="7605D5D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1分</w:t>
            </w:r>
          </w:p>
        </w:tc>
      </w:tr>
      <w:tr w14:paraId="2D3DA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6899" w:type="dxa"/>
            <w:gridSpan w:val="2"/>
            <w:vAlign w:val="center"/>
          </w:tcPr>
          <w:p w14:paraId="6A7EA3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sz w:val="18"/>
                <w:szCs w:val="18"/>
              </w:rPr>
            </w:pPr>
            <w:r>
              <w:rPr>
                <w:rFonts w:ascii="Times New Roman" w:hAnsi="Times New Roman" w:cs="Times New Roman"/>
                <w:b/>
                <w:bCs/>
                <w:sz w:val="18"/>
                <w:szCs w:val="18"/>
              </w:rPr>
              <w:t>舌、脉象</w:t>
            </w:r>
          </w:p>
        </w:tc>
        <w:tc>
          <w:tcPr>
            <w:tcW w:w="1280" w:type="dxa"/>
            <w:vAlign w:val="center"/>
          </w:tcPr>
          <w:p w14:paraId="1747817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sz w:val="18"/>
                <w:szCs w:val="18"/>
              </w:rPr>
            </w:pPr>
            <w:r>
              <w:rPr>
                <w:rFonts w:ascii="Times New Roman" w:hAnsi="Times New Roman" w:cs="Times New Roman"/>
                <w:b/>
                <w:bCs/>
                <w:sz w:val="18"/>
                <w:szCs w:val="18"/>
              </w:rPr>
              <w:t>评分</w:t>
            </w:r>
          </w:p>
        </w:tc>
      </w:tr>
      <w:tr w14:paraId="3B00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609" w:type="dxa"/>
            <w:vAlign w:val="center"/>
          </w:tcPr>
          <w:p w14:paraId="308DB373">
            <w:pPr>
              <w:pStyle w:val="32"/>
              <w:tabs>
                <w:tab w:val="center" w:pos="4201"/>
                <w:tab w:val="right" w:leader="dot" w:pos="9298"/>
              </w:tabs>
              <w:spacing w:line="360" w:lineRule="auto"/>
              <w:ind w:firstLine="0" w:firstLineChars="0"/>
              <w:rPr>
                <w:rFonts w:ascii="Times New Roman"/>
                <w:sz w:val="18"/>
                <w:szCs w:val="18"/>
              </w:rPr>
            </w:pPr>
            <w:r>
              <w:rPr>
                <w:rFonts w:hint="eastAsia" w:ascii="Times New Roman"/>
                <w:sz w:val="18"/>
                <w:szCs w:val="18"/>
              </w:rPr>
              <w:t>舌象</w:t>
            </w:r>
          </w:p>
        </w:tc>
        <w:tc>
          <w:tcPr>
            <w:tcW w:w="5290" w:type="dxa"/>
            <w:vAlign w:val="center"/>
          </w:tcPr>
          <w:p w14:paraId="472A19EB">
            <w:pPr>
              <w:pStyle w:val="32"/>
              <w:tabs>
                <w:tab w:val="center" w:pos="4201"/>
                <w:tab w:val="right" w:leader="dot" w:pos="9298"/>
              </w:tabs>
              <w:spacing w:line="360" w:lineRule="auto"/>
              <w:ind w:firstLine="0" w:firstLineChars="0"/>
              <w:jc w:val="left"/>
              <w:rPr>
                <w:rFonts w:ascii="Times New Roman"/>
                <w:sz w:val="18"/>
                <w:szCs w:val="18"/>
              </w:rPr>
            </w:pPr>
            <w:r>
              <w:rPr>
                <w:rFonts w:hint="eastAsia" w:ascii="Times New Roman"/>
                <w:sz w:val="18"/>
                <w:szCs w:val="18"/>
              </w:rPr>
              <w:t>舌红，苔黄</w:t>
            </w:r>
          </w:p>
        </w:tc>
        <w:tc>
          <w:tcPr>
            <w:tcW w:w="1280" w:type="dxa"/>
            <w:vMerge w:val="restart"/>
            <w:vAlign w:val="center"/>
          </w:tcPr>
          <w:p w14:paraId="35312FBA">
            <w:pPr>
              <w:pStyle w:val="32"/>
              <w:tabs>
                <w:tab w:val="center" w:pos="4201"/>
                <w:tab w:val="right" w:leader="dot" w:pos="9298"/>
              </w:tabs>
              <w:spacing w:line="360" w:lineRule="auto"/>
              <w:ind w:firstLine="0" w:firstLineChars="0"/>
              <w:jc w:val="center"/>
              <w:rPr>
                <w:rFonts w:ascii="Times New Roman"/>
                <w:sz w:val="18"/>
                <w:szCs w:val="18"/>
              </w:rPr>
            </w:pPr>
            <w:r>
              <w:rPr>
                <w:rFonts w:hint="eastAsia" w:ascii="Times New Roman"/>
                <w:sz w:val="18"/>
                <w:szCs w:val="18"/>
              </w:rPr>
              <w:t>不计分</w:t>
            </w:r>
          </w:p>
        </w:tc>
      </w:tr>
      <w:tr w14:paraId="4D5B2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609" w:type="dxa"/>
            <w:vAlign w:val="center"/>
          </w:tcPr>
          <w:p w14:paraId="27D9F363">
            <w:pPr>
              <w:pStyle w:val="32"/>
              <w:tabs>
                <w:tab w:val="center" w:pos="4201"/>
                <w:tab w:val="right" w:leader="dot" w:pos="9298"/>
              </w:tabs>
              <w:spacing w:line="360" w:lineRule="auto"/>
              <w:ind w:firstLine="0" w:firstLineChars="0"/>
              <w:rPr>
                <w:rFonts w:ascii="Times New Roman"/>
                <w:sz w:val="18"/>
                <w:szCs w:val="18"/>
              </w:rPr>
            </w:pPr>
            <w:r>
              <w:rPr>
                <w:rFonts w:hint="eastAsia" w:ascii="Times New Roman"/>
                <w:sz w:val="18"/>
                <w:szCs w:val="18"/>
              </w:rPr>
              <w:t>脉象</w:t>
            </w:r>
          </w:p>
        </w:tc>
        <w:tc>
          <w:tcPr>
            <w:tcW w:w="5290" w:type="dxa"/>
            <w:vAlign w:val="center"/>
          </w:tcPr>
          <w:p w14:paraId="6F5AF467">
            <w:pPr>
              <w:pStyle w:val="32"/>
              <w:tabs>
                <w:tab w:val="center" w:pos="4201"/>
                <w:tab w:val="right" w:leader="dot" w:pos="9298"/>
              </w:tabs>
              <w:spacing w:line="360" w:lineRule="auto"/>
              <w:ind w:firstLine="0" w:firstLineChars="0"/>
              <w:rPr>
                <w:rFonts w:ascii="Times New Roman"/>
                <w:sz w:val="18"/>
                <w:szCs w:val="18"/>
              </w:rPr>
            </w:pPr>
            <w:r>
              <w:rPr>
                <w:rFonts w:hint="eastAsia" w:ascii="Times New Roman"/>
                <w:sz w:val="18"/>
                <w:szCs w:val="18"/>
              </w:rPr>
              <w:t>脉弦、滑或</w:t>
            </w:r>
            <w:r>
              <w:rPr>
                <w:rFonts w:hint="eastAsia" w:ascii="Times New Roman"/>
                <w:sz w:val="18"/>
                <w:szCs w:val="18"/>
                <w:lang w:val="en-US" w:eastAsia="zh-CN"/>
              </w:rPr>
              <w:t>弦、</w:t>
            </w:r>
            <w:r>
              <w:rPr>
                <w:rFonts w:hint="eastAsia" w:ascii="Times New Roman"/>
                <w:sz w:val="18"/>
                <w:szCs w:val="18"/>
              </w:rPr>
              <w:t>数</w:t>
            </w:r>
          </w:p>
        </w:tc>
        <w:tc>
          <w:tcPr>
            <w:tcW w:w="1280" w:type="dxa"/>
            <w:vMerge w:val="continue"/>
            <w:vAlign w:val="center"/>
          </w:tcPr>
          <w:p w14:paraId="0F5F12A6">
            <w:pPr>
              <w:pStyle w:val="32"/>
              <w:tabs>
                <w:tab w:val="center" w:pos="4201"/>
                <w:tab w:val="right" w:leader="dot" w:pos="9298"/>
              </w:tabs>
              <w:spacing w:line="360" w:lineRule="auto"/>
              <w:ind w:firstLine="0" w:firstLineChars="0"/>
              <w:rPr>
                <w:rFonts w:ascii="Times New Roman"/>
                <w:szCs w:val="21"/>
              </w:rPr>
            </w:pPr>
          </w:p>
        </w:tc>
      </w:tr>
    </w:tbl>
    <w:p w14:paraId="3E0AB6E0">
      <w:pPr>
        <w:pStyle w:val="32"/>
        <w:tabs>
          <w:tab w:val="center" w:pos="4201"/>
          <w:tab w:val="right" w:leader="dot" w:pos="9298"/>
        </w:tabs>
        <w:spacing w:before="240" w:beforeLines="100" w:after="240" w:afterLines="100" w:line="360" w:lineRule="auto"/>
        <w:ind w:firstLine="0" w:firstLineChars="0"/>
        <w:outlineLvl w:val="1"/>
        <w:rPr>
          <w:rFonts w:hint="eastAsia" w:ascii="Times New Roman" w:eastAsia="黑体"/>
          <w:kern w:val="2"/>
          <w:szCs w:val="21"/>
          <w:lang w:eastAsia="zh-CN"/>
        </w:rPr>
      </w:pPr>
      <w:bookmarkStart w:id="35" w:name="_Toc29457"/>
      <w:r>
        <w:rPr>
          <w:rFonts w:hint="eastAsia" w:ascii="Times New Roman" w:eastAsia="黑体"/>
          <w:kern w:val="2"/>
          <w:szCs w:val="21"/>
        </w:rPr>
        <w:t>5.2 中医证候疗效评价</w:t>
      </w:r>
      <w:bookmarkEnd w:id="34"/>
      <w:bookmarkEnd w:id="35"/>
      <w:r>
        <w:rPr>
          <w:rFonts w:hint="eastAsia" w:ascii="Times New Roman" w:eastAsia="黑体"/>
          <w:kern w:val="2"/>
          <w:szCs w:val="21"/>
          <w:lang w:val="en-US" w:eastAsia="zh-CN"/>
        </w:rPr>
        <w:t>方法</w:t>
      </w:r>
    </w:p>
    <w:p w14:paraId="6CD43F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firstLineChars="0"/>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5.2.1 证候减分值法（基线积分差值法）</w:t>
      </w:r>
    </w:p>
    <w:p w14:paraId="29CA48C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420" w:firstLineChars="200"/>
        <w:rPr>
          <w:rFonts w:hint="eastAsia" w:ascii="Times New Roman" w:hAnsi="Times New Roman" w:cs="Times New Roman"/>
          <w:sz w:val="21"/>
          <w:szCs w:val="21"/>
          <w:lang w:eastAsia="zh-CN"/>
        </w:rPr>
      </w:pPr>
      <w:r>
        <w:rPr>
          <w:rFonts w:hint="eastAsia" w:ascii="Times New Roman" w:hAnsi="Times New Roman" w:cs="Times New Roman"/>
          <w:sz w:val="21"/>
          <w:szCs w:val="21"/>
          <w:lang w:eastAsia="zh-CN"/>
        </w:rPr>
        <w:t>本方法以患者治疗后中医证候总积分及主症积分较治疗前（基线）的绝对减少值作为评价指标，</w:t>
      </w:r>
      <w:r>
        <w:rPr>
          <w:rFonts w:hint="eastAsia" w:ascii="Times New Roman" w:hAnsi="Times New Roman" w:cs="Times New Roman"/>
          <w:sz w:val="21"/>
          <w:szCs w:val="21"/>
          <w:lang w:val="en-US" w:eastAsia="zh-CN"/>
        </w:rPr>
        <w:t>来</w:t>
      </w:r>
      <w:r>
        <w:rPr>
          <w:rFonts w:hint="eastAsia" w:ascii="Times New Roman" w:hAnsi="Times New Roman" w:cs="Times New Roman"/>
          <w:sz w:val="21"/>
          <w:szCs w:val="21"/>
          <w:lang w:eastAsia="zh-CN"/>
        </w:rPr>
        <w:t>评估试验组与对照组间的疗效差异。</w:t>
      </w:r>
    </w:p>
    <w:p w14:paraId="7BBD46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420" w:firstLineChars="200"/>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疗效判定原则：减分值越大，提示证候改善越明显；组间比较具有统计学显著性差异（P&lt;0.05）且具备临床实际价值，判定为中医证候改善优于对照组。</w:t>
      </w:r>
    </w:p>
    <w:p w14:paraId="183220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firstLineChars="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5.2.2 主次症分级综合疗效判定法</w:t>
      </w:r>
    </w:p>
    <w:p w14:paraId="4D707C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420" w:firstLineChars="200"/>
        <w:rPr>
          <w:rFonts w:hint="default" w:ascii="Times New Roman" w:hAnsi="Times New Roman" w:cs="Times New Roman"/>
          <w:sz w:val="21"/>
          <w:szCs w:val="21"/>
          <w:lang w:val="en-US" w:eastAsia="zh-CN"/>
        </w:rPr>
      </w:pPr>
      <w:r>
        <w:rPr>
          <w:rFonts w:hint="eastAsia" w:ascii="Times New Roman" w:hAnsi="Times New Roman" w:cs="Times New Roman"/>
          <w:sz w:val="21"/>
          <w:szCs w:val="21"/>
          <w:lang w:eastAsia="zh-CN"/>
        </w:rPr>
        <w:t>本方法以患者治疗</w:t>
      </w:r>
      <w:r>
        <w:rPr>
          <w:rFonts w:hint="default" w:ascii="Times New Roman" w:hAnsi="Times New Roman" w:cs="Times New Roman"/>
          <w:sz w:val="21"/>
          <w:szCs w:val="21"/>
          <w:lang w:val="en-US" w:eastAsia="zh-CN"/>
        </w:rPr>
        <w:t>前后主</w:t>
      </w:r>
      <w:r>
        <w:rPr>
          <w:rFonts w:hint="eastAsia" w:ascii="Times New Roman" w:hAnsi="Times New Roman" w:cs="Times New Roman"/>
          <w:sz w:val="21"/>
          <w:szCs w:val="21"/>
          <w:lang w:val="en-US" w:eastAsia="zh-CN"/>
        </w:rPr>
        <w:t>/</w:t>
      </w:r>
      <w:r>
        <w:rPr>
          <w:rFonts w:hint="default" w:ascii="Times New Roman" w:hAnsi="Times New Roman" w:cs="Times New Roman"/>
          <w:sz w:val="21"/>
          <w:szCs w:val="21"/>
          <w:lang w:val="en-US" w:eastAsia="zh-CN"/>
        </w:rPr>
        <w:t>次症消除情况及总积分变化进行</w:t>
      </w:r>
      <w:r>
        <w:rPr>
          <w:rFonts w:hint="eastAsia" w:ascii="Times New Roman" w:hAnsi="Times New Roman" w:cs="Times New Roman"/>
          <w:sz w:val="21"/>
          <w:szCs w:val="21"/>
          <w:lang w:val="en-US" w:eastAsia="zh-CN"/>
        </w:rPr>
        <w:t>四级</w:t>
      </w:r>
      <w:r>
        <w:rPr>
          <w:rFonts w:hint="default" w:ascii="Times New Roman" w:hAnsi="Times New Roman" w:cs="Times New Roman"/>
          <w:sz w:val="21"/>
          <w:szCs w:val="21"/>
          <w:lang w:val="en-US" w:eastAsia="zh-CN"/>
        </w:rPr>
        <w:t>综合评价。</w:t>
      </w:r>
    </w:p>
    <w:p w14:paraId="5B4FD4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420" w:firstLineChars="20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疗效判定原则：</w:t>
      </w:r>
    </w:p>
    <w:p w14:paraId="5AE6B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840" w:firstLineChars="40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（1）临床痊愈：中医临床主要症状、次要症状消失或基本消失，舌、脉象恢复正常，证候积分减少≥95%；</w:t>
      </w:r>
    </w:p>
    <w:p w14:paraId="583E42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840" w:firstLineChars="40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（2）显效：主要症状明显改善，次要症状大部分消失，舌脉明显好转，证候积分减少≥70%；</w:t>
      </w:r>
    </w:p>
    <w:p w14:paraId="3A529F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840" w:firstLineChars="40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（3）有效：主/次症状有所好转，舌、脉象有所改善，证候积分减少≥30%；</w:t>
      </w:r>
    </w:p>
    <w:p w14:paraId="276F3E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840" w:firstLineChars="400"/>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（4）无效：主要症状无明显改善，证候积分减少&lt;30%。</w:t>
      </w:r>
    </w:p>
    <w:p w14:paraId="7E1173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0" w:firstLineChars="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5.2.3 核心靶症状应答评价法（单项主症缓解/消失法）</w:t>
      </w:r>
    </w:p>
    <w:p w14:paraId="1B6F5E0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420" w:firstLineChars="20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本方法选取特征性主症作为靶症状，通过评价患者核心获益情况，避免次要症状对主要疗效的稀释。</w:t>
      </w:r>
    </w:p>
    <w:p w14:paraId="5882EE4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420" w:firstLineChars="20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疗效判定原则：</w:t>
      </w:r>
    </w:p>
    <w:p w14:paraId="7C1FE5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840" w:firstLineChars="40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（1）核心主症状消失：治疗后核心主症评分降为0分；</w:t>
      </w:r>
    </w:p>
    <w:p w14:paraId="0F1AED7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840" w:firstLineChars="40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（2）核心主症显效应答：核心主症评分较基线降低≥2级；</w:t>
      </w:r>
    </w:p>
    <w:p w14:paraId="50642D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840" w:firstLineChars="40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（3）核心主症有效应答：核心主症评分较基线降低1级 ；</w:t>
      </w:r>
    </w:p>
    <w:p w14:paraId="040006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840" w:firstLineChars="400"/>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（4）核心主症无效应答：核心主症评分未降级。</w:t>
      </w:r>
    </w:p>
    <w:p w14:paraId="786985F4">
      <w:pPr>
        <w:snapToGrid w:val="0"/>
        <w:spacing w:before="240" w:beforeLines="100" w:after="240" w:afterLines="100" w:line="360" w:lineRule="exact"/>
        <w:jc w:val="both"/>
        <w:rPr>
          <w:rFonts w:hint="eastAsia" w:ascii="黑体" w:hAnsi="黑体" w:eastAsia="黑体" w:cs="黑体"/>
          <w:sz w:val="32"/>
          <w:szCs w:val="32"/>
        </w:rPr>
      </w:pPr>
    </w:p>
    <w:p w14:paraId="0344E0DF">
      <w:pPr>
        <w:snapToGrid w:val="0"/>
        <w:spacing w:before="240" w:beforeLines="100" w:after="240" w:afterLines="100" w:line="360" w:lineRule="exact"/>
        <w:jc w:val="both"/>
        <w:rPr>
          <w:rFonts w:hint="eastAsia" w:ascii="黑体" w:hAnsi="黑体" w:eastAsia="黑体" w:cs="黑体"/>
          <w:sz w:val="32"/>
          <w:szCs w:val="32"/>
        </w:rPr>
      </w:pPr>
    </w:p>
    <w:p w14:paraId="04738EFA">
      <w:pPr>
        <w:snapToGrid w:val="0"/>
        <w:spacing w:before="240" w:beforeLines="100" w:after="240" w:afterLines="100" w:line="360" w:lineRule="exact"/>
        <w:jc w:val="both"/>
        <w:rPr>
          <w:rFonts w:hint="eastAsia" w:ascii="黑体" w:hAnsi="黑体" w:eastAsia="黑体" w:cs="黑体"/>
          <w:sz w:val="32"/>
          <w:szCs w:val="32"/>
        </w:rPr>
      </w:pPr>
    </w:p>
    <w:p w14:paraId="6040B6A2">
      <w:pPr>
        <w:snapToGrid w:val="0"/>
        <w:spacing w:before="240" w:beforeLines="100" w:after="240" w:afterLines="100" w:line="360" w:lineRule="exact"/>
        <w:jc w:val="both"/>
        <w:rPr>
          <w:rFonts w:hint="eastAsia" w:ascii="黑体" w:hAnsi="黑体" w:eastAsia="黑体" w:cs="黑体"/>
          <w:sz w:val="32"/>
          <w:szCs w:val="32"/>
        </w:rPr>
      </w:pPr>
    </w:p>
    <w:p w14:paraId="2DAB3CF6">
      <w:pPr>
        <w:snapToGrid w:val="0"/>
        <w:spacing w:before="240" w:beforeLines="100" w:after="240" w:afterLines="100" w:line="360" w:lineRule="exact"/>
        <w:jc w:val="both"/>
        <w:rPr>
          <w:rFonts w:hint="eastAsia" w:ascii="黑体" w:hAnsi="黑体" w:eastAsia="黑体" w:cs="黑体"/>
          <w:sz w:val="32"/>
          <w:szCs w:val="32"/>
        </w:rPr>
      </w:pPr>
    </w:p>
    <w:p w14:paraId="05275C7A">
      <w:pPr>
        <w:snapToGrid w:val="0"/>
        <w:spacing w:before="240" w:beforeLines="100" w:after="240" w:afterLines="100" w:line="360" w:lineRule="exact"/>
        <w:jc w:val="both"/>
        <w:rPr>
          <w:rFonts w:hint="eastAsia" w:ascii="黑体" w:hAnsi="黑体" w:eastAsia="黑体" w:cs="黑体"/>
          <w:sz w:val="32"/>
          <w:szCs w:val="32"/>
        </w:rPr>
      </w:pPr>
    </w:p>
    <w:p w14:paraId="1648A453">
      <w:pPr>
        <w:snapToGrid w:val="0"/>
        <w:spacing w:before="240" w:beforeLines="100" w:after="240" w:afterLines="100" w:line="360" w:lineRule="exact"/>
        <w:jc w:val="both"/>
        <w:rPr>
          <w:rFonts w:hint="eastAsia" w:ascii="黑体" w:hAnsi="黑体" w:eastAsia="黑体" w:cs="黑体"/>
          <w:sz w:val="32"/>
          <w:szCs w:val="32"/>
        </w:rPr>
      </w:pPr>
    </w:p>
    <w:p w14:paraId="2F102714">
      <w:pPr>
        <w:snapToGrid w:val="0"/>
        <w:spacing w:before="240" w:beforeLines="100" w:after="240" w:afterLines="100" w:line="360" w:lineRule="exact"/>
        <w:jc w:val="both"/>
        <w:rPr>
          <w:rFonts w:hint="eastAsia" w:ascii="黑体" w:hAnsi="黑体" w:eastAsia="黑体" w:cs="黑体"/>
          <w:sz w:val="32"/>
          <w:szCs w:val="32"/>
        </w:rPr>
      </w:pPr>
    </w:p>
    <w:p w14:paraId="14EE2C51">
      <w:pPr>
        <w:snapToGrid w:val="0"/>
        <w:spacing w:before="240" w:beforeLines="100" w:after="240" w:afterLines="100" w:line="360" w:lineRule="exact"/>
        <w:jc w:val="both"/>
        <w:rPr>
          <w:rFonts w:hint="eastAsia" w:ascii="黑体" w:hAnsi="黑体" w:eastAsia="黑体" w:cs="黑体"/>
          <w:sz w:val="32"/>
          <w:szCs w:val="32"/>
        </w:rPr>
      </w:pPr>
    </w:p>
    <w:p w14:paraId="769C44DE">
      <w:pPr>
        <w:snapToGrid w:val="0"/>
        <w:spacing w:before="240" w:beforeLines="100" w:after="240" w:afterLines="100" w:line="360" w:lineRule="exact"/>
        <w:jc w:val="both"/>
        <w:rPr>
          <w:rFonts w:hint="eastAsia" w:ascii="黑体" w:hAnsi="黑体" w:eastAsia="黑体" w:cs="黑体"/>
          <w:sz w:val="32"/>
          <w:szCs w:val="32"/>
        </w:rPr>
      </w:pPr>
    </w:p>
    <w:p w14:paraId="22EEF136">
      <w:pPr>
        <w:snapToGrid w:val="0"/>
        <w:spacing w:before="240" w:beforeLines="100" w:after="240" w:afterLines="100" w:line="360" w:lineRule="exact"/>
        <w:jc w:val="both"/>
        <w:rPr>
          <w:rFonts w:hint="eastAsia" w:ascii="黑体" w:hAnsi="黑体" w:eastAsia="黑体" w:cs="黑体"/>
          <w:sz w:val="32"/>
          <w:szCs w:val="32"/>
        </w:rPr>
      </w:pPr>
    </w:p>
    <w:p w14:paraId="73BC87AF">
      <w:pPr>
        <w:pStyle w:val="32"/>
        <w:tabs>
          <w:tab w:val="center" w:pos="4201"/>
          <w:tab w:val="right" w:leader="dot" w:pos="9298"/>
        </w:tabs>
        <w:spacing w:before="240" w:beforeLines="100" w:after="240" w:afterLines="100" w:line="360" w:lineRule="auto"/>
        <w:ind w:firstLine="0" w:firstLineChars="0"/>
        <w:jc w:val="center"/>
        <w:outlineLvl w:val="0"/>
        <w:rPr>
          <w:rFonts w:ascii="Times New Roman" w:eastAsia="黑体"/>
          <w:kern w:val="2"/>
          <w:szCs w:val="21"/>
        </w:rPr>
      </w:pPr>
      <w:bookmarkStart w:id="36" w:name="_Toc509933873"/>
      <w:bookmarkStart w:id="37" w:name="_Toc510534552"/>
      <w:bookmarkStart w:id="38" w:name="_Toc28198"/>
      <w:bookmarkStart w:id="39" w:name="_GoBack"/>
      <w:bookmarkEnd w:id="39"/>
      <w:r>
        <w:rPr>
          <w:rFonts w:ascii="Times New Roman" w:eastAsia="黑体"/>
          <w:kern w:val="2"/>
          <w:szCs w:val="21"/>
        </w:rPr>
        <w:t>参考文献</w:t>
      </w:r>
      <w:bookmarkEnd w:id="36"/>
      <w:bookmarkEnd w:id="37"/>
      <w:bookmarkEnd w:id="38"/>
    </w:p>
    <w:p w14:paraId="22AE3B30">
      <w:pPr>
        <w:pStyle w:val="32"/>
        <w:numPr>
          <w:ilvl w:val="0"/>
          <w:numId w:val="6"/>
        </w:numPr>
        <w:tabs>
          <w:tab w:val="center" w:pos="4201"/>
          <w:tab w:val="right" w:leader="dot" w:pos="9298"/>
        </w:tabs>
        <w:spacing w:line="360" w:lineRule="auto"/>
        <w:ind w:firstLine="0" w:firstLineChars="0"/>
        <w:rPr>
          <w:rFonts w:ascii="Times New Roman"/>
          <w:szCs w:val="21"/>
        </w:rPr>
      </w:pPr>
      <w:r>
        <w:rPr>
          <w:rFonts w:ascii="Times New Roman"/>
          <w:szCs w:val="21"/>
        </w:rPr>
        <w:t>赵国桢,宗星煜,赵学尧,等.《中医病证诊断与疗效评价规范制修订通则》解读[J].中国中医基础医学杂志,2024,30(08):1294-1297.</w:t>
      </w:r>
    </w:p>
    <w:p w14:paraId="11216899">
      <w:pPr>
        <w:pStyle w:val="32"/>
        <w:numPr>
          <w:ilvl w:val="0"/>
          <w:numId w:val="6"/>
        </w:numPr>
        <w:tabs>
          <w:tab w:val="center" w:pos="4201"/>
          <w:tab w:val="right" w:leader="dot" w:pos="9298"/>
        </w:tabs>
        <w:spacing w:line="360" w:lineRule="auto"/>
        <w:ind w:firstLine="0" w:firstLineChars="0"/>
        <w:rPr>
          <w:rFonts w:ascii="Times New Roman"/>
          <w:szCs w:val="21"/>
        </w:rPr>
      </w:pPr>
      <w:r>
        <w:rPr>
          <w:rFonts w:ascii="Times New Roman"/>
          <w:szCs w:val="21"/>
        </w:rPr>
        <w:t>王建新,孙明月,吕行,等.中医证候疗效评价量表研制指南[J].中国新药杂志,2025,34(02):113-122.</w:t>
      </w:r>
    </w:p>
    <w:p w14:paraId="49B665FC">
      <w:pPr>
        <w:pStyle w:val="32"/>
        <w:numPr>
          <w:ilvl w:val="0"/>
          <w:numId w:val="6"/>
        </w:numPr>
        <w:tabs>
          <w:tab w:val="center" w:pos="4201"/>
          <w:tab w:val="right" w:leader="dot" w:pos="9298"/>
        </w:tabs>
        <w:spacing w:line="360" w:lineRule="auto"/>
        <w:ind w:firstLine="0" w:firstLineChars="0"/>
        <w:rPr>
          <w:rFonts w:ascii="Times New Roman"/>
          <w:szCs w:val="21"/>
        </w:rPr>
      </w:pPr>
      <w:r>
        <w:rPr>
          <w:rFonts w:ascii="Times New Roman"/>
        </w:rPr>
        <w:t>世界中医药学会联合会,呼吸疾病中医药防治省部共建协同创新中心,河南中医药大学,等.中医证候诊断标准研制指南[J].中国循证医学杂志,2023,23(09):993-998.</w:t>
      </w:r>
    </w:p>
    <w:p w14:paraId="75735B6C">
      <w:pPr>
        <w:pStyle w:val="32"/>
        <w:numPr>
          <w:ilvl w:val="0"/>
          <w:numId w:val="6"/>
        </w:numPr>
        <w:tabs>
          <w:tab w:val="center" w:pos="4201"/>
          <w:tab w:val="right" w:leader="dot" w:pos="9298"/>
        </w:tabs>
        <w:spacing w:line="360" w:lineRule="auto"/>
        <w:ind w:firstLine="0" w:firstLineChars="0"/>
        <w:rPr>
          <w:rFonts w:ascii="Times New Roman"/>
          <w:szCs w:val="21"/>
        </w:rPr>
      </w:pPr>
      <w:r>
        <w:rPr>
          <w:rFonts w:ascii="Times New Roman"/>
          <w:szCs w:val="21"/>
        </w:rPr>
        <w:t>赵飞燕,高蕊,刘静,等.急性咽炎中医病证诊断与疗效评价专家共识[J].中国循证医学杂志,2025,25(09):993-1000.</w:t>
      </w:r>
    </w:p>
    <w:p w14:paraId="65872722">
      <w:pPr>
        <w:pStyle w:val="32"/>
        <w:numPr>
          <w:ilvl w:val="0"/>
          <w:numId w:val="6"/>
        </w:numPr>
        <w:tabs>
          <w:tab w:val="center" w:pos="4201"/>
          <w:tab w:val="right" w:leader="dot" w:pos="9298"/>
        </w:tabs>
        <w:spacing w:line="360" w:lineRule="auto"/>
        <w:ind w:firstLine="0" w:firstLineChars="0"/>
        <w:rPr>
          <w:rFonts w:ascii="Times New Roman"/>
          <w:szCs w:val="21"/>
        </w:rPr>
      </w:pPr>
      <w:r>
        <w:rPr>
          <w:rFonts w:ascii="Times New Roman"/>
          <w:szCs w:val="21"/>
        </w:rPr>
        <w:t>中华中医药学会脾胃病分会.肝脾不调证中医诊疗专家共识(2023)[J].中国中西医结合消化杂志,2024,32(12):1033-1039.</w:t>
      </w:r>
    </w:p>
    <w:p w14:paraId="0CF52895">
      <w:pPr>
        <w:pStyle w:val="32"/>
        <w:numPr>
          <w:ilvl w:val="0"/>
          <w:numId w:val="6"/>
        </w:numPr>
        <w:tabs>
          <w:tab w:val="center" w:pos="4201"/>
          <w:tab w:val="right" w:leader="dot" w:pos="9298"/>
        </w:tabs>
        <w:spacing w:line="360" w:lineRule="auto"/>
        <w:ind w:firstLine="0" w:firstLineChars="0"/>
        <w:rPr>
          <w:rFonts w:ascii="Times New Roman"/>
          <w:szCs w:val="21"/>
        </w:rPr>
      </w:pPr>
      <w:r>
        <w:rPr>
          <w:rFonts w:ascii="Times New Roman"/>
          <w:szCs w:val="21"/>
        </w:rPr>
        <w:t>马毓聪.中医药</w:t>
      </w:r>
      <w:r>
        <w:rPr>
          <w:rFonts w:hint="eastAsia" w:ascii="Times New Roman"/>
          <w:szCs w:val="21"/>
        </w:rPr>
        <w:t>“</w:t>
      </w:r>
      <w:r>
        <w:rPr>
          <w:rFonts w:ascii="Times New Roman"/>
          <w:szCs w:val="21"/>
        </w:rPr>
        <w:t>三药三方</w:t>
      </w:r>
      <w:r>
        <w:rPr>
          <w:rFonts w:hint="eastAsia" w:ascii="Times New Roman"/>
          <w:szCs w:val="21"/>
        </w:rPr>
        <w:t>”</w:t>
      </w:r>
      <w:r>
        <w:rPr>
          <w:rFonts w:ascii="Times New Roman"/>
          <w:szCs w:val="21"/>
        </w:rPr>
        <w:t>疗效证据链的构建与评价方法学研究[D].天津中医药大学,2025.</w:t>
      </w:r>
    </w:p>
    <w:p w14:paraId="34229ED1">
      <w:pPr>
        <w:pStyle w:val="32"/>
        <w:numPr>
          <w:ilvl w:val="0"/>
          <w:numId w:val="6"/>
        </w:numPr>
        <w:tabs>
          <w:tab w:val="center" w:pos="4201"/>
          <w:tab w:val="right" w:leader="dot" w:pos="9298"/>
        </w:tabs>
        <w:spacing w:line="360" w:lineRule="auto"/>
        <w:ind w:firstLine="0" w:firstLineChars="0"/>
        <w:rPr>
          <w:rFonts w:ascii="Times New Roman"/>
          <w:szCs w:val="21"/>
        </w:rPr>
      </w:pPr>
      <w:r>
        <w:rPr>
          <w:rFonts w:ascii="Times New Roman"/>
          <w:szCs w:val="21"/>
        </w:rPr>
        <w:t>王建新,刘静,张予,等.人工熊胆粉治疗急性咽炎（肝胃郁热证）有效性和安全性多中心随机对照研究[J].中国中西医结合杂志,2025,45(02):183-189.</w:t>
      </w:r>
    </w:p>
    <w:p w14:paraId="21E1AECC">
      <w:pPr>
        <w:pStyle w:val="32"/>
        <w:numPr>
          <w:ilvl w:val="0"/>
          <w:numId w:val="6"/>
        </w:numPr>
        <w:tabs>
          <w:tab w:val="center" w:pos="4201"/>
          <w:tab w:val="right" w:leader="dot" w:pos="9298"/>
        </w:tabs>
        <w:spacing w:line="360" w:lineRule="auto"/>
        <w:ind w:firstLine="0" w:firstLineChars="0"/>
        <w:rPr>
          <w:rFonts w:hint="default" w:ascii="Times New Roman"/>
          <w:szCs w:val="21"/>
        </w:rPr>
      </w:pPr>
      <w:r>
        <w:rPr>
          <w:rFonts w:hint="default" w:ascii="Times New Roman"/>
          <w:szCs w:val="21"/>
        </w:rPr>
        <w:t>中华中医药学会</w:t>
      </w:r>
      <w:r>
        <w:rPr>
          <w:rFonts w:hint="eastAsia" w:ascii="Times New Roman"/>
          <w:szCs w:val="21"/>
          <w:lang w:val="en-US" w:eastAsia="zh-CN"/>
        </w:rPr>
        <w:t>.</w:t>
      </w:r>
      <w:r>
        <w:rPr>
          <w:rFonts w:hint="default" w:ascii="Times New Roman"/>
          <w:szCs w:val="21"/>
        </w:rPr>
        <w:t>中医证候疗效评价技术规范</w:t>
      </w:r>
      <w:r>
        <w:rPr>
          <w:rFonts w:hint="eastAsia" w:ascii="Times New Roman"/>
          <w:szCs w:val="21"/>
          <w:lang w:val="en-US" w:eastAsia="zh-CN"/>
        </w:rPr>
        <w:t xml:space="preserve">, </w:t>
      </w:r>
      <w:r>
        <w:rPr>
          <w:rFonts w:hint="default" w:ascii="Times New Roman"/>
          <w:szCs w:val="21"/>
        </w:rPr>
        <w:t>T/CACM 1637—2025[S].北京:中国中医药出版社, 2025.</w:t>
      </w:r>
    </w:p>
    <w:p w14:paraId="0812EBAC">
      <w:pPr>
        <w:pStyle w:val="32"/>
        <w:numPr>
          <w:ilvl w:val="0"/>
          <w:numId w:val="6"/>
        </w:numPr>
        <w:tabs>
          <w:tab w:val="center" w:pos="4201"/>
          <w:tab w:val="right" w:leader="dot" w:pos="9298"/>
        </w:tabs>
        <w:spacing w:line="360" w:lineRule="auto"/>
        <w:ind w:firstLine="0" w:firstLineChars="0"/>
        <w:rPr>
          <w:rFonts w:hint="default" w:ascii="Times New Roman"/>
          <w:szCs w:val="21"/>
        </w:rPr>
      </w:pPr>
      <w:r>
        <w:rPr>
          <w:rFonts w:hint="default" w:ascii="Times New Roman"/>
          <w:szCs w:val="21"/>
        </w:rPr>
        <w:t>世界中医药学会联合会.中医证候诊断标准研制指南</w:t>
      </w:r>
      <w:r>
        <w:rPr>
          <w:rFonts w:hint="eastAsia" w:ascii="Times New Roman"/>
          <w:szCs w:val="21"/>
          <w:lang w:val="en-US" w:eastAsia="zh-CN"/>
        </w:rPr>
        <w:t xml:space="preserve">, </w:t>
      </w:r>
      <w:r>
        <w:rPr>
          <w:rFonts w:hint="default" w:ascii="Times New Roman"/>
          <w:szCs w:val="21"/>
        </w:rPr>
        <w:t>SCM 70—2022[S].北京:世界中医药学会联合会, 2022.</w:t>
      </w:r>
    </w:p>
    <w:p w14:paraId="43A7D5A5">
      <w:pPr>
        <w:pStyle w:val="32"/>
        <w:numPr>
          <w:ilvl w:val="0"/>
          <w:numId w:val="6"/>
        </w:numPr>
        <w:tabs>
          <w:tab w:val="center" w:pos="4201"/>
          <w:tab w:val="right" w:leader="dot" w:pos="9298"/>
        </w:tabs>
        <w:spacing w:line="360" w:lineRule="auto"/>
        <w:ind w:firstLine="0" w:firstLineChars="0"/>
        <w:rPr>
          <w:rFonts w:hint="default" w:ascii="Times New Roman"/>
          <w:szCs w:val="21"/>
        </w:rPr>
      </w:pPr>
      <w:r>
        <w:rPr>
          <w:rFonts w:hint="default" w:ascii="Times New Roman"/>
          <w:szCs w:val="21"/>
        </w:rPr>
        <w:t>国家中医药管理局</w:t>
      </w:r>
      <w:r>
        <w:rPr>
          <w:rFonts w:hint="eastAsia" w:ascii="Times New Roman"/>
          <w:szCs w:val="21"/>
          <w:lang w:val="en-US" w:eastAsia="zh-CN"/>
        </w:rPr>
        <w:t>.</w:t>
      </w:r>
      <w:r>
        <w:rPr>
          <w:rFonts w:hint="default" w:ascii="Times New Roman"/>
          <w:szCs w:val="21"/>
        </w:rPr>
        <w:t>中医病证诊断与疗效评价规范制修订通则</w:t>
      </w:r>
      <w:r>
        <w:rPr>
          <w:rFonts w:hint="eastAsia" w:ascii="Times New Roman"/>
          <w:szCs w:val="21"/>
          <w:lang w:val="en-US" w:eastAsia="zh-CN"/>
        </w:rPr>
        <w:t xml:space="preserve">, </w:t>
      </w:r>
      <w:r>
        <w:rPr>
          <w:rFonts w:hint="default" w:ascii="Times New Roman"/>
          <w:szCs w:val="21"/>
        </w:rPr>
        <w:t xml:space="preserve"> ZY/T 10—2024[S].北京:中国中医药出版社, 2024.</w:t>
      </w:r>
    </w:p>
    <w:bookmarkEnd w:id="3"/>
    <w:bookmarkEnd w:id="4"/>
    <w:p w14:paraId="2F3384BB">
      <w:pPr>
        <w:pStyle w:val="32"/>
        <w:tabs>
          <w:tab w:val="center" w:pos="4201"/>
          <w:tab w:val="right" w:leader="dot" w:pos="9298"/>
        </w:tabs>
        <w:snapToGrid w:val="0"/>
        <w:spacing w:line="360" w:lineRule="auto"/>
        <w:ind w:firstLine="0" w:firstLineChars="0"/>
        <w:rPr>
          <w:rFonts w:ascii="Times New Roman"/>
          <w:szCs w:val="21"/>
        </w:rPr>
      </w:pPr>
    </w:p>
    <w:sectPr>
      <w:headerReference r:id="rId11" w:type="default"/>
      <w:footerReference r:id="rId12" w:type="default"/>
      <w:endnotePr>
        <w:numFmt w:val="decimal"/>
      </w:endnotePr>
      <w:pgSz w:w="11906" w:h="16838"/>
      <w:pgMar w:top="1440" w:right="1797" w:bottom="1440" w:left="1797" w:header="850" w:footer="992" w:gutter="0"/>
      <w:pgNumType w:start="1"/>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 w:name="FZXiaoBiaoSong-B05S">
    <w:panose1 w:val="02000000000000000000"/>
    <w:charset w:val="86"/>
    <w:family w:val="swiss"/>
    <w:pitch w:val="default"/>
    <w:sig w:usb0="A00002BF" w:usb1="184F6CFA" w:usb2="00000012" w:usb3="00000000" w:csb0="00040001" w:csb1="00000000"/>
  </w:font>
  <w:font w:name=".AppleSystemUIFont">
    <w:altName w:val="C059"/>
    <w:panose1 w:val="00000000000000000000"/>
    <w:charset w:val="00"/>
    <w:family w:val="roman"/>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UICTFontTextStyleBody">
    <w:altName w:val="C059"/>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BD753">
    <w:pPr>
      <w:pStyle w:val="12"/>
      <w:ind w:firstLine="360"/>
      <w:rPr>
        <w:rFonts w:hint="eastAsia"/>
      </w:rPr>
    </w:pPr>
  </w:p>
  <w:p w14:paraId="0720520A">
    <w:pPr>
      <w:pStyle w:val="12"/>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C1C28">
    <w:pPr>
      <w:pStyle w:val="12"/>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41BB5">
    <w:pPr>
      <w:pStyle w:val="12"/>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F7D65">
    <w:pPr>
      <w:pStyle w:val="12"/>
      <w:ind w:firstLine="360"/>
      <w:rPr>
        <w:rFonts w:hint="eastAsia"/>
      </w:rPr>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DFD9AD">
                          <w:pPr>
                            <w:pStyle w:val="12"/>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9</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0FDFD9AD">
                    <w:pPr>
                      <w:pStyle w:val="12"/>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9</w:t>
                    </w:r>
                    <w:r>
                      <w:rPr>
                        <w:rFonts w:ascii="Times New Roman" w:hAnsi="Times New Roman" w:cs="Times New Roman"/>
                      </w:rP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535D43">
                          <w:pPr>
                            <w:pStyle w:val="12"/>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5535D43">
                    <w:pPr>
                      <w:pStyle w:val="12"/>
                      <w:rPr>
                        <w:rFonts w:hint="eastAsi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B34F5">
    <w:pPr>
      <w:pStyle w:val="13"/>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531E2">
    <w:pPr>
      <w:pStyle w:val="13"/>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EB7F8">
    <w:pPr>
      <w:pStyle w:val="13"/>
      <w:ind w:firstLine="360"/>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F5DF8">
    <w:pPr>
      <w:pStyle w:val="13"/>
      <w:wordWrap w:val="0"/>
      <w:jc w:val="right"/>
      <w:rPr>
        <w:rFonts w:hint="eastAsia" w:ascii="黑体" w:hAnsi="黑体" w:eastAsia="黑体"/>
        <w:spacing w:val="10"/>
        <w:sz w:val="21"/>
        <w:szCs w:val="21"/>
      </w:rPr>
    </w:pPr>
    <w:r>
      <w:rPr>
        <w:rFonts w:ascii="黑体" w:hAnsi="黑体" w:eastAsia="黑体"/>
        <w:sz w:val="21"/>
        <w:szCs w:val="21"/>
      </w:rPr>
      <w:t xml:space="preserve">T/CACM </w:t>
    </w:r>
    <w:r>
      <w:rPr>
        <w:rFonts w:hint="eastAsia" w:ascii="黑体" w:hAnsi="黑体" w:eastAsia="黑体"/>
        <w:spacing w:val="10"/>
        <w:sz w:val="21"/>
        <w:szCs w:val="21"/>
      </w:rPr>
      <w:t>****</w:t>
    </w:r>
    <w:r>
      <w:rPr>
        <w:rFonts w:ascii="黑体" w:hAnsi="黑体" w:eastAsia="黑体"/>
        <w:spacing w:val="10"/>
        <w:sz w:val="21"/>
        <w:szCs w:val="21"/>
      </w:rPr>
      <w:t>－20</w:t>
    </w:r>
    <w:r>
      <w:rPr>
        <w:rFonts w:hint="eastAsia" w:ascii="黑体" w:hAnsi="黑体" w:eastAsia="黑体"/>
        <w:spacing w:val="10"/>
        <w:sz w:val="21"/>
        <w:szCs w:val="21"/>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657F9A"/>
    <w:multiLevelType w:val="singleLevel"/>
    <w:tmpl w:val="B4657F9A"/>
    <w:lvl w:ilvl="0" w:tentative="0">
      <w:start w:val="1"/>
      <w:numFmt w:val="decimal"/>
      <w:suff w:val="space"/>
      <w:lvlText w:val="[%1]"/>
      <w:lvlJc w:val="left"/>
    </w:lvl>
  </w:abstractNum>
  <w:abstractNum w:abstractNumId="1">
    <w:nsid w:val="0E9B7E69"/>
    <w:multiLevelType w:val="multilevel"/>
    <w:tmpl w:val="0E9B7E69"/>
    <w:lvl w:ilvl="0" w:tentative="0">
      <w:start w:val="1"/>
      <w:numFmt w:val="decimal"/>
      <w:pStyle w:val="4"/>
      <w:suff w:val="nothing"/>
      <w:lvlText w:val="8.%1  "/>
      <w:lvlJc w:val="left"/>
      <w:pPr>
        <w:ind w:left="0" w:firstLine="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1DACB92B"/>
    <w:multiLevelType w:val="singleLevel"/>
    <w:tmpl w:val="1DACB92B"/>
    <w:lvl w:ilvl="0" w:tentative="0">
      <w:start w:val="5"/>
      <w:numFmt w:val="decimal"/>
      <w:suff w:val="space"/>
      <w:lvlText w:val="%1."/>
      <w:lvlJc w:val="left"/>
    </w:lvl>
  </w:abstractNum>
  <w:abstractNum w:abstractNumId="3">
    <w:nsid w:val="1FC91163"/>
    <w:multiLevelType w:val="multilevel"/>
    <w:tmpl w:val="1FC91163"/>
    <w:lvl w:ilvl="0" w:tentative="0">
      <w:start w:val="1"/>
      <w:numFmt w:val="decimal"/>
      <w:pStyle w:val="38"/>
      <w:suff w:val="nothing"/>
      <w:lvlText w:val="%1　"/>
      <w:lvlJc w:val="left"/>
      <w:pPr>
        <w:ind w:left="0" w:firstLine="0"/>
      </w:pPr>
      <w:rPr>
        <w:rFonts w:hint="default" w:ascii="Times New Roman" w:hAnsi="Times New Roman" w:eastAsia="黑体" w:cs="Times New Roman"/>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suff w:val="nothing"/>
      <w:lvlText w:val="%1.%2.%3　"/>
      <w:lvlJc w:val="left"/>
      <w:pPr>
        <w:ind w:left="284" w:firstLine="0"/>
      </w:pPr>
      <w:rPr>
        <w:rFonts w:hint="eastAsia" w:ascii="黑体" w:hAnsi="Times New Roman" w:eastAsia="黑体"/>
        <w:b w:val="0"/>
        <w:i w:val="0"/>
        <w:sz w:val="21"/>
      </w:rPr>
    </w:lvl>
    <w:lvl w:ilvl="3" w:tentative="0">
      <w:start w:val="1"/>
      <w:numFmt w:val="decimal"/>
      <w:lvlText w:val="6.%4  "/>
      <w:lvlJc w:val="left"/>
      <w:pPr>
        <w:ind w:left="440" w:hanging="440"/>
      </w:pPr>
      <w:rPr>
        <w:rFonts w:hint="eastAsia"/>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555B5694"/>
    <w:multiLevelType w:val="multilevel"/>
    <w:tmpl w:val="555B5694"/>
    <w:lvl w:ilvl="0" w:tentative="0">
      <w:start w:val="1"/>
      <w:numFmt w:val="decimal"/>
      <w:pStyle w:val="34"/>
      <w:suff w:val="nothing"/>
      <w:lvlText w:val="4.%1  "/>
      <w:lvlJc w:val="left"/>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6CEA2025"/>
    <w:multiLevelType w:val="multilevel"/>
    <w:tmpl w:val="6CEA2025"/>
    <w:lvl w:ilvl="0" w:tentative="0">
      <w:start w:val="1"/>
      <w:numFmt w:val="none"/>
      <w:pStyle w:val="39"/>
      <w:suff w:val="nothing"/>
      <w:lvlText w:val="%1"/>
      <w:lvlJc w:val="left"/>
      <w:pPr>
        <w:ind w:left="0" w:firstLine="0"/>
      </w:pPr>
      <w:rPr>
        <w:rFonts w:hint="default" w:ascii="Times New Roman" w:hAnsi="Times New Roman"/>
        <w:b/>
        <w:i w:val="0"/>
        <w:sz w:val="21"/>
      </w:rPr>
    </w:lvl>
    <w:lvl w:ilvl="1" w:tentative="0">
      <w:start w:val="1"/>
      <w:numFmt w:val="decimal"/>
      <w:pStyle w:val="31"/>
      <w:suff w:val="nothing"/>
      <w:lvlText w:val="%1%2　"/>
      <w:lvlJc w:val="left"/>
      <w:pPr>
        <w:ind w:left="360" w:firstLine="0"/>
      </w:pPr>
      <w:rPr>
        <w:rFonts w:hint="default" w:ascii="Times New Roman" w:hAnsi="Times New Roman" w:eastAsia="黑体" w:cs="Times New Roman"/>
        <w:b w:val="0"/>
        <w:i w:val="0"/>
        <w:sz w:val="21"/>
      </w:rPr>
    </w:lvl>
    <w:lvl w:ilvl="2" w:tentative="0">
      <w:start w:val="1"/>
      <w:numFmt w:val="decimal"/>
      <w:suff w:val="nothing"/>
      <w:lvlText w:val="8.%3  "/>
      <w:lvlJc w:val="left"/>
      <w:pPr>
        <w:ind w:left="0" w:firstLine="0"/>
      </w:pPr>
      <w:rPr>
        <w:rFonts w:hint="eastAsia"/>
      </w:rPr>
    </w:lvl>
    <w:lvl w:ilvl="3" w:tentative="0">
      <w:start w:val="1"/>
      <w:numFmt w:val="decimal"/>
      <w:pStyle w:val="37"/>
      <w:lvlText w:val="7.%4  "/>
      <w:lvlJc w:val="left"/>
      <w:pPr>
        <w:ind w:left="440" w:hanging="440"/>
      </w:pPr>
      <w:rPr>
        <w:rFonts w:hint="eastAsia"/>
      </w:rPr>
    </w:lvl>
    <w:lvl w:ilvl="4" w:tentative="0">
      <w:start w:val="1"/>
      <w:numFmt w:val="decimal"/>
      <w:suff w:val="nothing"/>
      <w:lvlText w:val="%1%2.%3.%4.%5　"/>
      <w:lvlJc w:val="left"/>
      <w:pPr>
        <w:ind w:left="54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5"/>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VjMmI4YzM4MzBjODUxNmExN2RkZWIxZmIyY2E1ZjcifQ=="/>
    <w:docVar w:name="NE.Ref{09B966C4-A7BF-4B49-A426-EC3D9FFB905F}" w:val=" ADDIN NE.Ref.{09B966C4-A7BF-4B49-A426-EC3D9FFB905F}&lt;Citation&gt;&lt;Group&gt;&lt;References&gt;&lt;Item&gt;&lt;ID&gt;3279&lt;/ID&gt;&lt;UID&gt;{8C83E92C-64E2-4525-B2E0-F74C649FD074}&lt;/UID&gt;&lt;Title&gt;A Review of Testing for Distinguishing Hashimoto&amp;apos;s Thyroiditis in the Hyperthyroid Stage and Grave&amp;apos;s Disease&lt;/Title&gt;&lt;Template&gt;Journal Article&lt;/Template&gt;&lt;Star&gt;0&lt;/Star&gt;&lt;Tag&gt;0&lt;/Tag&gt;&lt;Author&gt;Y, Liu; X, Liu; N, Wu&lt;/Author&gt;&lt;Year&gt;2023&lt;/Year&gt;&lt;Details&gt;&lt;_accessed&gt;65707852&lt;/_accessed&gt;&lt;_created&gt;65664916&lt;/_created&gt;&lt;_issue&gt;16&lt;/_issue&gt;&lt;_journal&gt;Int J Gen Med&lt;/_journal&gt;&lt;_modified&gt;65707852&lt;/_modified&gt;&lt;_pages&gt;2355-2363&lt;/_pages&gt;&lt;/Details&gt;&lt;Extra&gt;&lt;DBUID&gt;{F96A950B-833F-4880-A151-76DA2D6A2879}&lt;/DBUID&gt;&lt;/Extra&gt;&lt;/Item&gt;&lt;/References&gt;&lt;/Group&gt;&lt;/Citation&gt;_x000a_"/>
    <w:docVar w:name="NE.Ref{09D18DE0-AD5E-4D2D-BBCC-477E0DEE206D}" w:val=" ADDIN NE.Ref.{09D18DE0-AD5E-4D2D-BBCC-477E0DEE206D}&lt;Citation&gt;&lt;Group&gt;&lt;References&gt;&lt;Item&gt;&lt;ID&gt;494&lt;/ID&gt;&lt;UID&gt;{E6A3A2FE-B59D-4790-9E93-B4B8B1711835}&lt;/UID&gt;&lt;Title&gt;The natural course of Hashimoto&amp;apos;s thyroiditis in children and adolescents&lt;/Title&gt;&lt;Template&gt;Journal Article&lt;/Template&gt;&lt;Star&gt;0&lt;/Star&gt;&lt;Tag&gt;0&lt;/Tag&gt;&lt;Author&gt;Lee, H S; Hwang, J S&lt;/Author&gt;&lt;Year&gt;2014&lt;/Year&gt;&lt;Details&gt;&lt;_accession_num&gt;24756046&lt;/_accession_num&gt;&lt;_collection_scope&gt;SCIE&lt;/_collection_scope&gt;&lt;_created&gt;65604216&lt;/_created&gt;&lt;_date&gt;2014-09-01&lt;/_date&gt;&lt;_date_display&gt;2014 Sep&lt;/_date_display&gt;&lt;_doi&gt;10.1515/jpem-2013-0373&lt;/_doi&gt;&lt;_impact_factor&gt;   1.520&lt;/_impact_factor&gt;&lt;_isbn&gt;2191-0251 (Electronic); 0334-018X (Linking)&lt;/_isbn&gt;&lt;_issue&gt;9-10&lt;/_issue&gt;&lt;_journal&gt;J Pediatr Endocrinol Metab&lt;/_journal&gt;&lt;_language&gt;eng&lt;/_language&gt;&lt;_modified&gt;65604216&lt;/_modified&gt;&lt;_pages&gt;807-12&lt;/_pages&gt;&lt;_social_category&gt;内分泌学与代谢(4) &amp;amp; 儿科(4)&lt;/_social_category&gt;&lt;_subject_headings&gt;Adolescent; Child; Disease Progression; Female; Hashimoto Disease/blood/drug therapy/*physiopathology; Humans; Hypothyroidism/blood/drug therapy/*physiopathology; Male; Retrospective Studies; Thyroid Function Tests; Thyroid Gland/immunology/*physiopathology; Thyrotropin/blood; Thyroxine/blood/therapeutic use; Triiodothyronine/blood&lt;/_subject_headings&gt;&lt;_tertiary_title&gt;Journal of pediatric endocrinology &amp;amp; metabolism : JPEM&lt;/_tertiary_title&gt;&lt;_type_work&gt;Journal Article&lt;/_type_work&gt;&lt;_url&gt;http://www.ncbi.nlm.nih.gov/entrez/query.fcgi?cmd=Retrieve&amp;amp;db=pubmed&amp;amp;dopt=Abstract&amp;amp;list_uids=24756046&amp;amp;query_hl=1&lt;/_url&gt;&lt;_volume&gt;27&lt;/_volume&gt;&lt;/Details&gt;&lt;Extra&gt;&lt;DBUID&gt;{F96A950B-833F-4880-A151-76DA2D6A2879}&lt;/DBUID&gt;&lt;/Extra&gt;&lt;/Item&gt;&lt;/References&gt;&lt;/Group&gt;&lt;/Citation&gt;_x000a_"/>
    <w:docVar w:name="NE.Ref{259DD885-C931-4A11-858C-91EB16F44154}" w:val=" ADDIN NE.Ref.{259DD885-C931-4A11-858C-91EB16F44154}&lt;Citation&gt;&lt;Group&gt;&lt;References&gt;&lt;Item&gt;&lt;ID&gt;3282&lt;/ID&gt;&lt;UID&gt;{A069364A-1460-4815-8907-8DECA9AC35E1}&lt;/UID&gt;&lt;Title&gt;彩色多普勒超声对桥本氏甲状腺炎与Graves病的鉴别诊断研究&lt;/Title&gt;&lt;Template&gt;Journal Article&lt;/Template&gt;&lt;Star&gt;0&lt;/Star&gt;&lt;Tag&gt;0&lt;/Tag&gt;&lt;Author&gt;余卫峰; 曾志雄; 林少坤&lt;/Author&gt;&lt;Year&gt;2023&lt;/Year&gt;&lt;Details&gt;&lt;_accessed&gt;65665055&lt;/_accessed&gt;&lt;_created&gt;65664973&lt;/_created&gt;&lt;_db_provider&gt;北京万方数据股份有限公司&lt;/_db_provider&gt;&lt;_doi&gt;10.3969/j.issn.1002-2376.2023.04.009&lt;/_doi&gt;&lt;_issue&gt;4&lt;/_issue&gt;&lt;_journal&gt;医疗装备&lt;/_journal&gt;&lt;_keywords&gt;彩色多普勒超声; 桥本氏甲状腺炎; Graves病; 鉴别诊断&lt;/_keywords&gt;&lt;_modified&gt;65665055&lt;/_modified&gt;&lt;_volume&gt;36&lt;/_volume&gt;&lt;_translated_author&gt;Yu, Wei feng;Ceng, Zhi xiong;Lin, Shao kun&lt;/_translated_author&gt;&lt;/Details&gt;&lt;Extra&gt;&lt;DBUID&gt;{F96A950B-833F-4880-A151-76DA2D6A2879}&lt;/DBUID&gt;&lt;/Extra&gt;&lt;/Item&gt;&lt;/References&gt;&lt;/Group&gt;&lt;/Citation&gt;_x000a_"/>
    <w:docVar w:name="NE.Ref{2C408E8A-FC2D-4F0C-B78C-0DC1080F9B6F}" w:val=" ADDIN NE.Ref.{2C408E8A-FC2D-4F0C-B78C-0DC1080F9B6F}&lt;Citation&gt;&lt;Group&gt;&lt;References&gt;&lt;Item&gt;&lt;ID&gt;3240&lt;/ID&gt;&lt;UID&gt;{EC8B1CCD-1AD2-4767-B60B-6FE40006F98F}&lt;/UID&gt;&lt;Title&gt;唐汉钧治疗桥本甲状腺炎经验撷英&lt;/Title&gt;&lt;Template&gt;Journal Article&lt;/Template&gt;&lt;Star&gt;0&lt;/Star&gt;&lt;Tag&gt;0&lt;/Tag&gt;&lt;Author&gt;邢捷; 唐汉钧&lt;/Author&gt;&lt;Year&gt;2015&lt;/Year&gt;&lt;Details&gt;&lt;_author_adr&gt;上海中医药大学附属龙华医院中医外科;&lt;/_author_adr&gt;&lt;_created&gt;65646214&lt;/_created&gt;&lt;_db_provider&gt;CNKI&lt;/_db_provider&gt;&lt;_doi&gt;10.16305/j.1007-1334.2015.09.006&lt;/_doi&gt;&lt;_isbn&gt;1007-1334&lt;/_isbn&gt;&lt;_issue&gt;09&lt;/_issue&gt;&lt;_journal&gt;上海中医药杂志&lt;/_journal&gt;&lt;_keywords&gt;桥本甲状腺炎;扶正清瘿方;名医经验;唐汉钧&lt;/_keywords&gt;&lt;_modified&gt;65646214&lt;/_modified&gt;&lt;_pages&gt;15-17&lt;/_pages&gt;&lt;_url&gt;https://link.cnki.net/doi/10.16305/j.1007-1334.2015.09.006&lt;/_url&gt;&lt;_volume&gt;49&lt;/_volume&gt;&lt;_translated_author&gt;Xing, Jie;Tang, Han jun&lt;/_translated_author&gt;&lt;/Details&gt;&lt;Extra&gt;&lt;DBUID&gt;{F96A950B-833F-4880-A151-76DA2D6A2879}&lt;/DBUID&gt;&lt;/Extra&gt;&lt;/Item&gt;&lt;/References&gt;&lt;/Group&gt;&lt;/Citation&gt;_x000a_"/>
    <w:docVar w:name="NE.Ref{2FDAA3EC-14F9-4965-9DFF-5EB464E1D73E}" w:val=" ADDIN NE.Ref.{2FDAA3EC-14F9-4965-9DFF-5EB464E1D73E}&lt;Citation&gt;&lt;Group&gt;&lt;References&gt;&lt;Item&gt;&lt;ID&gt;3280&lt;/ID&gt;&lt;UID&gt;{A70EC962-6557-4C64-B251-580459574A12}&lt;/UID&gt;&lt;Title&gt;Diagnosis and Management of Thyroiditis: Hashimoto&lt;/Title&gt;&lt;Template&gt;Journal Article&lt;/Template&gt;&lt;Star&gt;0&lt;/Star&gt;&lt;Tag&gt;0&lt;/Tag&gt;&lt;Author&gt;Russell, M D; Chiang, J&lt;/Author&gt;&lt;Year&gt;2022&lt;/Year&gt;&lt;Details&gt;&lt;_accessed&gt;65664972&lt;/_accessed&gt;&lt;_created&gt;65664926&lt;/_created&gt;&lt;_issue&gt; 19 January&lt;/_issue&gt;&lt;_journal&gt;Endocrine Surgery Comprehensive Board Exam Guide&lt;/_journal&gt;&lt;_modified&gt;65664972&lt;/_modified&gt;&lt;_pages&gt; 83-105&lt;/_pages&gt;&lt;/Details&gt;&lt;Extra&gt;&lt;DBUID&gt;{F96A950B-833F-4880-A151-76DA2D6A2879}&lt;/DBUID&gt;&lt;/Extra&gt;&lt;/Item&gt;&lt;/References&gt;&lt;/Group&gt;&lt;/Citation&gt;_x000a_"/>
    <w:docVar w:name="NE.Ref{3BB405D2-D0AC-4F57-840E-0E5149CB4049}" w:val=" ADDIN NE.Ref.{3BB405D2-D0AC-4F57-840E-0E5149CB4049}&lt;Citation&gt;&lt;Group&gt;&lt;References&gt;&lt;Item&gt;&lt;ID&gt;2968&lt;/ID&gt;&lt;UID&gt;{ABD3714F-1C09-4548-823A-EA47A646A090}&lt;/UID&gt;&lt;Title&gt;中国甲状腺疾病诊治指南——甲状腺炎&lt;/Title&gt;&lt;Template&gt;Journal Article&lt;/Template&gt;&lt;Star&gt;0&lt;/Star&gt;&lt;Tag&gt;0&lt;/Tag&gt;&lt;Author&gt;编写中华医学会内分泌学分会中国甲状腺疾病诊治指南&lt;/Author&gt;&lt;Year&gt;2008&lt;/Year&gt;&lt;Details&gt;&lt;_collection_scope&gt;PKU;CSCD&lt;/_collection_scope&gt;&lt;_created&gt;65634608&lt;/_created&gt;&lt;_db_provider&gt;北京万方数据股份有限公司&lt;/_db_provider&gt;&lt;_doi&gt;10.3321/j.issn:0578-1426.2008.09.032&lt;/_doi&gt;&lt;_issue&gt;9&lt;/_issue&gt;&lt;_journal&gt;中华内科杂志&lt;/_journal&gt;&lt;_language&gt;chi _x000d__x000a_基金项目:&lt;/_language&gt;&lt;_modified&gt;65634608&lt;/_modified&gt;&lt;_pages&gt;784-788&lt;/_pages&gt;&lt;_url&gt;https://d.wanfangdata.com.cn/periodical/ChlQZXJpb2RpY2FsQ0hJTmV3UzIwMjQwNzA0Eg16aG5rMjAwODA5MDMyGghjeHBudzgxbQ%3D%3D&lt;/_url&gt;&lt;_volume&gt;47&lt;/_volume&gt;&lt;_translated_author&gt;Bian, Xie zhong hua yi&lt;/_translated_author&gt;&lt;/Details&gt;&lt;Extra&gt;&lt;DBUID&gt;{F96A950B-833F-4880-A151-76DA2D6A2879}&lt;/DBUID&gt;&lt;/Extra&gt;&lt;/Item&gt;&lt;/References&gt;&lt;/Group&gt;&lt;/Citation&gt;_x000a_"/>
    <w:docVar w:name="NE.Ref{42F967EC-F9BF-4BB6-BD60-EC631FF69ACB}" w:val=" ADDIN NE.Ref.{42F967EC-F9BF-4BB6-BD60-EC631FF69ACB}&lt;Citation&gt;&lt;Group&gt;&lt;References&gt;&lt;Item&gt;&lt;ID&gt;496&lt;/ID&gt;&lt;UID&gt;{2BA42B4E-7259-42AA-BBE0-56D23FB78CCC}&lt;/UID&gt;&lt;Title&gt;桥本氏甲状腺炎中西医结合质量控制指标体系北京专家共识（2021版）&lt;/Title&gt;&lt;Template&gt;Journal Article&lt;/Template&gt;&lt;Star&gt;0&lt;/Star&gt;&lt;Tag&gt;0&lt;/Tag&gt;&lt;Author/&gt;&lt;Year&gt;2021&lt;/Year&gt;&lt;Details&gt;&lt;_author_adr&gt;北京中西医结合学会甲状腺病专业委员会;&lt;/_author_adr&gt;&lt;_created&gt;65604222&lt;/_created&gt;&lt;_db_provider&gt;CNKI&lt;/_db_provider&gt;&lt;_isbn&gt;1001-0025&lt;/_isbn&gt;&lt;_issue&gt;06&lt;/_issue&gt;&lt;_journal&gt;中日友好医院学报&lt;/_journal&gt;&lt;_keywords&gt;桥本氏甲状腺炎;中西医结合;医疗质量;质量控制;专家共识&lt;/_keywords&gt;&lt;_modified&gt;65604222&lt;/_modified&gt;&lt;_pages&gt;323-327&lt;/_pages&gt;&lt;_url&gt;https://kns.cnki.net/kcms2/article/abstract?v=Fc1KeZPKhRHbb5eiWLVs8FxsIvbawiK74AzoPiWDfy6-dzM_pbqNr75qJrfkjq1GGGqhkwau39CJZYmTd0RRgSdEn0r0aC4nBzpOlcIJ-DyEGBVOtM8IP_kVBzapjv7AmmoGoVQtPL0Mh0lvUSbNLs1leqQFE6MK3rjRHxQnmk0V6axhfF9Pvt8Bfmsg5HLxQkdHb2s8KtE=&amp;amp;uniplatform=NZKPT&amp;amp;language=CHS&lt;/_url&gt;&lt;_volume&gt;35&lt;/_volume&gt;&lt;/Details&gt;&lt;Extra&gt;&lt;DBUID&gt;{F96A950B-833F-4880-A151-76DA2D6A2879}&lt;/DBUID&gt;&lt;/Extra&gt;&lt;/Item&gt;&lt;/References&gt;&lt;/Group&gt;&lt;Group&gt;&lt;References&gt;&lt;Item&gt;&lt;ID&gt;3252&lt;/ID&gt;&lt;UID&gt;{D63E0D70-9A11-4224-B4CC-3B4CD74A031A}&lt;/UID&gt;&lt;Title&gt;精细化膳食处方联合情绪调控对桥本氏甲状腺炎患者健康状况的干预效果研究&lt;/Title&gt;&lt;Template&gt;Thesis&lt;/Template&gt;&lt;Star&gt;0&lt;/Star&gt;&lt;Tag&gt;0&lt;/Tag&gt;&lt;Author&gt;杨雪威&lt;/Author&gt;&lt;Year&gt;2018&lt;/Year&gt;&lt;Details&gt;&lt;_created&gt;65647527&lt;/_created&gt;&lt;_db_provider&gt;CNKI&lt;/_db_provider&gt;&lt;_keywords&gt;精细化膳食处方;情绪调控;桥本氏甲状腺炎;健康状况&lt;/_keywords&gt;&lt;_modified&gt;65647527&lt;/_modified&gt;&lt;_publisher&gt;锦州医科大学&lt;/_publisher&gt;&lt;_tertiary_author&gt;徐锦江&lt;/_tertiary_author&gt;&lt;_type_work&gt;硕士&lt;/_type_work&gt;&lt;_url&gt;https://next.cnki.net/middle/abstract?v=64ENavj7QCAQN-Ef6OnHudwp0S6q2unSxK5hE7jNVX-EFmQ8LAFKXzefO-TaBpcdoapFGWXVR8iHd3Tzq6hlXyeMYRRcblnRtoPLpvF8Bmb_7LSEaAT6UberY-HEopfsBFApoidnFpcDWChK7jpvNN5IbL1i8BPrd5jTjDxize5b1HX23tE4bNi23x87pBTkYsbOB8pYYw1T0w2WWQBVmQ==&amp;amp;uniplatform=NZKPT&amp;amp;language=CHS&amp;amp;scence=null&lt;/_url&gt;&lt;_translated_author&gt;Yang, Xue wei&lt;/_translated_author&gt;&lt;_translated_tertiary_author&gt;Xu, Jin jiang&lt;/_translated_tertiary_author&gt;&lt;/Details&gt;&lt;Extra&gt;&lt;DBUID&gt;{F96A950B-833F-4880-A151-76DA2D6A2879}&lt;/DBUID&gt;&lt;/Extra&gt;&lt;/Item&gt;&lt;/References&gt;&lt;/Group&gt;&lt;Group&gt;&lt;References&gt;&lt;Item&gt;&lt;ID&gt;3253&lt;/ID&gt;&lt;UID&gt;{34CF32F9-4904-427F-AAA5-28B1C0B4BF87}&lt;/UID&gt;&lt;Title&gt;桥本甲状腺炎对小鼠情绪行为的影响及其神经炎性机制研究&lt;/Title&gt;&lt;Template&gt;Thesis&lt;/Template&gt;&lt;Star&gt;0&lt;/Star&gt;&lt;Tag&gt;0&lt;/Tag&gt;&lt;Author&gt;蔡瑶俊&lt;/Author&gt;&lt;Year&gt;2019&lt;/Year&gt;&lt;Details&gt;&lt;_accessed&gt;65664808&lt;/_accessed&gt;&lt;_created&gt;65647529&lt;/_created&gt;&lt;_db_provider&gt;CNKI&lt;/_db_provider&gt;&lt;_keywords&gt;桥本甲状腺炎;神经炎症;焦虑;抑郁;5-羟色胺&lt;/_keywords&gt;&lt;_modified&gt;65664808&lt;/_modified&gt;&lt;_publisher&gt;安徽医科大学&lt;/_publisher&gt;&lt;_tertiary_author&gt;朱德发&lt;/_tertiary_author&gt;&lt;_type_work&gt;博士&lt;/_type_work&gt;&lt;_url&gt;https://next.cnki.net/middle/abstract?v=64ENavj7QCBAfLWeARMLa3mRgitheMIa34DLrOWhymRmnAvLp976609ot25va16yVlMO8VmtLGOa5DFME8Zbz5roB9tc7WZTYESjOCRgY5EUeYLI-lp3FsM2lo-GIQ-77W8-kmWh8W0pPwQ_oYlKCnr98STeJUuSsPoUYNMda_Dg--KD0Lu-xN7pfe37v9AUOBtvqFkpGcOA7X1WZaJalg==&amp;amp;uniplatform=NZKPT&amp;amp;language=CHS&amp;amp;scence=null&lt;/_url&gt;&lt;_translated_author&gt;Cai, Yao jun&lt;/_translated_author&gt;&lt;_translated_tertiary_author&gt;Zhu, De fa&lt;/_translated_tertiary_author&gt;&lt;/Details&gt;&lt;Extra&gt;&lt;DBUID&gt;{F96A950B-833F-4880-A151-76DA2D6A2879}&lt;/DBUID&gt;&lt;/Extra&gt;&lt;/Item&gt;&lt;/References&gt;&lt;/Group&gt;&lt;/Citation&gt;_x000a_"/>
    <w:docVar w:name="NE.Ref{47E4183A-DBED-42DF-895B-08A1CBDE8446}" w:val=" ADDIN NE.Ref.{47E4183A-DBED-42DF-895B-08A1CBDE8446}&lt;Citation&gt;&lt;Group&gt;&lt;References&gt;&lt;Item&gt;&lt;ID&gt;3241&lt;/ID&gt;&lt;UID&gt;{17721C63-6789-4427-A94C-6C2EDC5CBC08}&lt;/UID&gt;&lt;Title&gt;过量碘调节甲状腺细胞自噬和凋亡以及与桥本甲状腺炎关系的研究&lt;/Title&gt;&lt;Template&gt;Thesis&lt;/Template&gt;&lt;Star&gt;0&lt;/Star&gt;&lt;Tag&gt;0&lt;/Tag&gt;&lt;Author&gt;许铖铖&lt;/Author&gt;&lt;Year&gt;2015&lt;/Year&gt;&lt;Details&gt;&lt;_created&gt;65647382&lt;/_created&gt;&lt;_date&gt;2015-06-01&lt;/_date&gt;&lt;_db_provider&gt;北京万方数据股份有限公司&lt;/_db_provider&gt;&lt;_keywords&gt;桥本甲状腺炎; 发病机制; 碘过量; 细胞自噬; 诱导凋亡&lt;/_keywords&gt;&lt;_language&gt;chi&lt;/_language&gt;&lt;_modified&gt;65647382&lt;/_modified&gt;&lt;_publisher&gt;江苏大学&lt;/_publisher&gt;&lt;_section&gt;临床检验诊断学&lt;/_section&gt;&lt;_tertiary_author&gt;毛朝明&lt;/_tertiary_author&gt;&lt;_type_work&gt;硕士&lt;/_type_work&gt;&lt;_url&gt;https://d.wanfangdata.com.cn/thesis/ChhUaGVzaXNOZXdTMjAyNDA5MjAxNTE3MjUSCFkyNzk5OTY5GghqNmZ2NjQ4Yw%3D%3D&lt;/_url&gt;&lt;_translated_author&gt;Xu, Cheng cheng&lt;/_translated_author&gt;&lt;_translated_tertiary_author&gt;Mao, Chao ming&lt;/_translated_tertiary_author&gt;&lt;/Details&gt;&lt;Extra&gt;&lt;DBUID&gt;{F96A950B-833F-4880-A151-76DA2D6A2879}&lt;/DBUID&gt;&lt;/Extra&gt;&lt;/Item&gt;&lt;/References&gt;&lt;/Group&gt;&lt;Group&gt;&lt;References&gt;&lt;Item&gt;&lt;ID&gt;3242&lt;/ID&gt;&lt;UID&gt;{85B3ABEB-7CF7-42FF-86EC-B0785E8EA02E}&lt;/UID&gt;&lt;Title&gt;不同碘摄入量桥本甲状腺炎患者TNF-α、甲状腺自身抗体的相关性研究&lt;/Title&gt;&lt;Template&gt;Thesis&lt;/Template&gt;&lt;Star&gt;0&lt;/Star&gt;&lt;Tag&gt;0&lt;/Tag&gt;&lt;Author&gt;陈云霞&lt;/Author&gt;&lt;Year&gt;2011&lt;/Year&gt;&lt;Details&gt;&lt;_created&gt;65647389&lt;/_created&gt;&lt;_date&gt;2011-03-01&lt;/_date&gt;&lt;_db_provider&gt;北京万方数据股份有限公司&lt;/_db_provider&gt;&lt;_keywords&gt;桥本甲状腺炎; 尿碘测定; 甲状腺球蛋白; 抗甲状腺球蛋白抗体; 抗甲状腺过氧化物酶抗体; 肿瘤坏死因子-α; 免疫指标&lt;/_keywords&gt;&lt;_language&gt;chi&lt;/_language&gt;&lt;_modified&gt;65647389&lt;/_modified&gt;&lt;_publisher&gt;河北医科大学&lt;/_publisher&gt;&lt;_section&gt;内科学&lt;/_section&gt;&lt;_tertiary_author&gt;苏胜偶&lt;/_tertiary_author&gt;&lt;_type_work&gt;硕士&lt;/_type_work&gt;&lt;_url&gt;https://d.wanfangdata.com.cn/thesis/ChhUaGVzaXNOZXdTMjAyNDA5MjAxNTE3MjUSCFkxOTAxNTIyGgh3NzVramlydA%3D%3D&lt;/_url&gt;&lt;_translated_author&gt;Chen, Yun xia&lt;/_translated_author&gt;&lt;_translated_tertiary_author&gt;Su, Sheng&amp;apos;ou&lt;/_translated_tertiary_author&gt;&lt;/Details&gt;&lt;Extra&gt;&lt;DBUID&gt;{F96A950B-833F-4880-A151-76DA2D6A2879}&lt;/DBUID&gt;&lt;/Extra&gt;&lt;/Item&gt;&lt;/References&gt;&lt;/Group&gt;&lt;Group&gt;&lt;References&gt;&lt;Item&gt;&lt;ID&gt;3243&lt;/ID&gt;&lt;UID&gt;{AA04BD74-BA9D-446D-BFA6-577C8B5D9873}&lt;/UID&gt;&lt;Title&gt;过量碘诱导甲状腺细胞焦亡与桥本氏甲状腺炎相关机制研究&lt;/Title&gt;&lt;Template&gt;Journal Article&lt;/Template&gt;&lt;Star&gt;0&lt;/Star&gt;&lt;Tag&gt;0&lt;/Tag&gt;&lt;Author&gt;王森塬; 谭丽艳; 于学静&lt;/Author&gt;&lt;Year&gt;2021&lt;/Year&gt;&lt;Details&gt;&lt;_author_adr&gt;佳木斯大学附属第一医院|JG001164,佳木斯大学附属第一医院|JG001164&lt;/_author_adr&gt;&lt;_created&gt;65647405&lt;/_created&gt;&lt;_db_provider&gt;《中华医学杂志》社有限责任公司_x000d__x000a_{Language}：chi&lt;/_db_provider&gt;&lt;_isbn&gt;1673-4394&lt;/_isbn&gt;&lt;_issue&gt;06&lt;/_issue&gt;&lt;_journal&gt;国际免疫学杂志&lt;/_journal&gt;&lt;_keywords&gt;过量碘；细胞焦亡；桥本氏甲状腺炎_x000d__x000a_{Abstract}：目的_x000d__x000a_探究过量碘对甲状腺细胞焦亡的影响及焦亡与桥本氏甲状腺炎的相关性。_x000d__x000a__x000d__x000a_方法_x000d__x000a_将2019年1月至2020年2月佳木斯大学附属第一医院普外科手术取下的甲状腺腺瘤伴桥本甲状腺炎组织(实验组)及甲状腺结节周围正常组织样本(对照组)各6例立即保存于-80 ℃，提取RNA后实时荧光定量逆转录聚合酶链反应(quantificational real-time polymerase chain reaction，qRT-PCR)检测细胞焦亡相关因子NLR家族Pyrin域蛋白3( NLR family pyrin domain containing protein 3 ，NLRP3)、半胱氨酸天冬氨酸蛋白酶-1(cysteine-aspartic acid protease-1，caspase-1)以及白细胞介素-1β(interleukin-1β，IL-1β)的表达。应用不同浓度的碘化钾(1、10、20、50以及100 mmol/L)诱导甲状腺上皮细胞，12 h后进行CCK-8检测筛选最佳实验浓度并观察甲状腺细胞形态的变化以及NLRP3重组蛋白、caspase-1以及IL-1β的表达变化。加入caspase-1抑制剂后进一步观察NLRP3、caspase-1以及IL-1β的表达变化。_x000d__x000a__x000d__x000a_结果_x000d__x000a_桥本甲状腺炎患者手术组织标本中NLRP3、caspase-1以及IL-1β的表达水平升高[NLRP3：(3.58±0.98)比(1.02±0.29)；caspase-1：(3.37±0.46)比(1.03±0.47)；IL-1β：(3.48±0.87)比(1.09±0.61)，t值分别为9.863、9.057、7.875，P值均&amp;amp;lt;0.05]；在细胞实验中，以50 mmol/L碘化钾处理甲状腺上皮细胞时的细胞形态变化最显著，细胞中的NLRP3，caspase-1以及IL-1β的mRNA[NLRP3：(2.87±0.82)比(1.04±0.39)；caspase-1：(2.85±0.78)比(1.06±0.47)；IL-1β：(3.10±1.01)比(1.06±0.24), t值分别为7.702、5.121、6.263, P值均&amp;amp;lt;0.05]及蛋白质[NLRP3：(3.21±1.13)比(1.04±0.61)；caspase-1：(2.78±0.29)比(1.06±0.94)；IL-1β: (2.99±0.56)比(1.24±0.27)，t值分别为8.194、10.290、14.090，P值均&amp;amp;lt;0.05]表达水平升高，加入caspase-1抑制剂后这种变化被一定程度的逆转。_x000d__x000a__x000d__x000a_结论_x000d__x000a_过量碘通过影响甲状腺细胞的焦亡参与桥本氏甲状腺炎的发生发展。_x000d__x000a_{URL}：https://rs.yiigle.com/cmaid/1345501&lt;/_keywords&gt;&lt;_modified&gt;65647405&lt;/_modified&gt;&lt;_pages&gt;609-614&lt;/_pages&gt;&lt;_translated_title&gt;Excessive iodine-induced pyroptosis of thyroid cells and related mechanisms of Hashimoto&amp;apos;s thyroiditis&lt;/_translated_title&gt;&lt;_translated_author&gt;Wang, Sen yuan;Tan, Li yan;Yu, Xue jing&lt;/_translated_author&gt;&lt;/Details&gt;&lt;Extra&gt;&lt;DBUID&gt;{F96A950B-833F-4880-A151-76DA2D6A2879}&lt;/DBUID&gt;&lt;/Extra&gt;&lt;/Item&gt;&lt;/References&gt;&lt;/Group&gt;&lt;Group&gt;&lt;References&gt;&lt;Item&gt;&lt;ID&gt;3244&lt;/ID&gt;&lt;UID&gt;{0BF7C609-8CC8-45C5-9BFD-815C8368FB8D}&lt;/UID&gt;&lt;Title&gt;碘过量与桥本氏甲状腺炎之间关系的研究进展&lt;/Title&gt;&lt;Template&gt;Journal Article&lt;/Template&gt;&lt;Star&gt;0&lt;/Star&gt;&lt;Tag&gt;0&lt;/Tag&gt;&lt;Author&gt;陈雪梅; 刘燚; 范源; 瞿博&lt;/Author&gt;&lt;Year&gt;2014&lt;/Year&gt;&lt;Details&gt;&lt;_accessed&gt;65664814&lt;/_accessed&gt;&lt;_author_adr&gt;云南中医学院; 云南省中西医结合医院&lt;/_author_adr&gt;&lt;_created&gt;65647408&lt;/_created&gt;&lt;_db_provider&gt;北京万方数据股份有限公司&lt;/_db_provider&gt;&lt;_doi&gt;10.3969/j.issn.1003-4706.2014.12.048&lt;/_doi&gt;&lt;_issue&gt;12&lt;/_issue&gt;&lt;_journal&gt;昆明医科大学学报&lt;/_journal&gt;&lt;_keywords&gt;碘; 甲状腺; 桥本氏甲状腺炎&lt;/_keywords&gt;&lt;_language&gt;chi_x000d__x000a_基金项目:&lt;/_language&gt;&lt;_modified&gt;65664814&lt;/_modified&gt;&lt;_pages&gt;169-174&lt;/_pages&gt;&lt;_translated_author&gt;Xue-mei, CHE; Yi, LIU; Yuea, FAN; Bo, Q U&lt;/_translated_author&gt;&lt;_translated_title&gt;Research Progress of the of Relationship between Iodine excess and Hashimoto&amp;apos;s Thyroiditis&lt;/_translated_title&gt;&lt;_url&gt;https://d.wanfangdata.com.cn/periodical/ChlQZXJpb2RpY2FsQ0hJTmV3UzIwMjQwNzA0EhBrbXl4eXhiMjAxNDEyMDQ4Gghoc3RnNHczaQ==&lt;/_url&gt;&lt;_volume&gt;35&lt;/_volume&gt;&lt;/Details&gt;&lt;Extra&gt;&lt;DBUID&gt;{F96A950B-833F-4880-A151-76DA2D6A2879}&lt;/DBUID&gt;&lt;/Extra&gt;&lt;/Item&gt;&lt;/References&gt;&lt;/Group&gt;&lt;Group&gt;&lt;References&gt;&lt;Item&gt;&lt;ID&gt;3245&lt;/ID&gt;&lt;UID&gt;{08B33C3F-08C9-473A-AF8A-981227D3B984}&lt;/UID&gt;&lt;Title&gt;尿碘含量与桥本甲状腺炎的关系研究&lt;/Title&gt;&lt;Template&gt;Journal Article&lt;/Template&gt;&lt;Star&gt;0&lt;/Star&gt;&lt;Tag&gt;0&lt;/Tag&gt;&lt;Author&gt;张志宏; 张晋敏; 连文娟&lt;/Author&gt;&lt;Year&gt;2015&lt;/Year&gt;&lt;Details&gt;&lt;_author_adr&gt;山西省晋中市第二人民医院; 山西省晋中市第二人民医院; 山西省晋中市第二人民医院&lt;/_author_adr&gt;&lt;_created&gt;65647412&lt;/_created&gt;&lt;_db_provider&gt;北京万方数据股份有限公司&lt;/_db_provider&gt;&lt;_issue&gt;12&lt;/_issue&gt;&lt;_journal&gt;基层医学论坛&lt;/_journal&gt;&lt;_keywords&gt;桥本甲状腺炎; 尿碘; 关系; 临床研究&lt;/_keywords&gt;&lt;_language&gt;chi_x000d__x000a_基金项目:&lt;/_language&gt;&lt;_modified&gt;65647412&lt;/_modified&gt;&lt;_pages&gt;1599-1601&lt;/_pages&gt;&lt;_url&gt;https://d.wanfangdata.com.cn/periodical/ChlQZXJpb2RpY2FsQ0hJTmV3UzIwMjQwNzA0Eg9qY3l4bHQyMDE1MTIwMTIaCHkzbWNsN3Ro&lt;/_url&gt;&lt;_translated_author&gt;Zhang, Zhi hong;Zhang, Jin min;Lian, Wen juan&lt;/_translated_author&gt;&lt;/Details&gt;&lt;Extra&gt;&lt;DBUID&gt;{F96A950B-833F-4880-A151-76DA2D6A2879}&lt;/DBUID&gt;&lt;/Extra&gt;&lt;/Item&gt;&lt;/References&gt;&lt;/Group&gt;&lt;Group&gt;&lt;References&gt;&lt;Item&gt;&lt;ID&gt;3246&lt;/ID&gt;&lt;UID&gt;{8AD67773-E191-4E76-A28B-702B5433B1A5}&lt;/UID&gt;&lt;Title&gt;Excess iodine intake: sources, assessment, and effects on thyroid function&lt;/Title&gt;&lt;Template&gt;Journal Article&lt;/Template&gt;&lt;Star&gt;0&lt;/Star&gt;&lt;Tag&gt;0&lt;/Tag&gt;&lt;Author&gt;Farebrother, J; Zimmermann, M B; Andersson, M&lt;/Author&gt;&lt;Year&gt;2019&lt;/Year&gt;&lt;Details&gt;&lt;_accessed&gt;65664808&lt;/_accessed&gt;&lt;_accession_num&gt;30891786&lt;/_accession_num&gt;&lt;_author_adr&gt;Human Nutrition Laboratory, Institute of Food, Nutrition, and Health, ETH Zurich,  Zurich, Switzerland.; Department of Women and Children&amp;apos;s Health, King&amp;apos;s College London, London, UK.; Human Nutrition Laboratory, Institute of Food, Nutrition, and Health, ETH Zurich,  Zurich, Switzerland.; Iodine Global Network, Ottawa, Ontario, Canada.; Human Nutrition Laboratory, Institute of Food, Nutrition, and Health, ETH Zurich,  Zurich, Switzerland.; Iodine Global Network, Ottawa, Ontario, Canada.; Division of Gastroenterology and Nutrition, University Children&amp;apos;s Hospital  Zurich, Zurich, Switzerland.&lt;/_author_adr&gt;&lt;_created&gt;65647414&lt;/_created&gt;&lt;_date&gt;2019-06-01&lt;/_date&gt;&lt;_date_display&gt;2019 Jun&lt;/_date_display&gt;&lt;_doi&gt;10.1111/nyas.14041&lt;/_doi&gt;&lt;_impact_factor&gt;   6.499&lt;/_impact_factor&gt;&lt;_isbn&gt;1749-6632 (Electronic); 0077-8923 (Linking)&lt;/_isbn&gt;&lt;_issue&gt;1&lt;/_issue&gt;&lt;_journal&gt;Ann N Y Acad Sci&lt;/_journal&gt;&lt;_keywords&gt;iodine; iodine excess; iodized salt; thyroglobulin; thyroid autoimmunity&lt;/_keywords&gt;&lt;_language&gt;eng&lt;/_language&gt;&lt;_modified&gt;65664808&lt;/_modified&gt;&lt;_ori_publication&gt;© 2019 New York Academy of Sciences.&lt;/_ori_publication&gt;&lt;_pages&gt;44-65&lt;/_pages&gt;&lt;_subject_headings&gt;Adolescent; Adult; Child; Child, Preschool; *Guidelines as Topic; Humans; Hyperthyroidism/diagnosis/etiology; Hypothyroidism/diagnosis/etiology; Infant; Infant, Newborn; Iodine/*administration &amp;amp; dosage/adverse effects; Middle Aged; *Thyroid Function Tests&lt;/_subject_headings&gt;&lt;_tertiary_title&gt;Annals of the New York Academy of Sciences&lt;/_tertiary_title&gt;&lt;_type_work&gt;Journal Article; Research Support, Non-U.S. Gov&amp;apos;t&lt;/_type_work&gt;&lt;_url&gt;http://www.ncbi.nlm.nih.gov/entrez/query.fcgi?cmd=Retrieve&amp;amp;db=pubmed&amp;amp;dopt=Abstract&amp;amp;list_uids=30891786&amp;amp;query_hl=1&lt;/_url&gt;&lt;_volume&gt;1446&lt;/_volume&gt;&lt;/Details&gt;&lt;Extra&gt;&lt;DBUID&gt;{F96A950B-833F-4880-A151-76DA2D6A2879}&lt;/DBUID&gt;&lt;/Extra&gt;&lt;/Item&gt;&lt;/References&gt;&lt;/Group&gt;&lt;/Citation&gt;_x000a_"/>
    <w:docVar w:name="NE.Ref{49A5C14E-F47A-43E1-81ED-AB31451CB819}" w:val=" ADDIN NE.Ref.{49A5C14E-F47A-43E1-81ED-AB31451CB819}&lt;Citation&gt;&lt;Group&gt;&lt;References&gt;&lt;Item&gt;&lt;ID&gt;3379&lt;/ID&gt;&lt;UID&gt;{57CF56E2-9ACD-4AA6-A859-FDDC1FDF6B50}&lt;/UID&gt;&lt;Title&gt;慢性淋巴细胞性甲状腺炎合并甲状腺乳头状癌的研究进展&lt;/Title&gt;&lt;Template&gt;Journal Article&lt;/Template&gt;&lt;Star&gt;0&lt;/Star&gt;&lt;Tag&gt;0&lt;/Tag&gt;&lt;Author&gt;王尔黎; 徐钧&lt;/Author&gt;&lt;Year&gt;2017&lt;/Year&gt;&lt;Details&gt;&lt;_accessed&gt;65702389&lt;/_accessed&gt;&lt;_author_adr&gt;山西医科大学|JG009072,山西省肿瘤医院|JG000658&lt;/_author_adr&gt;&lt;_created&gt;65695046&lt;/_created&gt;&lt;_db_provider&gt;《中华医学杂志》社有限责任公司_x000d__x000a_{Language}：chi&lt;/_db_provider&gt;&lt;_isbn&gt;1006-9801&lt;/_isbn&gt;&lt;_issue&gt;05&lt;/_issue&gt;&lt;_journal&gt;肿瘤研究与临床&lt;/_journal&gt;&lt;_keywords&gt;慢性淋巴细胞性甲状腺炎；甲状腺肿瘤；癌，乳头状_x000d__x000a_{Abstract}：甲状腺癌是临床十分常见的恶性肿瘤，而甲状腺乳头状癌（PTC）是其中最为常见的病理类型，慢性淋巴细胞性甲状腺炎为自身免疫性疾病。近年来，越来越多的慢性淋巴细胞性甲状腺炎合并PTC的现象被临床发现，因此对于二者之间关系的研究也成为热点。文章从二者的流行病学、发病机制、病理形态三个方面的研究现状进行阐述。_x000d__x000a_{URL}：http://yiigle.meddata.com.cn:8089/getCore/downloadCore?loginName=zsdx&amp;amp;token=12fc22b31e0eb7c1523abc74c7482dce15&amp;amp;id=991083&lt;/_keywords&gt;&lt;_modified&gt;65702389&lt;/_modified&gt;&lt;_pages&gt;353-356&lt;/_pages&gt;&lt;_translated_title&gt;Progress of chronic lymphocytic thyroiditis combined with papillary thyroid carcinoma&lt;/_translated_title&gt;&lt;_translated_author&gt;Wang, Er li;Xu, Jun&lt;/_translated_author&gt;&lt;/Details&gt;&lt;Extra&gt;&lt;DBUID&gt;{F96A950B-833F-4880-A151-76DA2D6A2879}&lt;/DBUID&gt;&lt;/Extra&gt;&lt;/Item&gt;&lt;/References&gt;&lt;/Group&gt;&lt;/Citation&gt;_x000a_"/>
    <w:docVar w:name="NE.Ref{4AE412F8-84A0-4DC7-9FBA-39B5A716B04B}" w:val=" ADDIN NE.Ref.{4AE412F8-84A0-4DC7-9FBA-39B5A716B04B}&lt;Citation&gt;&lt;Group&gt;&lt;References&gt;&lt;Item&gt;&lt;ID&gt;3255&lt;/ID&gt;&lt;UID&gt;{B552FB66-A86E-49D3-BCC9-5E1245EA5406}&lt;/UID&gt;&lt;Title&gt;硒对桥本甲状腺炎患者IL-17、IL-22、IP-10的影响&lt;/Title&gt;&lt;Template&gt;Thesis&lt;/Template&gt;&lt;Star&gt;0&lt;/Star&gt;&lt;Tag&gt;0&lt;/Tag&gt;&lt;Author&gt;昃晓晨&lt;/Author&gt;&lt;Year&gt;2019&lt;/Year&gt;&lt;Details&gt;&lt;_created&gt;65647591&lt;/_created&gt;&lt;_db_provider&gt;CNKI&lt;/_db_provider&gt;&lt;_doi&gt;10.27262/d.cnki.gqdau.2019.001417&lt;/_doi&gt;&lt;_keywords&gt;桥本甲状腺炎;硒酵母;白细胞介素;趋化因子;甲状腺过氧化物酶抗体&lt;/_keywords&gt;&lt;_modified&gt;65647591&lt;/_modified&gt;&lt;_publisher&gt;青岛大学&lt;/_publisher&gt;&lt;_tertiary_author&gt;吴宁&lt;/_tertiary_author&gt;&lt;_type_work&gt;硕士&lt;/_type_work&gt;&lt;_url&gt;https://link.cnki.net/doi/10.27262/d.cnki.gqdau.2019.001417&lt;/_url&gt;&lt;_translated_author&gt;Ze, Xiao chen&lt;/_translated_author&gt;&lt;_translated_tertiary_author&gt;Wu, Ning&lt;/_translated_tertiary_author&gt;&lt;/Details&gt;&lt;Extra&gt;&lt;DBUID&gt;{F96A950B-833F-4880-A151-76DA2D6A2879}&lt;/DBUID&gt;&lt;/Extra&gt;&lt;/Item&gt;&lt;/References&gt;&lt;/Group&gt;&lt;Group&gt;&lt;References&gt;&lt;Item&gt;&lt;ID&gt;3257&lt;/ID&gt;&lt;UID&gt;{EEEB6890-E3C7-4BED-922A-15F030C2ED5D}&lt;/UID&gt;&lt;Title&gt;硒对桥本甲状腺炎患者TPOAb、TGAb及IL-10、IL-12的影响&lt;/Title&gt;&lt;Template&gt;Conference Proceedings&lt;/Template&gt;&lt;Star&gt;0&lt;/Star&gt;&lt;Tag&gt;0&lt;/Tag&gt;&lt;Author&gt;张薇; 王俊芳; 李昭英&lt;/Author&gt;&lt;Year&gt;2013&lt;/Year&gt;&lt;Details&gt;&lt;_author_adr&gt;山西医科大学;山西医科大学第一医院;&lt;/_author_adr&gt;&lt;_created&gt;65647591&lt;/_created&gt;&lt;_db_provider&gt;CNKI&lt;/_db_provider&gt;&lt;_keywords&gt;桥本甲状腺炎;TPOAb;IL-12&lt;/_keywords&gt;&lt;_modified&gt;65647591&lt;/_modified&gt;&lt;_pages&gt;1&lt;/_pages&gt;&lt;_place_published&gt;中国陕西西安&lt;/_place_published&gt;&lt;_secondary_title&gt;中华医学会第十二次全国内分泌学学术会议&lt;/_secondary_title&gt;&lt;_subsidiary_author&gt;中华医学会内分泌学分会中华医学会&lt;/_subsidiary_author&gt;&lt;_tertiary_title&gt;中华医学会第十二次全国内分泌学学术会议论文汇编&lt;/_tertiary_title&gt;&lt;_url&gt;https://next.cnki.net/middle/abstract?v=64ENavj7QCCmYSv9xr35-uTjGe3F-A7JpckFgJy3zkmZJeWhhY7FErdw88QTo97kryEnZl7IYeX7IOwuHrxPz8oeuuOHXeFrWm5paDVidetp9a-nm7lOqibQwzgbmOB9TtU1xhcxhQByvmbBq7f8xY-NvHxRvEF6rptRH__tw6eEXJdeqCRd0vl9B13KadcwuqUIOi1XBIA=&amp;amp;uniplatform=NZKPT&amp;amp;language=CHS&amp;amp;scence=null&lt;/_url&gt;&lt;_translated_author&gt;Zhang, Wei;Wang, Jun fang;Li, Zhao ying&lt;/_translated_author&gt;&lt;_translated_subsidiary_author&gt;Zhong, Hua yi xue hui&lt;/_translated_subsidiary_author&gt;&lt;/Details&gt;&lt;Extra&gt;&lt;DBUID&gt;{F96A950B-833F-4880-A151-76DA2D6A2879}&lt;/DBUID&gt;&lt;/Extra&gt;&lt;/Item&gt;&lt;/References&gt;&lt;/Group&gt;&lt;Group&gt;&lt;References&gt;&lt;Item&gt;&lt;ID&gt;3256&lt;/ID&gt;&lt;UID&gt;{0BD628B3-104D-4571-8867-3CCACA871F30}&lt;/UID&gt;&lt;Title&gt;硒对桥本甲状腺炎患者TPOAb的影响研究&lt;/Title&gt;&lt;Template&gt;Thesis&lt;/Template&gt;&lt;Star&gt;0&lt;/Star&gt;&lt;Tag&gt;0&lt;/Tag&gt;&lt;Author&gt;王超&lt;/Author&gt;&lt;Year&gt;2016&lt;/Year&gt;&lt;Details&gt;&lt;_created&gt;65647591&lt;/_created&gt;&lt;_db_provider&gt;CNKI&lt;/_db_provider&gt;&lt;_keywords&gt;硒;桥本甲状腺炎;甲状腺过氧化物酶抗体&lt;/_keywords&gt;&lt;_modified&gt;65647591&lt;/_modified&gt;&lt;_publisher&gt;安徽医科大学&lt;/_publisher&gt;&lt;_tertiary_author&gt;马维青&lt;/_tertiary_author&gt;&lt;_type_work&gt;硕士&lt;/_type_work&gt;&lt;_url&gt;https://next.cnki.net/middle/abstract?v=64ENavj7QCCDg9kdjq2kG4Wrs2lFCVvREDoQuF3ceosLr-PHmSDL00EJgaJMXTN7gjFtVRN2EAslk63j3sVVh_5euZMf7FbKryx2MxscX1eXtXcaOqvjI4xrBXLA6dVdWwSdT5poerZrPedRu2f_6CKS0nzlRVZq6fjsTNoc4oHkzo_u6dRzdkOxza5bQ_xijq2rLGr0Jl0uvYGOI6fveg==&amp;amp;uniplatform=NZKPT&amp;amp;language=CHS&amp;amp;scence=null&lt;/_url&gt;&lt;_translated_author&gt;Wang, Chao&lt;/_translated_author&gt;&lt;_translated_tertiary_author&gt;Ma, Wei qing&lt;/_translated_tertiary_author&gt;&lt;/Details&gt;&lt;Extra&gt;&lt;DBUID&gt;{F96A950B-833F-4880-A151-76DA2D6A2879}&lt;/DBUID&gt;&lt;/Extra&gt;&lt;/Item&gt;&lt;/References&gt;&lt;/Group&gt;&lt;/Citation&gt;_x000a_"/>
    <w:docVar w:name="NE.Ref{4F42D0AF-CD94-4429-89A8-21D2F04A58F6}" w:val=" ADDIN NE.Ref.{4F42D0AF-CD94-4429-89A8-21D2F04A58F6}&lt;Citation&gt;&lt;Group&gt;&lt;References&gt;&lt;Item&gt;&lt;ID&gt;3379&lt;/ID&gt;&lt;UID&gt;{57CF56E2-9ACD-4AA6-A859-FDDC1FDF6B50}&lt;/UID&gt;&lt;Title&gt;慢性淋巴细胞性甲状腺炎合并甲状腺乳头状癌的研究进展&lt;/Title&gt;&lt;Template&gt;Journal Article&lt;/Template&gt;&lt;Star&gt;0&lt;/Star&gt;&lt;Tag&gt;0&lt;/Tag&gt;&lt;Author&gt;王尔黎; 徐钧&lt;/Author&gt;&lt;Year&gt;2017&lt;/Year&gt;&lt;Details&gt;&lt;_accessed&gt;65702389&lt;/_accessed&gt;&lt;_author_adr&gt;山西医科大学|JG009072,山西省肿瘤医院|JG000658&lt;/_author_adr&gt;&lt;_created&gt;65695046&lt;/_created&gt;&lt;_db_provider&gt;《中华医学杂志》社有限责任公司_x000d__x000a_{Language}：chi&lt;/_db_provider&gt;&lt;_isbn&gt;1006-9801&lt;/_isbn&gt;&lt;_issue&gt;05&lt;/_issue&gt;&lt;_journal&gt;肿瘤研究与临床&lt;/_journal&gt;&lt;_keywords&gt;慢性淋巴细胞性甲状腺炎；甲状腺肿瘤；癌，乳头状_x000d__x000a_{Abstract}：甲状腺癌是临床十分常见的恶性肿瘤，而甲状腺乳头状癌（PTC）是其中最为常见的病理类型，慢性淋巴细胞性甲状腺炎为自身免疫性疾病。近年来，越来越多的慢性淋巴细胞性甲状腺炎合并PTC的现象被临床发现，因此对于二者之间关系的研究也成为热点。文章从二者的流行病学、发病机制、病理形态三个方面的研究现状进行阐述。_x000d__x000a_{URL}：http://yiigle.meddata.com.cn:8089/getCore/downloadCore?loginName=zsdx&amp;amp;token=12fc22b31e0eb7c1523abc74c7482dce15&amp;amp;id=991083&lt;/_keywords&gt;&lt;_modified&gt;65702389&lt;/_modified&gt;&lt;_pages&gt;353-356&lt;/_pages&gt;&lt;_translated_title&gt;Progress of chronic lymphocytic thyroiditis combined with papillary thyroid carcinoma&lt;/_translated_title&gt;&lt;_translated_author&gt;Wang, Er li;Xu, Jun&lt;/_translated_author&gt;&lt;/Details&gt;&lt;Extra&gt;&lt;DBUID&gt;{F96A950B-833F-4880-A151-76DA2D6A2879}&lt;/DBUID&gt;&lt;/Extra&gt;&lt;/Item&gt;&lt;/References&gt;&lt;/Group&gt;&lt;/Citation&gt;_x000a_"/>
    <w:docVar w:name="NE.Ref{50A0E4F0-6832-4B01-8224-E690DC5C9877}" w:val=" ADDIN NE.Ref.{50A0E4F0-6832-4B01-8224-E690DC5C9877}&lt;Citation&gt;&lt;Group&gt;&lt;References&gt;&lt;Item&gt;&lt;ID&gt;2968&lt;/ID&gt;&lt;UID&gt;{ABD3714F-1C09-4548-823A-EA47A646A090}&lt;/UID&gt;&lt;Title&gt;中国甲状腺疾病诊治指南——甲状腺炎&lt;/Title&gt;&lt;Template&gt;Journal Article&lt;/Template&gt;&lt;Star&gt;0&lt;/Star&gt;&lt;Tag&gt;0&lt;/Tag&gt;&lt;Author&gt;编写中华医学会内分泌学分会中国甲状腺疾病诊治指南&lt;/Author&gt;&lt;Year&gt;2008&lt;/Year&gt;&lt;Details&gt;&lt;_collection_scope&gt;PKU;CSCD&lt;/_collection_scope&gt;&lt;_created&gt;65634608&lt;/_created&gt;&lt;_db_provider&gt;北京万方数据股份有限公司&lt;/_db_provider&gt;&lt;_doi&gt;10.3321/j.issn:0578-1426.2008.09.032&lt;/_doi&gt;&lt;_issue&gt;9&lt;/_issue&gt;&lt;_journal&gt;中华内科杂志&lt;/_journal&gt;&lt;_language&gt;chi _x000d__x000a_基金项目:&lt;/_language&gt;&lt;_modified&gt;65634608&lt;/_modified&gt;&lt;_pages&gt;784-788&lt;/_pages&gt;&lt;_url&gt;https://d.wanfangdata.com.cn/periodical/ChlQZXJpb2RpY2FsQ0hJTmV3UzIwMjQwNzA0Eg16aG5rMjAwODA5MDMyGghjeHBudzgxbQ%3D%3D&lt;/_url&gt;&lt;_volume&gt;47&lt;/_volume&gt;&lt;_translated_author&gt;Bian, Xie zhong hua yi&lt;/_translated_author&gt;&lt;/Details&gt;&lt;Extra&gt;&lt;DBUID&gt;{F96A950B-833F-4880-A151-76DA2D6A2879}&lt;/DBUID&gt;&lt;/Extra&gt;&lt;/Item&gt;&lt;/References&gt;&lt;/Group&gt;&lt;/Citation&gt;_x000a_"/>
    <w:docVar w:name="NE.Ref{58FAF7F8-A4E8-486B-A081-79F5FB187BB4}" w:val=" ADDIN NE.Ref.{58FAF7F8-A4E8-486B-A081-79F5FB187BB4}&lt;Citation&gt;&lt;Group&gt;&lt;References&gt;&lt;Item&gt;&lt;ID&gt;468&lt;/ID&gt;&lt;UID&gt;{CFA8B741-A985-445F-B6E3-C6B2FDF6ABC3}&lt;/UID&gt;&lt;Title&gt;Efficacy and Safety of Long-Term Universal Salt Iodization on Thyroid Disorders:  Epidemiological Evidence from 31 Provinces of Mainland China&lt;/Title&gt;&lt;Template&gt;Journal Article&lt;/Template&gt;&lt;Star&gt;0&lt;/Star&gt;&lt;Tag&gt;0&lt;/Tag&gt;&lt;Author&gt;Li, Y; Teng, D; Ba, J; Chen, B; &amp;quot;Du J&amp;quot;; He, L; Lai, X; Teng, X; Shi, X; Li, Y; Chi, H; Liao, E; Liu, C; Liu, L; Qin, G; Qin, Y; Quan, H; Shi, B; Sun, H; Tang, X; Tong, N; Wang, G; Zhang, J A; Wang, Y; Xue, Y; Yan, L; Yang, J; Yang, L; Yao, Y; Ye, Z; Zhang, Q; Zhang, L; Zhu, J; Zhu, M; Ning, G; Mu, Y; Zhao, J; Shan, Z; Teng, W&lt;/Author&gt;&lt;Year&gt;2020&lt;/Year&gt;&lt;Details&gt;&lt;_accession_num&gt;32075540&lt;/_accession_num&gt;&lt;_author_adr&gt;Department of Endocrinology and Metabolism, The Institute of Endocrinology, The  First Hospital of China Medical University, Shenyang, P.R. China.; Department of Endocrinology and Metabolism, The Institute of Endocrinology, The  First Hospital of China Medical University, Shenyang, P.R. China.; Department of Endocrinology, Chinese PLA General Hospital, Beijing, P.R. China.; Department of Endocrinology, Southwest Hospital, Third Military Medical  University, Chongqing, P.R. China.; Department of Endocrinology, The First Affiliated Hospital of Dalian Medical  University, Dalian, P.R. China.; Department of Endocrinology, Cardiovascular and Cerebrovascular Disease Hospital  of Ningxia Medical University, Yinchuan, P.R. China.; Department of Endocrinology and Metabolism, The Second Affiliated Hospital of  Nanchang University, Nanchang, P.R. China.; Department of Endocrinology and Metabolism, The Institute of Endocrinology, The  First Hospital of China Medical University, Shenyang, P.R. China.; Department of Endocrinology and Metabolism, The Institute of Endocrinology, The  First Hospital of China Medical University, Shenyang, P.R. China.; Department of Endocrinology, The First Affiliated Hospital of Harbin Medical  University, Harbin, P.R. China.; Department of Endocrinology, Hohhot First Hospital, Hohhot, P.R. China.; Department of Endocrinology and Metabolism, The Second Xiangya Hospital, Central  South University, Changsha, P.R. China.; Research Center of Endocrine and Metabolic Diseases, Affiliated Hospital of  Integrated Traditional Chinese and Western Medicine, Nanjing University of  Chinese Medicine, Nanjing, P.R. China.; Department of Endocrinology and Metabolism, Fujian Institute of Endocrinology,  Fujian Medical University Union Hospital, Fuzhou, P.R. China.; Division of Endocrinology, Department of Internal Medicine, The First Affiliated  Hospital, Zhengzhou University, Zhengzhou, P.R. China.; Department of Endocrine, First Affiliated Hospital of Guangxi Medical University,  Nanning, P.R. China.; Department of Endocrinology, Hainan General Hospital, Haikou, P.R. China.; Department of Endocrinology, The First Affiliated Hospital of Xi&amp;apos;an Jiaotong  University, Xi&amp;apos;an, P.R. China.; Department of Endocrinology, Union Hospital, Tongji Medical College, Huazhong  University of Science and Technology, Wuhan, P.R. China.; Department of Endocrinology, The First Hospital of Lanzhou University, Lanzhou,  P.R. China.; Department of Endocrinology and Metabolism, State Key Laboratory of Biotherapy,  West China Hospital, Sichuan University, Chengdu, P.R. China.; Department of Endocrinology and Metabolism, The First Hospital of Jilin  University, Changchun, P.R. China.; Department of Endocrinology, Shanghai University of Medicine and Health Science  Affiliated Zhoupu Hospital, Shanghai, P.R. China.; Department of Endocrinology, The First Hospital of Anhui Medical University,  Hefei, P.R. China.; Department of Endocrinology, The First People&amp;apos;s Hospital of Yunnan Province,  Kunming, P.R. China.; Department of Endocrinology and Metabolism, Sun Yat-sen Memorial Hospital, Sun  Yat-sen University, Guangzhou, P.R. China.; Department of Endocrinology, The First Hospital of Shanxi Medical University,  Taiyuan, P.R. China.; Department of Endocrinology and Metabolism, People&amp;apos;s Hospital of Tibet Autonomous  Region, Lhasa, P.R. China.; Department of Endocrinology, Qinghai Provincial People&amp;apos;s Hospital, Xining, P.R.  China.; Zhejiang Provincial Center for Disease Control and Prevention, Hangzhou, P.R.  China.; Department of Endocrinology and Metabolism, Affiliated Hospital of Guiyang  Medical University, Guiyang, P.R. China.; Department of Endocrinology, Second Hospital of Hebei Medical University,  Shijiazhuang, P.R. China.; Department of Endocrinology, The First Affiliated Hospital of Xinjiang Medical  University, Urumqi, P.R. China.; Department of Endocrinology and Metabolism, Tianjin Medical University General  Hospital, Tianjin, P.R. China.; Department of Endocrinology and Metabolism, The Institute of Endocrinology,  Rui-Jin Hospital Affiliated with Shanghai Jiao-Tong University School of  Medicine, Shanghai, P.R. China.; Department of Endocrinology, Chinese PLA General Hospital, Beijing, P.R. China.; Department of Endocrinology, Shandong Provincial Hospital affiliated with  Shandong University, Ji&amp;apos;nan, P.R. China.; Department of Endocrinology and Metabolism, The Institute of Endocrinology, The  First Hospital of China Medical University, Shenyang, P.R. China.; Department of Endocrinology and Metabolism, The Institute of Endocrinology, The  First Hospital of China Medical University, Shenyang, P.R. China.&lt;/_author_adr&gt;&lt;_collection_scope&gt;SCIE&lt;/_collection_scope&gt;&lt;_created&gt;65604202&lt;/_created&gt;&lt;_date&gt;2020-04-01&lt;/_date&gt;&lt;_date_display&gt;2020 Apr&lt;/_date_display&gt;&lt;_doi&gt;10.1089/thy.2019.0067&lt;/_doi&gt;&lt;_impact_factor&gt;   6.506&lt;/_impact_factor&gt;&lt;_isbn&gt;1557-9077 (Electronic); 1050-7256 (Linking)&lt;/_isbn&gt;&lt;_issue&gt;4&lt;/_issue&gt;&lt;_journal&gt;Thyroid&lt;/_journal&gt;&lt;_keywords&gt;China; iodine; prevalence; thyroid disorders; universal salt iodization&lt;/_keywords&gt;&lt;_language&gt;eng&lt;/_language&gt;&lt;_modified&gt;65604202&lt;/_modified&gt;&lt;_pages&gt;568-579&lt;/_pages&gt;&lt;_social_category&gt;内分泌学与代谢(2)&lt;/_social_category&gt;&lt;_subject_headings&gt;Adolescent; Adult; Aged; Aged, 80 and over; China/epidemiology; Cross-Sectional Studies; Female; Humans; Hyperthyroidism/diagnostic imaging/*epidemiology/prevention &amp;amp; control; Hypothyroidism/diagnostic imaging/*epidemiology/prevention &amp;amp; control; Iodine/administration &amp;amp; dosage/adverse effects/*deficiency; Male; Middle Aged; Prevalence; Sodium Chloride, Dietary/*administration &amp;amp; dosage/adverse effects; Thyroid Gland/*diagnostic imaging; Ultrasonography; Young Adult&lt;/_subject_headings&gt;&lt;_tertiary_title&gt;Thyroid : official journal of the American Thyroid Association&lt;/_tertiary_title&gt;&lt;_type_work&gt;Journal Article; Research Support, Non-U.S. Gov&amp;apos;t&lt;/_type_work&gt;&lt;_url&gt;http://www.ncbi.nlm.nih.gov/entrez/query.fcgi?cmd=Retrieve&amp;amp;db=pubmed&amp;amp;dopt=Abstract&amp;amp;list_uids=32075540&amp;amp;query_hl=1&lt;/_url&gt;&lt;_volume&gt;30&lt;/_volume&gt;&lt;/Details&gt;&lt;Extra&gt;&lt;DBUID&gt;{F96A950B-833F-4880-A151-76DA2D6A2879}&lt;/DBUID&gt;&lt;/Extra&gt;&lt;/Item&gt;&lt;/References&gt;&lt;/Group&gt;&lt;/Citation&gt;_x000a_"/>
    <w:docVar w:name="NE.Ref{604052CF-4D3C-4A78-9DD4-5C2A8F2F86AA}" w:val=" ADDIN NE.Ref.{604052CF-4D3C-4A78-9DD4-5C2A8F2F86AA}&lt;Citation&gt;&lt;Group&gt;&lt;References&gt;&lt;Item&gt;&lt;ID&gt;2968&lt;/ID&gt;&lt;UID&gt;{ABD3714F-1C09-4548-823A-EA47A646A090}&lt;/UID&gt;&lt;Title&gt;中国甲状腺疾病诊治指南——甲状腺炎&lt;/Title&gt;&lt;Template&gt;Journal Article&lt;/Template&gt;&lt;Star&gt;0&lt;/Star&gt;&lt;Tag&gt;0&lt;/Tag&gt;&lt;Author&gt;编写中华医学会内分泌学分会中国甲状腺疾病诊治指南&lt;/Author&gt;&lt;Year&gt;2008&lt;/Year&gt;&lt;Details&gt;&lt;_collection_scope&gt;PKU;CSCD&lt;/_collection_scope&gt;&lt;_created&gt;65634608&lt;/_created&gt;&lt;_db_provider&gt;北京万方数据股份有限公司&lt;/_db_provider&gt;&lt;_doi&gt;10.3321/j.issn:0578-1426.2008.09.032&lt;/_doi&gt;&lt;_issue&gt;9&lt;/_issue&gt;&lt;_journal&gt;中华内科杂志&lt;/_journal&gt;&lt;_language&gt;chi _x000d__x000a_基金项目:&lt;/_language&gt;&lt;_modified&gt;65634608&lt;/_modified&gt;&lt;_pages&gt;784-788&lt;/_pages&gt;&lt;_url&gt;https://d.wanfangdata.com.cn/periodical/ChlQZXJpb2RpY2FsQ0hJTmV3UzIwMjQwNzA0Eg16aG5rMjAwODA5MDMyGghjeHBudzgxbQ%3D%3D&lt;/_url&gt;&lt;_volume&gt;47&lt;/_volume&gt;&lt;_translated_author&gt;Bian, Xie zhong hua yi&lt;/_translated_author&gt;&lt;/Details&gt;&lt;Extra&gt;&lt;DBUID&gt;{F96A950B-833F-4880-A151-76DA2D6A2879}&lt;/DBUID&gt;&lt;/Extra&gt;&lt;/Item&gt;&lt;/References&gt;&lt;/Group&gt;&lt;/Citation&gt;_x000a_"/>
    <w:docVar w:name="NE.Ref{6583681E-37B6-4FA3-9C4C-D7C7EF5BBD70}" w:val=" ADDIN NE.Ref.{6583681E-37B6-4FA3-9C4C-D7C7EF5BBD70}&lt;Citation&gt;&lt;Group&gt;&lt;References&gt;&lt;Item&gt;&lt;ID&gt;3237&lt;/ID&gt;&lt;UID&gt;{B56A6703-15E3-4C0F-8772-EC8901DFA552}&lt;/UID&gt;&lt;Title&gt;桥本甲状腺炎中医治疗策略&lt;/Title&gt;&lt;Template&gt;Journal Article&lt;/Template&gt;&lt;Star&gt;0&lt;/Star&gt;&lt;Tag&gt;0&lt;/Tag&gt;&lt;Author&gt;李艳杰; 赵康超; 吴善瑛; 闫琪; 倪青&lt;/Author&gt;&lt;Year&gt;2023&lt;/Year&gt;&lt;Details&gt;&lt;_author_adr&gt;北京核工业医院;北京中医药大学东直门医院;中国中医科学院广安门医院;&lt;/_author_adr&gt;&lt;_created&gt;65646214&lt;/_created&gt;&lt;_db_provider&gt;CNKI&lt;/_db_provider&gt;&lt;_isbn&gt;1672-6790&lt;/_isbn&gt;&lt;_issue&gt;05&lt;/_issue&gt;&lt;_journal&gt;中国临床保健杂志&lt;/_journal&gt;&lt;_keywords&gt;桥本病;瘿;中医药疗法;情志疗法;生活质量&lt;/_keywords&gt;&lt;_modified&gt;65646214&lt;/_modified&gt;&lt;_pages&gt;709-712&lt;/_pages&gt;&lt;_url&gt;https://next.cnki.net/middle/abstract?v=_W1AupcyYgZSqn95j5KJ7dlLN2akwADjOUm94hUjmnooDZ2xFwBkNWzLpymJysB40E0dzhnLjMXEBceylixW2FRmAiFd4x60Bs_C9vBz4we-qCL1bHAr9sL_Pu3mIq-05T8Ie6PDZvZ9nSAEN4RwaRtz6w0yMFDtqAjQpH6uF9xmwdYaAy2j3sQx3zejbFU8S432Q9yubbQ=&amp;amp;uniplatform=NZKPT&amp;amp;language=CHS&amp;amp;scence=null&lt;/_url&gt;&lt;_volume&gt;26&lt;/_volume&gt;&lt;_translated_author&gt;Li, Yan jie;Zhao, Kang chao;Wu, Shan ying;Yan, Qi;Ni, Qing&lt;/_translated_author&gt;&lt;/Details&gt;&lt;Extra&gt;&lt;DBUID&gt;{F96A950B-833F-4880-A151-76DA2D6A2879}&lt;/DBUID&gt;&lt;/Extra&gt;&lt;/Item&gt;&lt;/References&gt;&lt;/Group&gt;&lt;/Citation&gt;_x000a_"/>
    <w:docVar w:name="NE.Ref{67297653-783F-4158-AE74-3A83961A166A}" w:val=" ADDIN NE.Ref.{67297653-783F-4158-AE74-3A83961A166A}&lt;Citation&gt;&lt;Group&gt;&lt;References&gt;&lt;Item&gt;&lt;ID&gt;2968&lt;/ID&gt;&lt;UID&gt;{ABD3714F-1C09-4548-823A-EA47A646A090}&lt;/UID&gt;&lt;Title&gt;中国甲状腺疾病诊治指南——甲状腺炎&lt;/Title&gt;&lt;Template&gt;Journal Article&lt;/Template&gt;&lt;Star&gt;0&lt;/Star&gt;&lt;Tag&gt;0&lt;/Tag&gt;&lt;Author&gt;编写中华医学会内分泌学分会中国甲状腺疾病诊治指南&lt;/Author&gt;&lt;Year&gt;2008&lt;/Year&gt;&lt;Details&gt;&lt;_collection_scope&gt;PKU;CSCD&lt;/_collection_scope&gt;&lt;_created&gt;65634608&lt;/_created&gt;&lt;_db_provider&gt;北京万方数据股份有限公司&lt;/_db_provider&gt;&lt;_doi&gt;10.3321/j.issn:0578-1426.2008.09.032&lt;/_doi&gt;&lt;_issue&gt;9&lt;/_issue&gt;&lt;_journal&gt;中华内科杂志&lt;/_journal&gt;&lt;_language&gt;chi _x000d__x000a_基金项目:&lt;/_language&gt;&lt;_modified&gt;65634608&lt;/_modified&gt;&lt;_pages&gt;784-788&lt;/_pages&gt;&lt;_url&gt;https://d.wanfangdata.com.cn/periodical/ChlQZXJpb2RpY2FsQ0hJTmV3UzIwMjQwNzA0Eg16aG5rMjAwODA5MDMyGghjeHBudzgxbQ%3D%3D&lt;/_url&gt;&lt;_volume&gt;47&lt;/_volume&gt;&lt;_translated_author&gt;Bian, Xie zhong hua yi&lt;/_translated_author&gt;&lt;/Details&gt;&lt;Extra&gt;&lt;DBUID&gt;{F96A950B-833F-4880-A151-76DA2D6A2879}&lt;/DBUID&gt;&lt;/Extra&gt;&lt;/Item&gt;&lt;/References&gt;&lt;/Group&gt;&lt;/Citation&gt;_x000a_"/>
    <w:docVar w:name="NE.Ref{7B2F41AE-E33B-4FC9-B7C3-D2110D0D33AA}" w:val=" ADDIN NE.Ref.{7B2F41AE-E33B-4FC9-B7C3-D2110D0D33AA}&lt;Citation&gt;&lt;Group&gt;&lt;References&gt;&lt;Item&gt;&lt;ID&gt;495&lt;/ID&gt;&lt;UID&gt;{F250E003-0C2A-4F7F-86D9-650B5EE429D6}&lt;/UID&gt;&lt;Title&gt;Clinical aspects of Hashimoto&amp;apos;s thyroiditis&lt;/Title&gt;&lt;Template&gt;Journal Article&lt;/Template&gt;&lt;Star&gt;0&lt;/Star&gt;&lt;Tag&gt;0&lt;/Tag&gt;&lt;Author&gt;Radetti, G&lt;/Author&gt;&lt;Year&gt;2014&lt;/Year&gt;&lt;Details&gt;&lt;_accession_num&gt;25231451&lt;/_accession_num&gt;&lt;_author_adr&gt;Department of Paediatrics, General Hospital Bolzano, Bolzano, Italy.&lt;/_author_adr&gt;&lt;_created&gt;65604217&lt;/_created&gt;&lt;_date&gt;2014-01-20&lt;/_date&gt;&lt;_date_display&gt;2014&lt;/_date_display&gt;&lt;_doi&gt;10.1159/000363162&lt;/_doi&gt;&lt;_isbn&gt;1662-2979 (Electronic); 1421-7082 (Linking)&lt;/_isbn&gt;&lt;_journal&gt;Endocr Dev&lt;/_journal&gt;&lt;_language&gt;eng&lt;/_language&gt;&lt;_modified&gt;65604217&lt;/_modified&gt;&lt;_pages&gt;158-70&lt;/_pages&gt;&lt;_subject_headings&gt;Child; Hashimoto Disease/*diagnosis/immunology/physiopathology; Humans; Thyroid Gland/*immunology/physiopathology&lt;/_subject_headings&gt;&lt;_tertiary_title&gt;Endocrine development&lt;/_tertiary_title&gt;&lt;_type_work&gt;Journal Article; Review&lt;/_type_work&gt;&lt;_url&gt;http://www.ncbi.nlm.nih.gov/entrez/query.fcgi?cmd=Retrieve&amp;amp;db=pubmed&amp;amp;dopt=Abstract&amp;amp;list_uids=25231451&amp;amp;query_hl=1&lt;/_url&gt;&lt;_volume&gt;26&lt;/_volume&gt;&lt;/Details&gt;&lt;Extra&gt;&lt;DBUID&gt;{F96A950B-833F-4880-A151-76DA2D6A2879}&lt;/DBUID&gt;&lt;/Extra&gt;&lt;/Item&gt;&lt;/References&gt;&lt;/Group&gt;&lt;Group&gt;&lt;References&gt;&lt;Item&gt;&lt;ID&gt;3275&lt;/ID&gt;&lt;UID&gt;{C3722DC9-894E-4B1C-A85C-35B2EBC3EC75}&lt;/UID&gt;&lt;Title&gt;中医辨证分型与桥本氏甲状腺炎超声表现、甲状腺自身抗体、甲功的相关性研究&lt;/Title&gt;&lt;Template&gt;Thesis&lt;/Template&gt;&lt;Star&gt;0&lt;/Star&gt;&lt;Tag&gt;0&lt;/Tag&gt;&lt;Author&gt;谭辛汉&lt;/Author&gt;&lt;Year&gt;2023&lt;/Year&gt;&lt;Details&gt;&lt;_accessed&gt;65664803&lt;/_accessed&gt;&lt;_created&gt;65664789&lt;/_created&gt;&lt;_date&gt;2023-05-01&lt;/_date&gt;&lt;_db_provider&gt;北京万方数据股份有限公司&lt;/_db_provider&gt;&lt;_keywords&gt;桥本氏甲状腺炎; 中医分型; 超声图像; 血流信号&lt;/_keywords&gt;&lt;_language&gt;chi&lt;/_language&gt;&lt;_modified&gt;65664803&lt;/_modified&gt;&lt;_publisher&gt;广州医科大学&lt;/_publisher&gt;&lt;_section&gt;影像医学与核医学&lt;/_section&gt;&lt;_tertiary_author&gt;李征毅&lt;/_tertiary_author&gt;&lt;_type_work&gt;硕士&lt;/_type_work&gt;&lt;_url&gt;https://d.wanfangdata.com.cn/thesis/ChhUaGVzaXNOZXdTMjAyNDA5MjAxNTE3MjUSCUQwMzQwNjM0OBoINGVxbGtnN3o=&lt;/_url&gt;&lt;_translated_author&gt;Tan, Xin han&lt;/_translated_author&gt;&lt;_translated_tertiary_author&gt;Li, Zheng yi&lt;/_translated_tertiary_author&gt;&lt;/Details&gt;&lt;Extra&gt;&lt;DBUID&gt;{F96A950B-833F-4880-A151-76DA2D6A2879}&lt;/DBUID&gt;&lt;/Extra&gt;&lt;/Item&gt;&lt;/References&gt;&lt;/Group&gt;&lt;/Citation&gt;_x000a_"/>
    <w:docVar w:name="NE.Ref{82229AF1-513B-4407-AD59-FED5D1787ABC}" w:val=" ADDIN NE.Ref.{82229AF1-513B-4407-AD59-FED5D1787ABC}&lt;Citation&gt;&lt;Group&gt;&lt;References&gt;&lt;Item&gt;&lt;ID&gt;3251&lt;/ID&gt;&lt;UID&gt;{5B670C0A-4B23-4F1D-BFD2-4890E630B0D6}&lt;/UID&gt;&lt;Title&gt;维生素D对桥本甲状腺炎的影响及意义&lt;/Title&gt;&lt;Template&gt;Journal Article&lt;/Template&gt;&lt;Star&gt;0&lt;/Star&gt;&lt;Tag&gt;0&lt;/Tag&gt;&lt;Author&gt;王辉辉&lt;/Author&gt;&lt;Year&gt;2019&lt;/Year&gt;&lt;Details&gt;&lt;_author_adr&gt;河南理工大学第一附属医院&lt;/_author_adr&gt;&lt;_created&gt;65647422&lt;/_created&gt;&lt;_db_provider&gt;北京万方数据股份有限公司&lt;/_db_provider&gt;&lt;_doi&gt;10.3969/j.issn.1004-5511.2019.03.015&lt;/_doi&gt;&lt;_issue&gt;3&lt;/_issue&gt;&lt;_journal&gt;医学新知杂志&lt;/_journal&gt;&lt;_keywords&gt;维生素D; 桥本甲状腺炎; 血清总甲状腺素; 甲状腺过氧化物酶抗体&lt;/_keywords&gt;&lt;_language&gt;chi_x000d__x000a_基金项目:&lt;/_language&gt;&lt;_modified&gt;65647422&lt;/_modified&gt;&lt;_pages&gt;279-280,283&lt;/_pages&gt;&lt;_url&gt;https://d.wanfangdata.com.cn/periodical/ChlQZXJpb2RpY2FsQ0hJTmV3UzIwMjQwNzA0Eg95eHh6enoyMDE5MDMwMTUaCDlwMXF4bHFl&lt;/_url&gt;&lt;_volume&gt;29&lt;/_volume&gt;&lt;_translated_author&gt;Wang, Hui hui&lt;/_translated_author&gt;&lt;/Details&gt;&lt;Extra&gt;&lt;DBUID&gt;{F96A950B-833F-4880-A151-76DA2D6A2879}&lt;/DBUID&gt;&lt;/Extra&gt;&lt;/Item&gt;&lt;/References&gt;&lt;/Group&gt;&lt;Group&gt;&lt;References&gt;&lt;Item&gt;&lt;ID&gt;3249&lt;/ID&gt;&lt;UID&gt;{4DFFF2AE-4A68-4D91-AA8E-1F19DE195AD5}&lt;/UID&gt;&lt;Title&gt;维生素D缺乏与桥本甲状腺炎及相关因素的研究&lt;/Title&gt;&lt;Template&gt;Journal Article&lt;/Template&gt;&lt;Star&gt;0&lt;/Star&gt;&lt;Tag&gt;0&lt;/Tag&gt;&lt;Author&gt;付佳闻; 李晓华; 张宏利; 徐艳红; 朱祎&lt;/Author&gt;&lt;Year&gt;2021&lt;/Year&gt;&lt;Details&gt;&lt;_author_adr&gt;上海中医药大学附属第七人民医院&lt;/_author_adr&gt;&lt;_created&gt;65647422&lt;/_created&gt;&lt;_db_provider&gt;北京万方数据股份有限公司&lt;/_db_provider&gt;&lt;_doi&gt;10.16138/j.1673-6087.2021.01.007&lt;/_doi&gt;&lt;_issue&gt;1&lt;/_issue&gt;&lt;_journal&gt;内科理论与实践&lt;/_journal&gt;&lt;_keywords&gt;桥本甲状腺炎; 维生素D; 促甲状腺激素; 免疫性疾病&lt;/_keywords&gt;&lt;_language&gt;chi_x000d__x000a_基金项目::中医专科重点培育项目; PWZzb2017-28:浦东新区卫计委浦东新区甲状腺特色专病建设项目; XX2020-20:人才培养项目&lt;/_language&gt;&lt;_modified&gt;65647422&lt;/_modified&gt;&lt;_pages&gt;27-31&lt;/_pages&gt;&lt;_translated_author&gt;Jiawen, F U; Xiaohu, L I; Hongli, ZHANG; Yanhong, X U; Yi, ZHU&lt;/_translated_author&gt;&lt;_translated_title&gt;Study on the relationship between vitamin D deficiency and Hashimoto&amp;apos;s thyroiditis&lt;/_translated_title&gt;&lt;_url&gt;https://d.wanfangdata.com.cn/periodical/ChlQZXJpb2RpY2FsQ0hJTmV3UzIwMjQwNzA0EhBua2xseXNqMjAyMTAxMDA3Ggg5cDFxeGxxZQ%3D%3D&lt;/_url&gt;&lt;_volume&gt;16&lt;/_volume&gt;&lt;/Details&gt;&lt;Extra&gt;&lt;DBUID&gt;{F96A950B-833F-4880-A151-76DA2D6A2879}&lt;/DBUID&gt;&lt;/Extra&gt;&lt;/Item&gt;&lt;/References&gt;&lt;/Group&gt;&lt;Group&gt;&lt;References&gt;&lt;Item&gt;&lt;ID&gt;3247&lt;/ID&gt;&lt;UID&gt;{0898E9F7-956B-407F-BA16-F6B6C351D1E7}&lt;/UID&gt;&lt;Title&gt;维生素D缺乏与桥本氏甲状腺炎的相关性研究&lt;/Title&gt;&lt;Template&gt;Journal Article&lt;/Template&gt;&lt;Star&gt;0&lt;/Star&gt;&lt;Tag&gt;0&lt;/Tag&gt;&lt;Author&gt;杜丽莉&lt;/Author&gt;&lt;Year&gt;2014&lt;/Year&gt;&lt;Details&gt;&lt;_author_adr&gt;哈尔滨医科大学第四附属医院&lt;/_author_adr&gt;&lt;_created&gt;65647422&lt;/_created&gt;&lt;_db_provider&gt;北京万方数据股份有限公司&lt;/_db_provider&gt;&lt;_doi&gt;10.3969/j.ISSN.1000-744X.2014.12.002&lt;/_doi&gt;&lt;_issue&gt;12&lt;/_issue&gt;&lt;_journal&gt;贵州医药&lt;/_journal&gt;&lt;_keywords&gt;桥本氏甲状腺炎; 维生素 D&lt;/_keywords&gt;&lt;_language&gt;chi_x000d__x000a_基金项目:&lt;/_language&gt;&lt;_modified&gt;65647422&lt;/_modified&gt;&lt;_pages&gt;1064-1066&lt;/_pages&gt;&lt;_translated_author&gt;&amp;quot;Du Lili&amp;quot;&lt;/_translated_author&gt;&lt;_translated_title&gt;Correlation study on between deficiency of vitamin D and Hashimoto’s Thyroiditis&lt;/_translated_title&gt;&lt;_url&gt;https://d.wanfangdata.com.cn/periodical/ChlQZXJpb2RpY2FsQ0hJTmV3UzIwMjQwNzA0EhJndWl6aG91eXkyMDE0MTIwMDIaCDlwMXF4bHFl&lt;/_url&gt;&lt;/Details&gt;&lt;Extra&gt;&lt;DBUID&gt;{F96A950B-833F-4880-A151-76DA2D6A2879}&lt;/DBUID&gt;&lt;/Extra&gt;&lt;/Item&gt;&lt;/References&gt;&lt;/Group&gt;&lt;Group&gt;&lt;References&gt;&lt;Item&gt;&lt;ID&gt;3248&lt;/ID&gt;&lt;UID&gt;{4BED69A9-B9CC-4545-809B-365CE27CAAE5}&lt;/UID&gt;&lt;Title&gt;维生素D在自身免疫性甲状腺病中的研究进展&lt;/Title&gt;&lt;Template&gt;Journal Article&lt;/Template&gt;&lt;Star&gt;0&lt;/Star&gt;&lt;Tag&gt;0&lt;/Tag&gt;&lt;Author&gt;董成贞; 刘璟瑜; 卢永霞&lt;/Author&gt;&lt;Year&gt;2024&lt;/Year&gt;&lt;Details&gt;&lt;_author_adr&gt;成都市第七人民医院&lt;/_author_adr&gt;&lt;_created&gt;65647422&lt;/_created&gt;&lt;_db_provider&gt;北京万方数据股份有限公司&lt;/_db_provider&gt;&lt;_doi&gt;10.14033/j.cnki.cfmr.2024.03.045&lt;/_doi&gt;&lt;_issue&gt;3&lt;/_issue&gt;&lt;_journal&gt;中外医学研究&lt;/_journal&gt;&lt;_keywords&gt;维生素D; 自身免疫性甲状腺病; 桥本甲状腺炎; 防治&lt;/_keywords&gt;&lt;_language&gt;chi_x000d__x000a_基金项目:&lt;/_language&gt;&lt;_modified&gt;65647422&lt;/_modified&gt;&lt;_pages&gt;176-180&lt;/_pages&gt;&lt;_translated_author&gt;Chengzhen, DONG; Jingyu, LIU; Yongxia, L U&lt;/_translated_author&gt;&lt;_translated_title&gt;Research Progress of Vitamin D in Autoimmune Thyroid Diseases&lt;/_translated_title&gt;&lt;_url&gt;https://d.wanfangdata.com.cn/periodical/ChlQZXJpb2RpY2FsQ0hJTmV3UzIwMjQwNzA0Eg96d3l4eWoyMDI0MDMwNDUaCDlwMXF4bHFl&lt;/_url&gt;&lt;_volume&gt;22&lt;/_volume&gt;&lt;/Details&gt;&lt;Extra&gt;&lt;DBUID&gt;{F96A950B-833F-4880-A151-76DA2D6A2879}&lt;/DBUID&gt;&lt;/Extra&gt;&lt;/Item&gt;&lt;/References&gt;&lt;/Group&gt;&lt;Group&gt;&lt;References&gt;&lt;Item&gt;&lt;ID&gt;3250&lt;/ID&gt;&lt;UID&gt;{D69F0089-98ED-433E-BE5B-EBC90C159FDE}&lt;/UID&gt;&lt;Title&gt;血清维生素D水平与桥本氏甲状腺炎的相关性研究&lt;/Title&gt;&lt;Template&gt;Journal Article&lt;/Template&gt;&lt;Star&gt;0&lt;/Star&gt;&lt;Tag&gt;0&lt;/Tag&gt;&lt;Author&gt;高琳; 谭静; 吴孟水&lt;/Author&gt;&lt;Year&gt;2023&lt;/Year&gt;&lt;Details&gt;&lt;_author_adr&gt;230041 合肥&lt;/_author_adr&gt;&lt;_created&gt;65647422&lt;/_created&gt;&lt;_db_provider&gt;北京万方数据股份有限公司&lt;/_db_provider&gt;&lt;_doi&gt;10.3969/j.issn.1004-3594.2023.05.004&lt;/_doi&gt;&lt;_issue&gt;5&lt;/_issue&gt;&lt;_journal&gt;武警医学&lt;/_journal&gt;&lt;_keywords&gt;维生素D; 桥本氏甲状腺炎; 自身免疫性甲状腺疾病&lt;/_keywords&gt;&lt;_language&gt;chi_x000d__x000a_基金项目:&lt;/_language&gt;&lt;_modified&gt;65647422&lt;/_modified&gt;&lt;_pages&gt;380-383&lt;/_pages&gt;&lt;_translated_author&gt;Lin, GAO; Jing, TAN; Mengshui, W U&lt;/_translated_author&gt;&lt;_translated_title&gt;Association between vitamin D and Hashimoto&amp;apos; s thyroiditis&lt;/_translated_title&gt;&lt;_url&gt;https://d.wanfangdata.com.cn/periodical/ChlQZXJpb2RpY2FsQ0hJTmV3UzIwMjQwNzA0Eg13anl4MjAyMzA1MDA0Ggg5cDFxeGxxZQ%3D%3D&lt;/_url&gt;&lt;_volume&gt;34&lt;/_volume&gt;&lt;/Details&gt;&lt;Extra&gt;&lt;DBUID&gt;{F96A950B-833F-4880-A151-76DA2D6A2879}&lt;/DBUID&gt;&lt;/Extra&gt;&lt;/Item&gt;&lt;/References&gt;&lt;/Group&gt;&lt;/Citation&gt;_x000a_"/>
    <w:docVar w:name="NE.Ref{9FC7B755-9911-4089-AB81-890FE3F25FCD}" w:val=" ADDIN NE.Ref.{9FC7B755-9911-4089-AB81-890FE3F25FCD}&lt;Citation&gt;&lt;Group&gt;&lt;References&gt;&lt;Item&gt;&lt;ID&gt;2968&lt;/ID&gt;&lt;UID&gt;{ABD3714F-1C09-4548-823A-EA47A646A090}&lt;/UID&gt;&lt;Title&gt;中国甲状腺疾病诊治指南——甲状腺炎&lt;/Title&gt;&lt;Template&gt;Journal Article&lt;/Template&gt;&lt;Star&gt;0&lt;/Star&gt;&lt;Tag&gt;0&lt;/Tag&gt;&lt;Author&gt;编写中华医学会内分泌学分会中国甲状腺疾病诊治指南&lt;/Author&gt;&lt;Year&gt;2008&lt;/Year&gt;&lt;Details&gt;&lt;_collection_scope&gt;PKU;CSCD&lt;/_collection_scope&gt;&lt;_created&gt;65634608&lt;/_created&gt;&lt;_db_provider&gt;北京万方数据股份有限公司&lt;/_db_provider&gt;&lt;_doi&gt;10.3321/j.issn:0578-1426.2008.09.032&lt;/_doi&gt;&lt;_issue&gt;9&lt;/_issue&gt;&lt;_journal&gt;中华内科杂志&lt;/_journal&gt;&lt;_language&gt;chi _x000d__x000a_基金项目:&lt;/_language&gt;&lt;_modified&gt;65634608&lt;/_modified&gt;&lt;_pages&gt;784-788&lt;/_pages&gt;&lt;_url&gt;https://d.wanfangdata.com.cn/periodical/ChlQZXJpb2RpY2FsQ0hJTmV3UzIwMjQwNzA0Eg16aG5rMjAwODA5MDMyGghjeHBudzgxbQ%3D%3D&lt;/_url&gt;&lt;_volume&gt;47&lt;/_volume&gt;&lt;_translated_author&gt;Bian, Xie zhong hua yi&lt;/_translated_author&gt;&lt;/Details&gt;&lt;Extra&gt;&lt;DBUID&gt;{F96A950B-833F-4880-A151-76DA2D6A2879}&lt;/DBUID&gt;&lt;/Extra&gt;&lt;/Item&gt;&lt;/References&gt;&lt;/Group&gt;&lt;/Citation&gt;_x000a_"/>
    <w:docVar w:name="NE.Ref{A55F78D5-DD08-4CDB-91BB-439829D06D39}" w:val=" ADDIN NE.Ref.{A55F78D5-DD08-4CDB-91BB-439829D06D39}&lt;Citation&gt;&lt;Group&gt;&lt;References&gt;&lt;Item&gt;&lt;ID&gt;3379&lt;/ID&gt;&lt;UID&gt;{57CF56E2-9ACD-4AA6-A859-FDDC1FDF6B50}&lt;/UID&gt;&lt;Title&gt;慢性淋巴细胞性甲状腺炎合并甲状腺乳头状癌的研究进展&lt;/Title&gt;&lt;Template&gt;Journal Article&lt;/Template&gt;&lt;Star&gt;0&lt;/Star&gt;&lt;Tag&gt;0&lt;/Tag&gt;&lt;Author&gt;王尔黎; 徐钧&lt;/Author&gt;&lt;Year&gt;2017&lt;/Year&gt;&lt;Details&gt;&lt;_accessed&gt;65702389&lt;/_accessed&gt;&lt;_author_adr&gt;山西医科大学|JG009072,山西省肿瘤医院|JG000658&lt;/_author_adr&gt;&lt;_created&gt;65695046&lt;/_created&gt;&lt;_db_provider&gt;《中华医学杂志》社有限责任公司_x000d__x000a_{Language}：chi&lt;/_db_provider&gt;&lt;_isbn&gt;1006-9801&lt;/_isbn&gt;&lt;_issue&gt;05&lt;/_issue&gt;&lt;_journal&gt;肿瘤研究与临床&lt;/_journal&gt;&lt;_keywords&gt;慢性淋巴细胞性甲状腺炎；甲状腺肿瘤；癌，乳头状_x000d__x000a_{Abstract}：甲状腺癌是临床十分常见的恶性肿瘤，而甲状腺乳头状癌（PTC）是其中最为常见的病理类型，慢性淋巴细胞性甲状腺炎为自身免疫性疾病。近年来，越来越多的慢性淋巴细胞性甲状腺炎合并PTC的现象被临床发现，因此对于二者之间关系的研究也成为热点。文章从二者的流行病学、发病机制、病理形态三个方面的研究现状进行阐述。_x000d__x000a_{URL}：http://yiigle.meddata.com.cn:8089/getCore/downloadCore?loginName=zsdx&amp;amp;token=12fc22b31e0eb7c1523abc74c7482dce15&amp;amp;id=991083&lt;/_keywords&gt;&lt;_modified&gt;65702389&lt;/_modified&gt;&lt;_pages&gt;353-356&lt;/_pages&gt;&lt;_translated_title&gt;Progress of chronic lymphocytic thyroiditis combined with papillary thyroid carcinoma&lt;/_translated_title&gt;&lt;_translated_author&gt;Wang, Er li;Xu, Jun&lt;/_translated_author&gt;&lt;/Details&gt;&lt;Extra&gt;&lt;DBUID&gt;{F96A950B-833F-4880-A151-76DA2D6A2879}&lt;/DBUID&gt;&lt;/Extra&gt;&lt;/Item&gt;&lt;/References&gt;&lt;/Group&gt;&lt;/Citation&gt;_x000a_"/>
    <w:docVar w:name="NE.Ref{A8C75AC8-F058-4F4B-A597-2220435863ED}" w:val=" ADDIN NE.Ref.{A8C75AC8-F058-4F4B-A597-2220435863ED}&lt;Citation&gt;&lt;Group&gt;&lt;References&gt;&lt;Item&gt;&lt;ID&gt;484&lt;/ID&gt;&lt;UID&gt;{5C735587-03B7-415D-BFFC-6B82C71B4627}&lt;/UID&gt;&lt;Title&gt;Avidity of thyroglobulin antibody in sera from patients with Hashimoto&amp;apos;s  thyroiditis with different thyroid functional status&lt;/Title&gt;&lt;Template&gt;Journal Article&lt;/Template&gt;&lt;Star&gt;0&lt;/Star&gt;&lt;Tag&gt;0&lt;/Tag&gt;&lt;Author&gt;Zhang, Y; Gao, Y; Li, M; Xie, L; Huang, Y; Gao, Y; Guo, X&lt;/Author&gt;&lt;Year&gt;2010&lt;/Year&gt;&lt;Details&gt;&lt;_accession_num&gt;20491790&lt;/_accession_num&gt;&lt;_author_adr&gt;Department of Endocrinology, University First Hospital, Beijing, China.&lt;/_author_adr&gt;&lt;_collection_scope&gt;SCIE&lt;/_collection_scope&gt;&lt;_created&gt;65604212&lt;/_created&gt;&lt;_date&gt;2010-07-01&lt;/_date&gt;&lt;_date_display&gt;2010 Jul 1&lt;/_date_display&gt;&lt;_doi&gt;10.1111/j.1365-2249.2010.04155.x&lt;/_doi&gt;&lt;_impact_factor&gt;   5.732&lt;/_impact_factor&gt;&lt;_isbn&gt;1365-2249 (Electronic); 0009-9104 (Print); 0009-9104 (Linking)&lt;/_isbn&gt;&lt;_issue&gt;1&lt;/_issue&gt;&lt;_journal&gt;Clin Exp Immunol&lt;/_journal&gt;&lt;_language&gt;eng&lt;/_language&gt;&lt;_modified&gt;65604212&lt;/_modified&gt;&lt;_pages&gt;65-70&lt;/_pages&gt;&lt;_social_category&gt;免疫学(3)&lt;/_social_category&gt;&lt;_subject_headings&gt;Adolescent; Adult; Aged; Aged, 80 and over; *Antibody Affinity; Autoantibodies/blood/*immunology; Autoantigens/*immunology; Disease Progression; Female; Hashimoto Disease/blood/complications/*immunology/physiopathology; Humans; Hypothyroidism/blood/etiology/immunology; Male; Middle Aged; Thyroglobulin/*immunology; Thyroid Gland/immunology/*physiopathology; Thyroid Hormones/blood; Thyrotropin/blood; Young Adult&lt;/_subject_headings&gt;&lt;_tertiary_title&gt;Clinical and experimental immunology&lt;/_tertiary_title&gt;&lt;_type_work&gt;Comparative Study; Journal Article; Research Support, Non-U.S. Gov&amp;apos;t&lt;/_type_work&gt;&lt;_url&gt;http://www.ncbi.nlm.nih.gov/entrez/query.fcgi?cmd=Retrieve&amp;amp;db=pubmed&amp;amp;dopt=Abstract&amp;amp;list_uids=20491790&amp;amp;query_hl=1&lt;/_url&gt;&lt;_volume&gt;161&lt;/_volume&gt;&lt;/Details&gt;&lt;Extra&gt;&lt;DBUID&gt;{F96A950B-833F-4880-A151-76DA2D6A2879}&lt;/DBUID&gt;&lt;/Extra&gt;&lt;/Item&gt;&lt;/References&gt;&lt;/Group&gt;&lt;/Citation&gt;_x000a_"/>
    <w:docVar w:name="NE.Ref{B525B5FF-B404-49E5-820B-470F7D6E3152}" w:val=" ADDIN NE.Ref.{B525B5FF-B404-49E5-820B-470F7D6E3152}&lt;Citation&gt;&lt;Group&gt;&lt;References&gt;&lt;Item&gt;&lt;ID&gt;3259&lt;/ID&gt;&lt;UID&gt;{EDC7763F-CFE3-45B0-91EB-5D3DE95F74BC}&lt;/UID&gt;&lt;Title&gt;桥本甲状腺炎免疫相关机制的研究进展&lt;/Title&gt;&lt;Template&gt;Journal Article&lt;/Template&gt;&lt;Star&gt;0&lt;/Star&gt;&lt;Tag&gt;0&lt;/Tag&gt;&lt;Author&gt;李建婷; 张海清; 李明龙&lt;/Author&gt;&lt;Year&gt;2014&lt;/Year&gt;&lt;Details&gt;&lt;_author_adr&gt;山东大学附属省立医院内分泌科;&lt;/_author_adr&gt;&lt;_collection_scope&gt;PKU&lt;/_collection_scope&gt;&lt;_created&gt;65647620&lt;/_created&gt;&lt;_db_provider&gt;CNKI&lt;/_db_provider&gt;&lt;_doi&gt;10.13423/j.cnki.cjcmi.007018&lt;/_doi&gt;&lt;_isbn&gt;1007-8738&lt;/_isbn&gt;&lt;_issue&gt;07&lt;/_issue&gt;&lt;_journal&gt;细胞与分子免疫学杂志&lt;/_journal&gt;&lt;_keywords&gt;桥本甲状腺炎;辅助性T细胞;调节性T细胞;CD4/CD8;NK细胞;综述&lt;/_keywords&gt;&lt;_modified&gt;65647620&lt;/_modified&gt;&lt;_pages&gt;771-773&lt;/_pages&gt;&lt;_url&gt;https://link.cnki.net/doi/10.13423/j.cnki.cjcmi.007018&lt;/_url&gt;&lt;_volume&gt;30&lt;/_volume&gt;&lt;_translated_author&gt;Li, Jian ting;Zhang, Hai qing;Li, Ming long&lt;/_translated_author&gt;&lt;/Details&gt;&lt;Extra&gt;&lt;DBUID&gt;{F96A950B-833F-4880-A151-76DA2D6A2879}&lt;/DBUID&gt;&lt;/Extra&gt;&lt;/Item&gt;&lt;/References&gt;&lt;/Group&gt;&lt;Group&gt;&lt;References&gt;&lt;Item&gt;&lt;ID&gt;3260&lt;/ID&gt;&lt;UID&gt;{4A65031E-9894-4B1E-B97C-3E0B58F9A916}&lt;/UID&gt;&lt;Title&gt;MicroRNA-326调节ADAM17促进Th17细胞分化参与桥本甲状腺炎发病的研究&lt;/Title&gt;&lt;Template&gt;Thesis&lt;/Template&gt;&lt;Star&gt;0&lt;/Star&gt;&lt;Tag&gt;0&lt;/Tag&gt;&lt;Author&gt;刘咏萍&lt;/Author&gt;&lt;Year&gt;2018&lt;/Year&gt;&lt;Details&gt;&lt;_created&gt;65647629&lt;/_created&gt;&lt;_db_provider&gt;CNKI&lt;/_db_provider&gt;&lt;_keywords&gt;microRNA-326;桥本甲状腺炎;Th17细胞;ADAM17;IL-23R&lt;/_keywords&gt;&lt;_modified&gt;65647629&lt;/_modified&gt;&lt;_publisher&gt;中国医科大学&lt;/_publisher&gt;&lt;_tertiary_author&gt;李玉姝&lt;/_tertiary_author&gt;&lt;_type_work&gt;博士&lt;/_type_work&gt;&lt;_url&gt;https://next.cnki.net/middle/abstract?v=64ENavj7QCA2cZmMXbytNmXS4QJG2s3RmUCTunlW5Pf4TfxZsFULc06RlMWwm1LmCHNeMc103ErXwUm4KMRJmaQXJjbI3ax1pPX37-Cw2VlgAAK1w01XNhtY22y8yze2LsZEQFUNsk4FUr7HCsQ7pniR8PkiWX1APxk-0DV1PdYqGComdRxc7QIB5reFi5b1rvlaJaLMDoUfq0m7DMhugQ==&amp;amp;uniplatform=NZKPT&amp;amp;language=CHS&amp;amp;scence=null&lt;/_url&gt;&lt;_translated_author&gt;Liu, Yong ping&lt;/_translated_author&gt;&lt;_translated_tertiary_author&gt;Li, Yu shu&lt;/_translated_tertiary_author&gt;&lt;/Details&gt;&lt;Extra&gt;&lt;DBUID&gt;{F96A950B-833F-4880-A151-76DA2D6A2879}&lt;/DBUID&gt;&lt;/Extra&gt;&lt;/Item&gt;&lt;/References&gt;&lt;/Group&gt;&lt;Group&gt;&lt;References&gt;&lt;Item&gt;&lt;ID&gt;3261&lt;/ID&gt;&lt;UID&gt;{15553F62-357C-4C17-9659-4C5CA513885A}&lt;/UID&gt;&lt;Title&gt;桥本甲状腺炎患者Th17细胞变化及相关调控因素的研究&lt;/Title&gt;&lt;Template&gt;Thesis&lt;/Template&gt;&lt;Star&gt;0&lt;/Star&gt;&lt;Tag&gt;0&lt;/Tag&gt;&lt;Author&gt;柳迎昭&lt;/Author&gt;&lt;Year&gt;2014&lt;/Year&gt;&lt;Details&gt;&lt;_created&gt;65647629&lt;/_created&gt;&lt;_db_provider&gt;CNKI&lt;/_db_provider&gt;&lt;_keywords&gt;桥本甲状腺炎;Th17细胞;调节性T细胞(Treg);糖皮质激素诱导的肿瘤坏死因子受体相关配体(GITRL);白介素-23受体(IL-23R);microRNA-125a-3p;自身抗体&lt;/_keywords&gt;&lt;_modified&gt;65647629&lt;/_modified&gt;&lt;_publisher&gt;江苏大学&lt;/_publisher&gt;&lt;_tertiary_author&gt;许化溪&lt;/_tertiary_author&gt;&lt;_type_work&gt;博士&lt;/_type_work&gt;&lt;_url&gt;https://next.cnki.net/middle/abstract?v=64ENavj7QCBxWJ27nM_2sFIIRHTCHkFEQ9MGDigxnvrafcQWQJEnV6hq1htAuBioWpd2fvd6WwDsIx-TQHJoh9bDUx_4L784qUBXE1v-eyINarIXy75OE1Mw0PsugWz5ypmdU0Xvv6qWGOxNIDAdpMfOSFi3ENP-0DKzNZJvIghp9PJAHgQoR8P7eGrZKbotJEDQqFyumso=&amp;amp;uniplatform=NZKPT&amp;amp;language=CHS&amp;amp;scence=null&lt;/_url&gt;&lt;_translated_author&gt;Liu, Ying zhao&lt;/_translated_author&gt;&lt;_translated_tertiary_author&gt;Xu, Hua xi&lt;/_translated_tertiary_author&gt;&lt;/Details&gt;&lt;Extra&gt;&lt;DBUID&gt;{F96A950B-833F-4880-A151-76DA2D6A2879}&lt;/DBUID&gt;&lt;/Extra&gt;&lt;/Item&gt;&lt;/References&gt;&lt;/Group&gt;&lt;/Citation&gt;_x000a_"/>
    <w:docVar w:name="NE.Ref{B73382D7-475E-4BA5-A512-0178EAA43912}" w:val=" ADDIN NE.Ref.{B73382D7-475E-4BA5-A512-0178EAA43912}&lt;Citation&gt;&lt;Group&gt;&lt;References&gt;&lt;Item&gt;&lt;ID&gt;469&lt;/ID&gt;&lt;UID&gt;{6DB20D78-5F78-4C46-A66F-6F75B27AC52D}&lt;/UID&gt;&lt;Title&gt;Assessment of thyroid function during the long course of Hashimoto&amp;apos;s thyroiditis  in children and adolescents&lt;/Title&gt;&lt;Template&gt;Journal Article&lt;/Template&gt;&lt;Star&gt;0&lt;/Star&gt;&lt;Tag&gt;0&lt;/Tag&gt;&lt;Author&gt;Demirbilek, H; Kandemir, N; Gonc, E N; Ozon, A; Alikasifoglu, A&lt;/Author&gt;&lt;Year&gt;2009&lt;/Year&gt;&lt;Details&gt;&lt;_accessed&gt;65707855&lt;/_accessed&gt;&lt;_accession_num&gt;19094075&lt;/_accession_num&gt;&lt;_author_adr&gt;Division of Paediatric Endocrinology, Hacettepe University Faculty of Medicine,  Ankara, Turkey. Dr_huseyin@hotmail.com&lt;/_author_adr&gt;&lt;_collection_scope&gt;SCIE&lt;/_collection_scope&gt;&lt;_created&gt;65604203&lt;/_created&gt;&lt;_date&gt;2009-09-01&lt;/_date&gt;&lt;_date_display&gt;2009 Sep&lt;/_date_display&gt;&lt;_doi&gt;10.1111/j.1365-2265.2008.03501.x&lt;/_doi&gt;&lt;_impact_factor&gt;   3.523&lt;/_impact_factor&gt;&lt;_isbn&gt;1365-2265 (Electronic); 0300-0664 (Linking)&lt;/_isbn&gt;&lt;_issue&gt;3&lt;/_issue&gt;&lt;_journal&gt;Clin Endocrinol (Oxf)&lt;/_journal&gt;&lt;_language&gt;eng&lt;/_language&gt;&lt;_modified&gt;65707855&lt;/_modified&gt;&lt;_pages&gt;451-4&lt;/_pages&gt;&lt;_social_category&gt;内分泌学与代谢(3)&lt;/_social_category&gt;&lt;_subject_headings&gt;Adolescent; Child; Child, Preschool; Female; Follow-Up Studies; Hashimoto Disease/*physiopathology; Humans; Infant; Male; Thyroid Function Tests; Thyroid Gland/*physiopathology&lt;/_subject_headings&gt;&lt;_tertiary_title&gt;Clinical endocrinology&lt;/_tertiary_title&gt;&lt;_type_work&gt;Journal Article&lt;/_type_work&gt;&lt;_url&gt;http://www.ncbi.nlm.nih.gov/entrez/query.fcgi?cmd=Retrieve&amp;amp;db=pubmed&amp;amp;dopt=Abstract&amp;amp;list_uids=19094075&amp;amp;query_hl=1&lt;/_url&gt;&lt;_volume&gt;71&lt;/_volume&gt;&lt;/Details&gt;&lt;Extra&gt;&lt;DBUID&gt;{F96A950B-833F-4880-A151-76DA2D6A2879}&lt;/DBUID&gt;&lt;/Extra&gt;&lt;/Item&gt;&lt;/References&gt;&lt;/Group&gt;&lt;Group&gt;&lt;References&gt;&lt;Item&gt;&lt;ID&gt;470&lt;/ID&gt;&lt;UID&gt;{46AECC0D-52C9-42DA-851E-97411190D4A1}&lt;/UID&gt;&lt;Title&gt;Ten-year follow-up study of thyroid function in euthyroid patients with simple  goiter or Hashimoto&amp;apos;s thyroiditis&lt;/Title&gt;&lt;Template&gt;Journal Article&lt;/Template&gt;&lt;Star&gt;0&lt;/Star&gt;&lt;Tag&gt;0&lt;/Tag&gt;&lt;Author&gt;Sato, A; Aizawa, T; Koizumi, Y; Komiya, I; Ichikawa, K; Takemura, Y; Yamada, T&lt;/Author&gt;&lt;Year&gt;1995&lt;/Year&gt;&lt;Details&gt;&lt;_accession_num&gt;7647404&lt;/_accession_num&gt;&lt;_author_adr&gt;Department of Medicine, School of Medicine, Dokkyo University, Koshigaya  Hospital, Koshigaya.&lt;/_author_adr&gt;&lt;_collection_scope&gt;SCIE&lt;/_collection_scope&gt;&lt;_created&gt;65604204&lt;/_created&gt;&lt;_date&gt;1995-05-01&lt;/_date&gt;&lt;_date_display&gt;1995 May&lt;/_date_display&gt;&lt;_doi&gt;10.2169/internalmedicine.34.371&lt;/_doi&gt;&lt;_impact_factor&gt;   1.282&lt;/_impact_factor&gt;&lt;_isbn&gt;0918-2918 (Print); 0918-2918 (Linking)&lt;/_isbn&gt;&lt;_issue&gt;5&lt;/_issue&gt;&lt;_journal&gt;Intern Med&lt;/_journal&gt;&lt;_language&gt;eng&lt;/_language&gt;&lt;_modified&gt;65604204&lt;/_modified&gt;&lt;_pages&gt;371-5&lt;/_pages&gt;&lt;_social_category&gt;医学：内科(4)&lt;/_social_category&gt;&lt;_subject_headings&gt;Adolescent; Adult; Aged; Autoantibodies/blood; Child; Exophthalmos/etiology; Female; Follow-Up Studies; Goiter, Nodular/blood/*physiopathology; Graves Disease/blood/*physiopathology; Histocompatibility Testing; Humans; Male; Middle Aged; Thyroid Gland/immunology/*physiopathology; Thyroid Hormones/blood; Thyroiditis, Autoimmune/blood/*physiopathology&lt;/_subject_headings&gt;&lt;_tertiary_title&gt;Internal medicine (Tokyo, Japan)&lt;/_tertiary_title&gt;&lt;_type_work&gt;Comparative Study; Journal Article&lt;/_type_work&gt;&lt;_url&gt;http://www.ncbi.nlm.nih.gov/entrez/query.fcgi?cmd=Retrieve&amp;amp;db=pubmed&amp;amp;dopt=Abstract&amp;amp;list_uids=7647404&amp;amp;query_hl=1&lt;/_url&gt;&lt;_volume&gt;34&lt;/_volume&gt;&lt;/Details&gt;&lt;Extra&gt;&lt;DBUID&gt;{F96A950B-833F-4880-A151-76DA2D6A2879}&lt;/DBUID&gt;&lt;/Extra&gt;&lt;/Item&gt;&lt;/References&gt;&lt;/Group&gt;&lt;Group&gt;&lt;References&gt;&lt;Item&gt;&lt;ID&gt;471&lt;/ID&gt;&lt;UID&gt;{AF050F01-013B-4A43-830B-A8C094D3A890}&lt;/UID&gt;&lt;Title&gt;Long-term outcome of hormonal status in Taiwanese children with Hashimoto&amp;apos;s  thyroiditis&lt;/Title&gt;&lt;Template&gt;Journal Article&lt;/Template&gt;&lt;Star&gt;0&lt;/Star&gt;&lt;Tag&gt;0&lt;/Tag&gt;&lt;Author&gt;Wang, S Y; Tung, Y C; Tsai, W Y; Lee, J S; Hsiao, P H&lt;/Author&gt;&lt;Year&gt;2006&lt;/Year&gt;&lt;Details&gt;&lt;_accession_num&gt;16557403&lt;/_accession_num&gt;&lt;_author_adr&gt;Department of Pediatrics, National Taiwan University Hospital and College of  Medicine, National Taiwan University, Taipei, Taiwan, Republic of China.&lt;/_author_adr&gt;&lt;_collection_scope&gt;SCIE&lt;/_collection_scope&gt;&lt;_created&gt;65604204&lt;/_created&gt;&lt;_date&gt;2006-07-01&lt;/_date&gt;&lt;_date_display&gt;2006 Jul&lt;/_date_display&gt;&lt;_doi&gt;10.1007/s00431-006-0112-5&lt;/_doi&gt;&lt;_impact_factor&gt;   3.860&lt;/_impact_factor&gt;&lt;_isbn&gt;0340-6199 (Print); 0340-6199 (Linking)&lt;/_isbn&gt;&lt;_issue&gt;7&lt;/_issue&gt;&lt;_journal&gt;Eur J Pediatr&lt;/_journal&gt;&lt;_language&gt;eng&lt;/_language&gt;&lt;_modified&gt;65604204&lt;/_modified&gt;&lt;_pages&gt;481-3&lt;/_pages&gt;&lt;_social_category&gt;儿科(2)&lt;/_social_category&gt;&lt;_subject_headings&gt;Adolescent; Chi-Square Distribution; Child; Child, Preschool; Female; Hashimoto Disease/*drug therapy/epidemiology; Humans; Male; Prospective Studies; Taiwan/epidemiology; Thyroid Function Tests; Thyroxine/*therapeutic use; Treatment Outcome&lt;/_subject_headings&gt;&lt;_tertiary_title&gt;European journal of pediatrics&lt;/_tertiary_title&gt;&lt;_type_work&gt;Journal Article&lt;/_type_work&gt;&lt;_url&gt;http://www.ncbi.nlm.nih.gov/entrez/query.fcgi?cmd=Retrieve&amp;amp;db=pubmed&amp;amp;dopt=Abstract&amp;amp;list_uids=16557403&amp;amp;query_hl=1&lt;/_url&gt;&lt;_volume&gt;165&lt;/_volume&gt;&lt;/Details&gt;&lt;Extra&gt;&lt;DBUID&gt;{F96A950B-833F-4880-A151-76DA2D6A2879}&lt;/DBUID&gt;&lt;/Extra&gt;&lt;/Item&gt;&lt;/References&gt;&lt;/Group&gt;&lt;Group&gt;&lt;References&gt;&lt;Item&gt;&lt;ID&gt;3274&lt;/ID&gt;&lt;UID&gt;{95CD3E50-348B-41CA-9FD8-84E53453AD5A}&lt;/UID&gt;&lt;Title&gt;桥本氏甲状腺炎&lt;/Title&gt;&lt;Template&gt;Journal Article&lt;/Template&gt;&lt;Star&gt;0&lt;/Star&gt;&lt;Tag&gt;0&lt;/Tag&gt;&lt;Author&gt;张振东&lt;/Author&gt;&lt;Year&gt;2022&lt;/Year&gt;&lt;Details&gt;&lt;_accessed&gt;65664789&lt;/_accessed&gt;&lt;_author_adr&gt;天津市人民医院&lt;/_author_adr&gt;&lt;_created&gt;65664710&lt;/_created&gt;&lt;_db_provider&gt;北京万方数据股份有限公司&lt;/_db_provider&gt;&lt;_issue&gt;6&lt;/_issue&gt;&lt;_journal&gt;开卷有益（求医问药）&lt;/_journal&gt;&lt;_language&gt;chi_x000d__x000a_基金项目:&lt;/_language&gt;&lt;_modified&gt;65664789&lt;/_modified&gt;&lt;_pages&gt;22&lt;/_pages&gt;&lt;_url&gt;https://d.wanfangdata.com.cn/periodical/ChlQZXJpb2RpY2FsQ0hJTmV3UzIwMjQwNzA0EhJranl5LXF5d3kyMDIyMDYwMTgaCHVxZnVxaDJu&lt;/_url&gt;&lt;_translated_author&gt;Zhang, Zhen dong&lt;/_translated_author&gt;&lt;/Details&gt;&lt;Extra&gt;&lt;DBUID&gt;{F96A950B-833F-4880-A151-76DA2D6A2879}&lt;/DBUID&gt;&lt;/Extra&gt;&lt;/Item&gt;&lt;/References&gt;&lt;/Group&gt;&lt;/Citation&gt;_x000a_"/>
    <w:docVar w:name="NE.Ref{B76F802B-CBA0-4C52-8D14-6BA1526B3B7B}" w:val=" ADDIN NE.Ref.{B76F802B-CBA0-4C52-8D14-6BA1526B3B7B}&lt;Citation&gt;&lt;Group&gt;&lt;References&gt;&lt;Item&gt;&lt;ID&gt;480&lt;/ID&gt;&lt;UID&gt;{A2AE77FE-6FB9-4490-83FC-C004FD623542}&lt;/UID&gt;&lt;Title&gt;Hashimoto&amp;apos;s thyroiditis: relative recurrence risk ratio and implications for  screening of first-degree relatives&lt;/Title&gt;&lt;Template&gt;Journal Article&lt;/Template&gt;&lt;Star&gt;0&lt;/Star&gt;&lt;Tag&gt;0&lt;/Tag&gt;&lt;Author&gt;Bothra, N; Shah, N; Goroshi, M; Jadhav, S; Padalkar, S; Thakkar, H; Toteja, G S; Shivane, V; Lila, A; Bandgar, T&lt;/Author&gt;&lt;Year&gt;2017&lt;/Year&gt;&lt;Details&gt;&lt;_accessed&gt;65604210&lt;/_accessed&gt;&lt;_accession_num&gt;28273382&lt;/_accession_num&gt;&lt;_author_adr&gt;Department of Endocrinology, Seth GSMC and KEM Hospital, Mumbai, India.; Department of Endocrinology, Seth GSMC and KEM Hospital, Mumbai, India.; Department of Endocrinology, Seth GSMC and KEM Hospital, Mumbai, India.; Department of Endocrinology, Seth GSMC and KEM Hospital, Mumbai, India.; Department of Radiology, Seth GSMC and KEM Hospital, Mumbai, India.; Department of Radiology, Seth GSMC and KEM Hospital, Mumbai, India.; Scientist-&amp;apos;G&amp;apos; &amp;amp; Head (Nutrition), Indian Council of Medical Research, Department  of Health Research, Ministry of Health &amp;amp; Family Welfare, Govt. of India, New  Delhi, India.; Department of Endocrinology, Seth GSMC and KEM Hospital, Mumbai, India.; Department of Endocrinology, Seth GSMC and KEM Hospital, Mumbai, India.; Department of Endocrinology, Seth GSMC and KEM Hospital, Mumbai, India.&lt;/_author_adr&gt;&lt;_collection_scope&gt;SCIE&lt;/_collection_scope&gt;&lt;_created&gt;65604210&lt;/_created&gt;&lt;_date&gt;2017-08-01&lt;/_date&gt;&lt;_date_display&gt;2017 Aug&lt;/_date_display&gt;&lt;_doi&gt;10.1111/cen.13323&lt;/_doi&gt;&lt;_impact_factor&gt;   3.523&lt;/_impact_factor&gt;&lt;_isbn&gt;1365-2265 (Electronic); 0300-0664 (Linking)&lt;/_isbn&gt;&lt;_issue&gt;2&lt;/_issue&gt;&lt;_journal&gt;Clin Endocrinol (Oxf)&lt;/_journal&gt;&lt;_language&gt;eng&lt;/_language&gt;&lt;_modified&gt;65604210&lt;/_modified&gt;&lt;_ori_publication&gt;© 2017 John Wiley &amp;amp; Sons Ltd.&lt;/_ori_publication&gt;&lt;_pages&gt;201-206&lt;/_pages&gt;&lt;_social_category&gt;内分泌学与代谢(3)&lt;/_social_category&gt;&lt;_subject_headings&gt;Adolescent; Adult; Age Factors; Antibodies/blood; Child; Disease Susceptibility; *Family Health; Female; Hashimoto Disease/diagnosis/*epidemiology/pathology; Humans; Male; Odds Ratio; Prevalence; Recurrence; Sex Factors; Thyroid Gland/immunology; Young Adult&lt;/_subject_headings&gt;&lt;_tertiary_title&gt;Clinical endocrinology&lt;/_tertiary_title&gt;&lt;_type_work&gt;Journal Article&lt;/_type_work&gt;&lt;_url&gt;http://www.ncbi.nlm.nih.gov/entrez/query.fcgi?cmd=Retrieve&amp;amp;db=pubmed&amp;amp;dopt=Abstract&amp;amp;list_uids=28273382&amp;amp;query_hl=1&lt;/_url&gt;&lt;_volume&gt;87&lt;/_volume&gt;&lt;/Details&gt;&lt;Extra&gt;&lt;DBUID&gt;{F96A950B-833F-4880-A151-76DA2D6A2879}&lt;/DBUID&gt;&lt;/Extra&gt;&lt;/Item&gt;&lt;/References&gt;&lt;/Group&gt;&lt;/Citation&gt;_x000a_"/>
    <w:docVar w:name="NE.Ref{B7D466E0-0C4B-4D2C-92F9-2DCC0506D60F}" w:val=" ADDIN NE.Ref.{B7D466E0-0C4B-4D2C-92F9-2DCC0506D60F}&lt;Citation&gt;&lt;Group&gt;&lt;References&gt;&lt;Item&gt;&lt;ID&gt;486&lt;/ID&gt;&lt;UID&gt;{709E8690-F350-40BA-866A-F7557FEC7303}&lt;/UID&gt;&lt;Title&gt;Antithyroperoxidase and antithyroglobulin antibodies in a five-year follow-up  survey of populations with different iodine intakes&lt;/Title&gt;&lt;Template&gt;Journal Article&lt;/Template&gt;&lt;Star&gt;0&lt;/Star&gt;&lt;Tag&gt;0&lt;/Tag&gt;&lt;Author&gt;Li, Y; Teng, D; Shan, Z; Teng, X; Guan, H; Yu, X; Fan, C; Chong, W; Yang, F; Dai, H; Gu, X; Yu, Y; Mao, J; Zhao, D; Li, J; Chen, Y; Yang, R; Li, C; Teng, W&lt;/Author&gt;&lt;Year&gt;2008&lt;/Year&gt;&lt;Details&gt;&lt;_accession_num&gt;18270254&lt;/_accession_num&gt;&lt;_author_adr&gt;Department of Endocrinology and Metabolism, and the Institute of Endocrinology,  First Affiliated Hospital, China Medical University, no.155 Nanjing Bei Street,  Heping District, Shenyang, China.&lt;/_author_adr&gt;&lt;_collection_scope&gt;SCIE&lt;/_collection_scope&gt;&lt;_created&gt;65604213&lt;/_created&gt;&lt;_date&gt;2008-05-01&lt;/_date&gt;&lt;_date_display&gt;2008 May&lt;/_date_display&gt;&lt;_doi&gt;10.1210/jc.2007-2368&lt;/_doi&gt;&lt;_impact_factor&gt;   6.134&lt;/_impact_factor&gt;&lt;_isbn&gt;0021-972X (Print); 0021-972X (Linking)&lt;/_isbn&gt;&lt;_issue&gt;5&lt;/_issue&gt;&lt;_journal&gt;J Clin Endocrinol Metab&lt;/_journal&gt;&lt;_language&gt;eng&lt;/_language&gt;&lt;_modified&gt;65604213&lt;/_modified&gt;&lt;_pages&gt;1751-7&lt;/_pages&gt;&lt;_social_category&gt;内分泌学与代谢(2)&lt;/_social_category&gt;&lt;_subject_headings&gt;Adolescent; Adult; Aged; Autoantibodies/*blood; Female; Follow-Up Studies; Humans; Iodide Peroxidase/*immunology; Iodine/*administration &amp;amp; dosage; Male; Middle Aged; Thyrotropin/blood&lt;/_subject_headings&gt;&lt;_tertiary_title&gt;The Journal of clinical endocrinology and metabolism&lt;/_tertiary_title&gt;&lt;_type_work&gt;Journal Article; Research Support, Non-U.S. Gov&amp;apos;t&lt;/_type_work&gt;&lt;_url&gt;http://www.ncbi.nlm.nih.gov/entrez/query.fcgi?cmd=Retrieve&amp;amp;db=pubmed&amp;amp;dopt=Abstract&amp;amp;list_uids=18270254&amp;amp;query_hl=1&lt;/_url&gt;&lt;_volume&gt;93&lt;/_volume&gt;&lt;/Details&gt;&lt;Extra&gt;&lt;DBUID&gt;{F96A950B-833F-4880-A151-76DA2D6A2879}&lt;/DBUID&gt;&lt;/Extra&gt;&lt;/Item&gt;&lt;/References&gt;&lt;/Group&gt;&lt;/Citation&gt;_x000a_"/>
    <w:docVar w:name="NE.Ref{B82313D5-E0F6-495E-9D37-B1FE2EEEC0BE}" w:val=" ADDIN NE.Ref.{B82313D5-E0F6-495E-9D37-B1FE2EEEC0BE}&lt;Citation&gt;&lt;Group&gt;&lt;References&gt;&lt;Item&gt;&lt;ID&gt;485&lt;/ID&gt;&lt;UID&gt;{D41A4BAA-2BE0-4410-BF32-3A7794EE46B4}&lt;/UID&gt;&lt;Title&gt;The natural history of euthyroid Hashimoto&amp;apos;s thyroiditis in children&lt;/Title&gt;&lt;Template&gt;Journal Article&lt;/Template&gt;&lt;Star&gt;0&lt;/Star&gt;&lt;Tag&gt;0&lt;/Tag&gt;&lt;Author&gt;Radetti, G; Gottardi, E; Bona, G; Corrias, A; Salardi, S; Loche, S&lt;/Author&gt;&lt;Year&gt;2006&lt;/Year&gt;&lt;Details&gt;&lt;_accession_num&gt;17137901&lt;/_accession_num&gt;&lt;_author_adr&gt;Department of Pediatrics, Regional Hospital, Bolzano, Italy.  giorgio.radetti@asbz.it&lt;/_author_adr&gt;&lt;_collection_scope&gt;SCIE&lt;/_collection_scope&gt;&lt;_created&gt;65604212&lt;/_created&gt;&lt;_date&gt;2006-12-01&lt;/_date&gt;&lt;_date_display&gt;2006 Dec&lt;/_date_display&gt;&lt;_doi&gt;10.1016/j.jpeds.2006.08.045&lt;/_doi&gt;&lt;_impact_factor&gt;   6.314&lt;/_impact_factor&gt;&lt;_isbn&gt;0022-3476 (Print); 0022-3476 (Linking)&lt;/_isbn&gt;&lt;_issue&gt;6&lt;/_issue&gt;&lt;_journal&gt;J Pediatr&lt;/_journal&gt;&lt;_language&gt;eng&lt;/_language&gt;&lt;_modified&gt;65604212&lt;/_modified&gt;&lt;_pages&gt;827-32&lt;/_pages&gt;&lt;_social_category&gt;儿科(1)&lt;/_social_category&gt;&lt;_subject_headings&gt;Child; Female; Follow-Up Studies; Hashimoto Disease/*diagnosis; Humans; Male; Retrospective Studies&lt;/_subject_headings&gt;&lt;_tertiary_title&gt;The Journal of pediatrics&lt;/_tertiary_title&gt;&lt;_type_work&gt;Journal Article; Multicenter Study&lt;/_type_work&gt;&lt;_url&gt;http://www.ncbi.nlm.nih.gov/entrez/query.fcgi?cmd=Retrieve&amp;amp;db=pubmed&amp;amp;dopt=Abstract&amp;amp;list_uids=17137901&amp;amp;query_hl=1&lt;/_url&gt;&lt;_volume&gt;149&lt;/_volume&gt;&lt;/Details&gt;&lt;Extra&gt;&lt;DBUID&gt;{F96A950B-833F-4880-A151-76DA2D6A2879}&lt;/DBUID&gt;&lt;/Extra&gt;&lt;/Item&gt;&lt;/References&gt;&lt;/Group&gt;&lt;/Citation&gt;_x000a_"/>
    <w:docVar w:name="NE.Ref{C8450150-AB96-4EFA-A8E5-41EFEBE4BE5D}" w:val=" ADDIN NE.Ref.{C8450150-AB96-4EFA-A8E5-41EFEBE4BE5D}&lt;Citation&gt;&lt;Group&gt;&lt;References&gt;&lt;Item&gt;&lt;ID&gt;3238&lt;/ID&gt;&lt;UID&gt;{7FD42FBD-9CDD-4641-9997-435A01B372D6}&lt;/UID&gt;&lt;Title&gt;扶正消瘿八法治疗桥本甲状腺炎&lt;/Title&gt;&lt;Template&gt;Journal Article&lt;/Template&gt;&lt;Star&gt;0&lt;/Star&gt;&lt;Tag&gt;0&lt;/Tag&gt;&lt;Author&gt;刘昕怡; 彭婧; 夏仲元&lt;/Author&gt;&lt;Year&gt;2020&lt;/Year&gt;&lt;Details&gt;&lt;_author_adr&gt;北京中医药大学第三附属医院;北京中医药大学;中日友好医院;&lt;/_author_adr&gt;&lt;_created&gt;65646214&lt;/_created&gt;&lt;_db_provider&gt;CNKI&lt;/_db_provider&gt;&lt;_isbn&gt;1672-6790&lt;/_isbn&gt;&lt;_issue&gt;05&lt;/_issue&gt;&lt;_journal&gt;中国临床保健杂志&lt;/_journal&gt;&lt;_keywords&gt;桥本病;中医学;名医经验;综述&lt;/_keywords&gt;&lt;_modified&gt;65646214&lt;/_modified&gt;&lt;_pages&gt;717-720&lt;/_pages&gt;&lt;_url&gt;https://next.cnki.net/middle/abstract?v=_W1AupcyYgZCWAFSleR13PDSz_7TmesJUJ8xRwz3ZssVacV8UoVNezM1BtabshbBpY1dJILc7QCEsXfWcxjjhi5TlxqAdahdbtJpUS0FeB5JEMRu1oi6fbmwIEWnhqg3NLrOM3bhPoK7w5wvwSfL9uuwIfv8bDG6gNR80LegklRv5xByG5ocYQIjK9zL30p4mtzXQwZct3c=&amp;amp;uniplatform=NZKPT&amp;amp;language=CHS&amp;amp;scence=null&lt;/_url&gt;&lt;_volume&gt;23&lt;/_volume&gt;&lt;_translated_author&gt;Liu, Xin yi;Peng, Jing;Xia, Zhong yuan&lt;/_translated_author&gt;&lt;/Details&gt;&lt;Extra&gt;&lt;DBUID&gt;{F96A950B-833F-4880-A151-76DA2D6A2879}&lt;/DBUID&gt;&lt;/Extra&gt;&lt;/Item&gt;&lt;/References&gt;&lt;/Group&gt;&lt;/Citation&gt;_x000a_"/>
    <w:docVar w:name="NE.Ref{D72BB683-9770-468F-87C9-6AC3A41331D6}" w:val=" ADDIN NE.Ref.{D72BB683-9770-468F-87C9-6AC3A41331D6}&lt;Citation&gt;&lt;Group&gt;&lt;References&gt;&lt;Item&gt;&lt;ID&gt;3378&lt;/ID&gt;&lt;UID&gt;{38A97ACE-1771-45AB-9E90-424EE4496E3B}&lt;/UID&gt;&lt;Title&gt;产后甲状腺炎&lt;/Title&gt;&lt;Template&gt;Journal Article&lt;/Template&gt;&lt;Star&gt;0&lt;/Star&gt;&lt;Tag&gt;0&lt;/Tag&gt;&lt;Author&gt;Epp, Riley; Malcolm, Janine; Jolin-Dahel, Khiera; Clermont, Michaela; Keely, Erin; 赵茵&lt;/Author&gt;&lt;Year&gt;2021&lt;/Year&gt;&lt;Details&gt;&lt;_accessed&gt;65707859&lt;/_accessed&gt;&lt;_created&gt;65695038&lt;/_created&gt;&lt;_db_provider&gt;《中华医学杂志》社有限责任公司_x000d__x000a_{Language}：chi&lt;/_db_provider&gt;&lt;_isbn&gt;1007-9742&lt;/_isbn&gt;&lt;_issue&gt;12&lt;/_issue&gt;&lt;_journal&gt;英国医学杂志中文版&lt;/_journal&gt;&lt;_keywords&gt;{Abstract}：_x000d__x000a_{URL}：http://yiigle.meddata.com.cn:8089/getCore/downloadCore?loginName=zsdx&amp;amp;token=12fc22b31e0eb7c1523abc74c7482dce15&amp;amp;id=1345090&lt;/_keywords&gt;&lt;_modified&gt;65707859&lt;/_modified&gt;&lt;_pages&gt;726-731&lt;/_pages&gt;&lt;_translated_title&gt;Postpartum thyroiditis&lt;/_translated_title&gt;&lt;_translated_author&gt;Epp, Riley;Malcolm, Janine;Jolin-Dahel, Khiera;Clermont, Michaela;Keely, Erin;Zhao, Yin&lt;/_translated_author&gt;&lt;/Details&gt;&lt;Extra&gt;&lt;DBUID&gt;{F96A950B-833F-4880-A151-76DA2D6A2879}&lt;/DBUID&gt;&lt;/Extra&gt;&lt;/Item&gt;&lt;/References&gt;&lt;/Group&gt;&lt;/Citation&gt;_x000a_"/>
    <w:docVar w:name="NE.Ref{D91502B3-B43B-4D51-9C35-3078485CF4C1}" w:val=" ADDIN NE.Ref.{D91502B3-B43B-4D51-9C35-3078485CF4C1}&lt;Citation&gt;&lt;Group&gt;&lt;References&gt;&lt;Item&gt;&lt;ID&gt;3239&lt;/ID&gt;&lt;UID&gt;{15C6293E-5931-43A9-9466-0631E3CAF285}&lt;/UID&gt;&lt;Title&gt;从脾肾论治桥本甲状腺炎合并甲状腺功能减退&lt;/Title&gt;&lt;Template&gt;Journal Article&lt;/Template&gt;&lt;Star&gt;0&lt;/Star&gt;&lt;Tag&gt;0&lt;/Tag&gt;&lt;Author&gt;周凯伦; 王旭&lt;/Author&gt;&lt;Year&gt;2018&lt;/Year&gt;&lt;Details&gt;&lt;_author_adr&gt;南京中医药大学第一临床医学院;&lt;/_author_adr&gt;&lt;_collection_scope&gt;CSCD;PKU&lt;/_collection_scope&gt;&lt;_created&gt;65646214&lt;/_created&gt;&lt;_db_provider&gt;CNKI&lt;/_db_provider&gt;&lt;_doi&gt;10.19945/j.cnki.issn.1006-3250.2018.02.014&lt;/_doi&gt;&lt;_isbn&gt;1006-3250&lt;/_isbn&gt;&lt;_issue&gt;02&lt;/_issue&gt;&lt;_journal&gt;中国中医基础医学杂志&lt;/_journal&gt;&lt;_keywords&gt;桥本甲状腺炎;甲状腺功能减退;脾肾;益火补土&lt;/_keywords&gt;&lt;_modified&gt;65646214&lt;/_modified&gt;&lt;_pages&gt;170-172&lt;/_pages&gt;&lt;_url&gt;https://link.cnki.net/doi/10.19945/j.cnki.issn.1006-3250.2018.02.014&lt;/_url&gt;&lt;_volume&gt;24&lt;/_volume&gt;&lt;_translated_author&gt;Zhou, Kai lun;Wang, Xu&lt;/_translated_author&gt;&lt;/Details&gt;&lt;Extra&gt;&lt;DBUID&gt;{F96A950B-833F-4880-A151-76DA2D6A2879}&lt;/DBUID&gt;&lt;/Extra&gt;&lt;/Item&gt;&lt;/References&gt;&lt;/Group&gt;&lt;/Citation&gt;_x000a_"/>
    <w:docVar w:name="NE.Ref{E7880089-49D1-4E17-A3CC-E8DE019E9CC0}" w:val=" ADDIN NE.Ref.{E7880089-49D1-4E17-A3CC-E8DE019E9CC0}&lt;Citation&gt;&lt;Group&gt;&lt;References&gt;&lt;Item&gt;&lt;ID&gt;3280&lt;/ID&gt;&lt;UID&gt;{A70EC962-6557-4C64-B251-580459574A12}&lt;/UID&gt;&lt;Title&gt;Diagnosis and Management of Thyroiditis: Hashimoto&lt;/Title&gt;&lt;Template&gt;Journal Article&lt;/Template&gt;&lt;Star&gt;0&lt;/Star&gt;&lt;Tag&gt;0&lt;/Tag&gt;&lt;Author&gt;Russell, M D; Chiang, J&lt;/Author&gt;&lt;Year&gt;2022&lt;/Year&gt;&lt;Details&gt;&lt;_accessed&gt;65664972&lt;/_accessed&gt;&lt;_created&gt;65664926&lt;/_created&gt;&lt;_issue&gt; 19 January&lt;/_issue&gt;&lt;_journal&gt;Endocrine Surgery Comprehensive Board Exam Guide&lt;/_journal&gt;&lt;_modified&gt;65664972&lt;/_modified&gt;&lt;_pages&gt; 83-105&lt;/_pages&gt;&lt;/Details&gt;&lt;Extra&gt;&lt;DBUID&gt;{F96A950B-833F-4880-A151-76DA2D6A2879}&lt;/DBUID&gt;&lt;/Extra&gt;&lt;/Item&gt;&lt;/References&gt;&lt;/Group&gt;&lt;/Citation&gt;_x000a_"/>
    <w:docVar w:name="NE.Ref{EA106DCE-E48C-4E16-A214-CA36E648DCDF}" w:val=" ADDIN NE.Ref.{EA106DCE-E48C-4E16-A214-CA36E648DCDF}&lt;Citation&gt;&lt;Group&gt;&lt;References&gt;&lt;Item&gt;&lt;ID&gt;3281&lt;/ID&gt;&lt;UID&gt;{8C11C38A-8DF2-4B43-83C0-A0615126C79D}&lt;/UID&gt;&lt;Title&gt;桥本氏甲状腺炎的超声诊断与鉴别诊断&lt;/Title&gt;&lt;Template&gt;Journal Article&lt;/Template&gt;&lt;Star&gt;0&lt;/Star&gt;&lt;Tag&gt;0&lt;/Tag&gt;&lt;Author&gt;朱霞; 黄道中; 刘景云; 吴亮; 张青萍&lt;/Author&gt;&lt;Year&gt;2007&lt;/Year&gt;&lt;Details&gt;&lt;_accessed&gt;65664973&lt;/_accessed&gt;&lt;_created&gt;65664972&lt;/_created&gt;&lt;_issue&gt;6&lt;/_issue&gt;&lt;_journal&gt;临床超声医学杂志&lt;/_journal&gt;&lt;_modified&gt;65664973&lt;/_modified&gt;&lt;_pages&gt;4&lt;/_pages&gt;&lt;_volume&gt;9&lt;/_volume&gt;&lt;_translated_author&gt;Zhu, Xia;Huang, Dao zhong;Liu, Jing yun;Wu, Liang;Zhang, Qing ping&lt;/_translated_author&gt;&lt;/Details&gt;&lt;Extra&gt;&lt;DBUID&gt;{F96A950B-833F-4880-A151-76DA2D6A2879}&lt;/DBUID&gt;&lt;/Extra&gt;&lt;/Item&gt;&lt;/References&gt;&lt;/Group&gt;&lt;/Citation&gt;_x000a_"/>
    <w:docVar w:name="NE.Ref{EAD66D57-EBBE-4527-BC80-566262E2DC07}" w:val=" ADDIN NE.Ref.{EAD66D57-EBBE-4527-BC80-566262E2DC07}&lt;Citation&gt;&lt;Group&gt;&lt;References&gt;&lt;Item&gt;&lt;ID&gt;496&lt;/ID&gt;&lt;UID&gt;{2BA42B4E-7259-42AA-BBE0-56D23FB78CCC}&lt;/UID&gt;&lt;Title&gt;桥本氏甲状腺炎中西医结合质量控制指标体系北京专家共识（2021版）&lt;/Title&gt;&lt;Template&gt;Journal Article&lt;/Template&gt;&lt;Star&gt;0&lt;/Star&gt;&lt;Tag&gt;0&lt;/Tag&gt;&lt;Author/&gt;&lt;Year&gt;2021&lt;/Year&gt;&lt;Details&gt;&lt;_author_adr&gt;北京中西医结合学会甲状腺病专业委员会;&lt;/_author_adr&gt;&lt;_created&gt;65604222&lt;/_created&gt;&lt;_db_provider&gt;CNKI&lt;/_db_provider&gt;&lt;_isbn&gt;1001-0025&lt;/_isbn&gt;&lt;_issue&gt;06&lt;/_issue&gt;&lt;_journal&gt;中日友好医院学报&lt;/_journal&gt;&lt;_keywords&gt;桥本氏甲状腺炎;中西医结合;医疗质量;质量控制;专家共识&lt;/_keywords&gt;&lt;_modified&gt;65604222&lt;/_modified&gt;&lt;_pages&gt;323-327&lt;/_pages&gt;&lt;_url&gt;https://kns.cnki.net/kcms2/article/abstract?v=Fc1KeZPKhRHbb5eiWLVs8FxsIvbawiK74AzoPiWDfy6-dzM_pbqNr75qJrfkjq1GGGqhkwau39CJZYmTd0RRgSdEn0r0aC4nBzpOlcIJ-DyEGBVOtM8IP_kVBzapjv7AmmoGoVQtPL0Mh0lvUSbNLs1leqQFE6MK3rjRHxQnmk0V6axhfF9Pvt8Bfmsg5HLxQkdHb2s8KtE=&amp;amp;uniplatform=NZKPT&amp;amp;language=CHS&lt;/_url&gt;&lt;_volume&gt;35&lt;/_volume&gt;&lt;/Details&gt;&lt;Extra&gt;&lt;DBUID&gt;{F96A950B-833F-4880-A151-76DA2D6A2879}&lt;/DBUID&gt;&lt;/Extra&gt;&lt;/Item&gt;&lt;/References&gt;&lt;/Group&gt;&lt;/Citation&gt;_x000a_"/>
    <w:docVar w:name="NE.Ref{EAE1C16C-9181-4949-9DC9-5295F9A509AF}" w:val=" ADDIN NE.Ref.{EAE1C16C-9181-4949-9DC9-5295F9A509AF}&lt;Citation&gt;&lt;Group&gt;&lt;References&gt;&lt;Item&gt;&lt;ID&gt;472&lt;/ID&gt;&lt;UID&gt;{805F2F59-4B1B-4963-A726-B5974006060C}&lt;/UID&gt;&lt;Title&gt;Effects of vitamin D on thyroid autoimmunity markers in Hashimoto&amp;apos;s thyroiditis:  systematic review and meta-analysis&lt;/Title&gt;&lt;Template&gt;Journal Article&lt;/Template&gt;&lt;Star&gt;0&lt;/Star&gt;&lt;Tag&gt;0&lt;/Tag&gt;&lt;Author&gt;Zhang, J; Chen, Y; Li, H; Li, H&lt;/Author&gt;&lt;Year&gt;2021&lt;/Year&gt;&lt;Details&gt;&lt;_accession_num&gt;34871506&lt;/_accession_num&gt;&lt;_author_adr&gt;Department of Endocrinology, Long Hua Hospital Affiliated to Shanghai University  of Traditional Chinese Medicine, Shanghai, China.; Department of Endocrinology, Zhejiang Hospital of Traditional Chinese Medicine,  Hangzhou, Zhejiang Province, China.; Department of Endocrinology, Long Hua Hospital Affiliated to Shanghai University  of Traditional Chinese Medicine, Shanghai, China.; Department of Endocrinology, Long Hua Hospital Affiliated to Shanghai University  of Traditional Chinese Medicine, Shanghai, China.&lt;/_author_adr&gt;&lt;_collection_scope&gt;SCIE&lt;/_collection_scope&gt;&lt;_created&gt;65604205&lt;/_created&gt;&lt;_date&gt;2021-12-01&lt;/_date&gt;&lt;_date_display&gt;2021 Dec&lt;/_date_display&gt;&lt;_doi&gt;10.1177/03000605211060675&lt;/_doi&gt;&lt;_impact_factor&gt;   1.573&lt;/_impact_factor&gt;&lt;_isbn&gt;1473-2300 (Electronic); 0300-0605 (Print); 0300-0605 (Linking)&lt;/_isbn&gt;&lt;_issue&gt;12&lt;/_issue&gt;&lt;_journal&gt;J Int Med Res&lt;/_journal&gt;&lt;_keywords&gt;Hashimoto’s thyroiditis; meta-analysis; vitamin D&lt;/_keywords&gt;&lt;_language&gt;eng&lt;/_language&gt;&lt;_modified&gt;65604205&lt;/_modified&gt;&lt;_pages&gt;3000605211060675&lt;/_pages&gt;&lt;_social_category&gt;医学：研究与实验(4) &amp;amp; 药学(4)&lt;/_social_category&gt;&lt;_subject_headings&gt;Autoimmunity; Dietary Supplements; *Hashimoto Disease/drug therapy; Humans; *Vitamin D&lt;/_subject_headings&gt;&lt;_tertiary_title&gt;The Journal of international medical research&lt;/_tertiary_title&gt;&lt;_type_work&gt;Journal Article; Meta-Analysis; Systematic Review&lt;/_type_work&gt;&lt;_url&gt;http://www.ncbi.nlm.nih.gov/entrez/query.fcgi?cmd=Retrieve&amp;amp;db=pubmed&amp;amp;dopt=Abstract&amp;amp;list_uids=34871506&amp;amp;query_hl=1&lt;/_url&gt;&lt;_volume&gt;49&lt;/_volume&gt;&lt;/Details&gt;&lt;Extra&gt;&lt;DBUID&gt;{F96A950B-833F-4880-A151-76DA2D6A2879}&lt;/DBUID&gt;&lt;/Extra&gt;&lt;/Item&gt;&lt;/References&gt;&lt;/Group&gt;&lt;Group&gt;&lt;References&gt;&lt;Item&gt;&lt;ID&gt;497&lt;/ID&gt;&lt;UID&gt;{A8134B1B-B49F-4582-BF25-29A1D18058DD}&lt;/UID&gt;&lt;Title&gt;桥本氏甲状腺炎发病机制及治疗方法研究进展&lt;/Title&gt;&lt;Template&gt;Journal Article&lt;/Template&gt;&lt;Star&gt;0&lt;/Star&gt;&lt;Tag&gt;0&lt;/Tag&gt;&lt;Author&gt;王平; 王建凤; 刘善新; 王杰&lt;/Author&gt;&lt;Year&gt;2015&lt;/Year&gt;&lt;Details&gt;&lt;_accessed&gt;65634744&lt;/_accessed&gt;&lt;_author_adr&gt;山东省中医药研究院;山东省立医院;&lt;/_author_adr&gt;&lt;_created&gt;65604222&lt;/_created&gt;&lt;_db_provider&gt;CNKI&lt;/_db_provider&gt;&lt;_doi&gt;10.13506/j.cnki.jpr.2015.10.013&lt;/_doi&gt;&lt;_isbn&gt;2095-5375&lt;/_isbn&gt;&lt;_issue&gt;10&lt;/_issue&gt;&lt;_journal&gt;药学研究&lt;/_journal&gt;&lt;_keywords&gt;桥本氏甲状腺炎;自身免疫;西医治疗;中医治疗&lt;/_keywords&gt;&lt;_modified&gt;65634744&lt;/_modified&gt;&lt;_pages&gt;599-603&lt;/_pages&gt;&lt;_url&gt;https://link.cnki.net/doi/10.13506/j.cnki.jpr.2015.10.013&lt;/_url&gt;&lt;_volume&gt;34&lt;/_volume&gt;&lt;_translated_author&gt;Wang, Ping;Wang, Jian feng;Liu, Shan xin;Wang, Jie&lt;/_translated_author&gt;&lt;/Details&gt;&lt;Extra&gt;&lt;DBUID&gt;{F96A950B-833F-4880-A151-76DA2D6A2879}&lt;/DBUID&gt;&lt;/Extra&gt;&lt;/Item&gt;&lt;/References&gt;&lt;/Group&gt;&lt;Group&gt;&lt;References&gt;&lt;Item&gt;&lt;ID&gt;473&lt;/ID&gt;&lt;UID&gt;{71AAE0F7-A826-4A16-B134-C401FFF48FBA}&lt;/UID&gt;&lt;Title&gt;An update on the pathogenesis of Hashimoto&amp;apos;s thyroiditis&lt;/Title&gt;&lt;Template&gt;Journal Article&lt;/Template&gt;&lt;Star&gt;0&lt;/Star&gt;&lt;Tag&gt;0&lt;/Tag&gt;&lt;Author&gt;Weetman, A P&lt;/Author&gt;&lt;Year&gt;2021&lt;/Year&gt;&lt;Details&gt;&lt;_accessed&gt;65664811&lt;/_accessed&gt;&lt;_accession_num&gt;33332019&lt;/_accession_num&gt;&lt;_author_adr&gt;Department of Oncology and Metabolism, Faculty of Medicine, Dentistry and Health,  University of Sheffield, The Medical School, Beech Hill Road, Sheffield, S10 2RX,  UK. a.p.weetman@sheffield.ac.uk.&lt;/_author_adr&gt;&lt;_collection_scope&gt;SCIE&lt;/_collection_scope&gt;&lt;_created&gt;65604206&lt;/_created&gt;&lt;_date&gt;2021-05-01&lt;/_date&gt;&lt;_date_display&gt;2021 May&lt;/_date_display&gt;&lt;_doi&gt;10.1007/s40618-020-01477-1&lt;/_doi&gt;&lt;_impact_factor&gt;   5.467&lt;/_impact_factor&gt;&lt;_isbn&gt;1720-8386 (Electronic); 0391-4097 (Print); 0391-4097 (Linking)&lt;/_isbn&gt;&lt;_issue&gt;5&lt;/_issue&gt;&lt;_journal&gt;J Endocrinol Invest&lt;/_journal&gt;&lt;_keywords&gt;Autoimmunity; Hashimoto’s thyroiditis; Thyroid antibodies&lt;/_keywords&gt;&lt;_language&gt;eng&lt;/_language&gt;&lt;_modified&gt;65664811&lt;/_modified&gt;&lt;_pages&gt;883-890&lt;/_pages&gt;&lt;_social_category&gt;内分泌学与代谢(3)&lt;/_social_category&gt;&lt;_subject_headings&gt;*Autoimmunity; Endocrinology/methods/trends; Environment; *Hashimoto Disease/genetics/immunology/physiopathology; Humans; Risk Factors; Thyroid Gland/immunology/pathology&lt;/_subject_headings&gt;&lt;_tertiary_title&gt;Journal of endocrinological investigation&lt;/_tertiary_title&gt;&lt;_type_work&gt;Journal Article; Review&lt;/_type_work&gt;&lt;_url&gt;http://www.ncbi.nlm.nih.gov/entrez/query.fcgi?cmd=Retrieve&amp;amp;db=pubmed&amp;amp;dopt=Abstract&amp;amp;list_uids=33332019&amp;amp;query_hl=1&lt;/_url&gt;&lt;_volume&gt;44&lt;/_volume&gt;&lt;/Details&gt;&lt;Extra&gt;&lt;DBUID&gt;{F96A950B-833F-4880-A151-76DA2D6A2879}&lt;/DBUID&gt;&lt;/Extra&gt;&lt;/Item&gt;&lt;/References&gt;&lt;/Group&gt;&lt;Group&gt;&lt;References&gt;&lt;Item&gt;&lt;ID&gt;474&lt;/ID&gt;&lt;UID&gt;{C3C40C5A-FBD4-4BDC-8767-5F1B64192CEC}&lt;/UID&gt;&lt;Title&gt;Hashimoto&amp;apos;s thyroiditis: An update on pathogenic mechanisms, diagnostic  protocols, therapeutic strategies, and potential malignant transformation&lt;/Title&gt;&lt;Template&gt;Journal Article&lt;/Template&gt;&lt;Star&gt;0&lt;/Star&gt;&lt;Tag&gt;0&lt;/Tag&gt;&lt;Author&gt;Ralli, M; Angeletti, D; Fiore, M; D&amp;apos;Aguanno, V; Lambiase, A; Artico, M; de Vincentiis, M; Greco, A&lt;/Author&gt;&lt;Year&gt;2020&lt;/Year&gt;&lt;Details&gt;&lt;_accession_num&gt;32805423&lt;/_accession_num&gt;&lt;_author_adr&gt;Department of Sense Organs, Sapienza University of Rome, Italy. Electronic  address: massimo.ralli@uniroma1.it.; Department of Sense Organs, Sapienza University of Rome, Italy. Electronic  address: diletta.angeletti@uniroma1.it.; CNR, Institute of Cell Biology and Neurobiology, Italy. Electronic address:  marco.fiore@cnr.it.; Department of Sense Organs, Sapienza University of Rome, Italy.; Department of Sense Organs, Sapienza University of Rome, Italy. Electronic  address: alessandro.lambiase@uniroma1.it.; Department of Sense Organs, Sapienza University of Rome, Italy. Electronic  address: marco.artico@uniroma1.it.; Department of Oral and Maxillofacial Sciences, Sapienza University of Rome,  Italy. Electronic address: marco.devincentiis@uniroma1.it.; Department of Sense Organs, Sapienza University of Rome, Italy. Electronic  address: antonio.greco@uniroma1.it.&lt;/_author_adr&gt;&lt;_collection_scope&gt;SCIE&lt;/_collection_scope&gt;&lt;_created&gt;65604206&lt;/_created&gt;&lt;_date&gt;2020-10-01&lt;/_date&gt;&lt;_date_display&gt;2020 Oct&lt;/_date_display&gt;&lt;_doi&gt;10.1016/j.autrev.2020.102649&lt;/_doi&gt;&lt;_impact_factor&gt;  17.390&lt;/_impact_factor&gt;&lt;_isbn&gt;1873-0183 (Electronic); 1568-9972 (Linking)&lt;/_isbn&gt;&lt;_issue&gt;10&lt;/_issue&gt;&lt;_journal&gt;Autoimmun Rev&lt;/_journal&gt;&lt;_keywords&gt;Autoimmune thyroid disorders; Autoimmunity; Hashimoto&amp;apos;s thyroiditis; Hypothyroidism&lt;/_keywords&gt;&lt;_language&gt;eng&lt;/_language&gt;&lt;_modified&gt;65604206&lt;/_modified&gt;&lt;_ori_publication&gt;Copyright © 2020 Elsevier B.V. All rights reserved.&lt;/_ori_publication&gt;&lt;_pages&gt;102649&lt;/_pages&gt;&lt;_social_category&gt;免疫学(1)&lt;/_social_category&gt;&lt;_subject_headings&gt;*Hashimoto Disease/immunology/pathology; Humans; *Hypothyroidism; Prospective Studies; Thyroglobulin&lt;/_subject_headings&gt;&lt;_tertiary_title&gt;Autoimmunity reviews&lt;/_tertiary_title&gt;&lt;_type_work&gt;Journal Article; Review&lt;/_type_work&gt;&lt;_url&gt;http://www.ncbi.nlm.nih.gov/entrez/query.fcgi?cmd=Retrieve&amp;amp;db=pubmed&amp;amp;dopt=Abstract&amp;amp;list_uids=32805423&amp;amp;query_hl=1&lt;/_url&gt;&lt;_volume&gt;19&lt;/_volume&gt;&lt;/Details&gt;&lt;Extra&gt;&lt;DBUID&gt;{F96A950B-833F-4880-A151-76DA2D6A2879}&lt;/DBUID&gt;&lt;/Extra&gt;&lt;/Item&gt;&lt;/References&gt;&lt;/Group&gt;&lt;Group&gt;&lt;References&gt;&lt;Item&gt;&lt;ID&gt;475&lt;/ID&gt;&lt;UID&gt;{5A80D076-D617-45D2-9BA7-93F2BA5376B3}&lt;/UID&gt;&lt;Title&gt;The Pathogenesis of Hashimoto&amp;apos;s Thyroiditis: Further Developments in our  Understanding&lt;/Title&gt;&lt;Template&gt;Journal Article&lt;/Template&gt;&lt;Star&gt;0&lt;/Star&gt;&lt;Tag&gt;0&lt;/Tag&gt;&lt;Author&gt;Ajjan, R A; Weetman, A P&lt;/Author&gt;&lt;Year&gt;2015&lt;/Year&gt;&lt;Details&gt;&lt;_accession_num&gt;26361257&lt;/_accession_num&gt;&lt;_author_adr&gt;Division of Cardiovascular and Diabetes Research, Leeds Institute of  Cardiovascular and Metabolic Medicine, University of Leeds, Leeds, UK.; Department of Human Metabolism, University of Sheffield, Sheffield, UK.&lt;/_author_adr&gt;&lt;_collection_scope&gt;SCIE&lt;/_collection_scope&gt;&lt;_created&gt;65604207&lt;/_created&gt;&lt;_date&gt;2015-09-01&lt;/_date&gt;&lt;_date_display&gt;2015 Sep&lt;/_date_display&gt;&lt;_doi&gt;10.1055/s-0035-1548832&lt;/_doi&gt;&lt;_impact_factor&gt;   2.788&lt;/_impact_factor&gt;&lt;_isbn&gt;1439-4286 (Electronic); 0018-5043 (Linking)&lt;/_isbn&gt;&lt;_issue&gt;10&lt;/_issue&gt;&lt;_journal&gt;Horm Metab Res&lt;/_journal&gt;&lt;_language&gt;eng&lt;/_language&gt;&lt;_modified&gt;65604207&lt;/_modified&gt;&lt;_ori_publication&gt;© Georg Thieme Verlag KG Stuttgart · New York.&lt;/_ori_publication&gt;&lt;_pages&gt;702-10&lt;/_pages&gt;&lt;_social_category&gt;内分泌学与代谢(4)&lt;/_social_category&gt;&lt;_subject_headings&gt;Cytokines/metabolism; Environment; Genetic Predisposition to Disease; Hashimoto Disease/*etiology/genetics/immunology; Humans; Immunity, Humoral; MicroRNAs/metabolism&lt;/_subject_headings&gt;&lt;_tertiary_title&gt;Hormone and metabolic research = Hormon- und Stoffwechselforschung = Hormones et _x000d__x000a_      metabolisme&lt;/_tertiary_title&gt;&lt;_type_work&gt;Journal Article; Review&lt;/_type_work&gt;&lt;_url&gt;http://www.ncbi.nlm.nih.gov/entrez/query.fcgi?cmd=Retrieve&amp;amp;db=pubmed&amp;amp;dopt=Abstract&amp;amp;list_uids=26361257&amp;amp;query_hl=1&lt;/_url&gt;&lt;_volume&gt;47&lt;/_volume&gt;&lt;/Details&gt;&lt;Extra&gt;&lt;DBUID&gt;{F96A950B-833F-4880-A151-76DA2D6A2879}&lt;/DBUID&gt;&lt;/Extra&gt;&lt;/Item&gt;&lt;/References&gt;&lt;/Group&gt;&lt;Group&gt;&lt;References&gt;&lt;Item&gt;&lt;ID&gt;476&lt;/ID&gt;&lt;UID&gt;{D12020FD-732D-41A8-A4CD-A80D22E72618}&lt;/UID&gt;&lt;Title&gt;Hashimotos&amp;apos; thyroiditis: Epidemiology, pathogenesis, clinic and therapy&lt;/Title&gt;&lt;Template&gt;Journal Article&lt;/Template&gt;&lt;Star&gt;0&lt;/Star&gt;&lt;Tag&gt;0&lt;/Tag&gt;&lt;Author&gt;Ragusa, F; Fallahi, P; Elia, G; Gonnella, D; Paparo, S R; Giusti, C; Churilov, L P; Ferrari, S M; Antonelli, A&lt;/Author&gt;&lt;Year&gt;2019&lt;/Year&gt;&lt;Details&gt;&lt;_accession_num&gt;31812326&lt;/_accession_num&gt;&lt;_author_adr&gt;Department of Clinical and Experimental Medicine, University of Pisa, Pisa,  Italy. Electronic address: francescaragusa86@gmail.com.; Department of Translational Research of New Technologies in Medicine and Surgery,  University of Pisa, Pisa, Italy. Electronic address: poupak.fallahi@unipi.it.; Department of Clinical and Experimental Medicine, University of Pisa, Pisa,  Italy. Electronic address: e.giusy_87@hotmail.it.; Department of Clinical and Experimental Medicine, University of Pisa, Pisa,  Italy. Electronic address: debora.g.5@hotmail.it.; Department of Clinical and Experimental Medicine, University of Pisa, Pisa,  Italy. Electronic address: sabrinapaparo@gmail.com.; Department of Clinical and Experimental Medicine, University of Pisa, Pisa,  Italy. Electronic address: claudiagiusti94@gmail.com.; Laboratory of the Mosaic of Autoimmunity, Saint Petersburg State University,  Russia. Electronic address: l.churilov@spbu.ru.; Department of Clinical and Experimental Medicine, University of Pisa, Pisa,  Italy. Electronic address: sm.ferrari@int.med.unipi.it.; Department of Clinical and Experimental Medicine, University of Pisa, Pisa,  Italy. Electronic address: alessandro.antonelli@med.unipi.it.&lt;/_author_adr&gt;&lt;_collection_scope&gt;SCIE&lt;/_collection_scope&gt;&lt;_created&gt;65604207&lt;/_created&gt;&lt;_date&gt;2019-12-01&lt;/_date&gt;&lt;_date_display&gt;2019 Dec&lt;/_date_display&gt;&lt;_doi&gt;10.1016/j.beem.2019.101367&lt;/_doi&gt;&lt;_impact_factor&gt;   5.667&lt;/_impact_factor&gt;&lt;_isbn&gt;1878-1594 (Electronic); 1521-690X (Linking)&lt;/_isbn&gt;&lt;_issue&gt;6&lt;/_issue&gt;&lt;_journal&gt;Best Pract Res Clin Endocrinol Metab&lt;/_journal&gt;&lt;_keywords&gt;Hashimoto&amp;apos;s thyroiditis; autoimmune diseases; autoimmune thyroid disorders; autoimmune thyroiditis; hypothyroidism; levothyroxine&lt;/_keywords&gt;&lt;_language&gt;eng&lt;/_language&gt;&lt;_modified&gt;65604207&lt;/_modified&gt;&lt;_ori_publication&gt;Copyright © 2019 Elsevier Ltd. All rights reserved.&lt;/_ori_publication&gt;&lt;_pages&gt;101367&lt;/_pages&gt;&lt;_social_category&gt;内分泌学与代谢(2)&lt;/_social_category&gt;&lt;_subject_headings&gt;Genetic Predisposition to Disease; *Hashimoto Disease/diagnosis/epidemiology/etiology/therapy; Hormone Replacement Therapy; Humans; Hypothyroidism/diagnosis/epidemiology/etiology/therapy; T-Lymphocytes/immunology; Thyroiditis, Autoimmune/diagnosis/epidemiology/etiology/therapy; Thyroxine/therapeutic use&lt;/_subject_headings&gt;&lt;_tertiary_title&gt;Best practice &amp;amp; research. Clinical endocrinology &amp;amp; metabolism&lt;/_tertiary_title&gt;&lt;_type_work&gt;Journal Article; Review&lt;/_type_work&gt;&lt;_url&gt;http://www.ncbi.nlm.nih.gov/entrez/query.fcgi?cmd=Retrieve&amp;amp;db=pubmed&amp;amp;dopt=Abstract&amp;amp;list_uids=31812326&amp;amp;query_hl=1&lt;/_url&gt;&lt;_volume&gt;33&lt;/_volume&gt;&lt;/Details&gt;&lt;Extra&gt;&lt;DBUID&gt;{F96A950B-833F-4880-A151-76DA2D6A2879}&lt;/DBUID&gt;&lt;/Extra&gt;&lt;/Item&gt;&lt;/References&gt;&lt;/Group&gt;&lt;Group&gt;&lt;References&gt;&lt;Item&gt;&lt;ID&gt;477&lt;/ID&gt;&lt;UID&gt;{44889169-7B85-43ED-B774-FC84109EEF46}&lt;/UID&gt;&lt;Title&gt;Hashimoto&amp;apos;s thyroiditis: history and future outlook&lt;/Title&gt;&lt;Template&gt;Journal Article&lt;/Template&gt;&lt;Star&gt;0&lt;/Star&gt;&lt;Tag&gt;0&lt;/Tag&gt;&lt;Author&gt;Hiromatsu, Y; Satoh, H; Amino, N&lt;/Author&gt;&lt;Year&gt;2013&lt;/Year&gt;&lt;Details&gt;&lt;_accession_num&gt;23624127&lt;/_accession_num&gt;&lt;_author_adr&gt;Division of Endocrinology and Metabolism, Department of Medicine, Kurume  University School of Medicine, Kurume, Japan. yuji@med.kurume-u.ac.jp&lt;/_author_adr&gt;&lt;_collection_scope&gt;SCIE&lt;/_collection_scope&gt;&lt;_created&gt;65604208&lt;/_created&gt;&lt;_date&gt;2013-01-01&lt;/_date&gt;&lt;_date_display&gt;2013 Jan-Mar&lt;/_date_display&gt;&lt;_doi&gt;10.1007/BF03401282&lt;/_doi&gt;&lt;_impact_factor&gt;   3.419&lt;/_impact_factor&gt;&lt;_isbn&gt;2520-8721 (Electronic); 1109-3099 (Linking)&lt;/_isbn&gt;&lt;_issue&gt;1&lt;/_issue&gt;&lt;_journal&gt;Hormones (Athens)&lt;/_journal&gt;&lt;_language&gt;eng&lt;/_language&gt;&lt;_modified&gt;65604208&lt;/_modified&gt;&lt;_pages&gt;12-8&lt;/_pages&gt;&lt;_social_category&gt;内分泌学与代谢(4)&lt;/_social_category&gt;&lt;_subject_headings&gt;Animals; *Autoimmunity; Hashimoto Disease/etiology/*history/immunology/pathology; History, 20th Century; History, 21st Century; Humans; Prognosis; Risk Factors; *Thyroid Gland/immunology/pathology&lt;/_subject_headings&gt;&lt;_tertiary_title&gt;Hormones (Athens, Greece)&lt;/_tertiary_title&gt;&lt;_type_work&gt;Historical Article; Journal Article; Portrait; Review&lt;/_type_work&gt;&lt;_url&gt;http://www.ncbi.nlm.nih.gov/entrez/query.fcgi?cmd=Retrieve&amp;amp;db=pubmed&amp;amp;dopt=Abstract&amp;amp;list_uids=23624127&amp;amp;query_hl=1&lt;/_url&gt;&lt;_volume&gt;12&lt;/_volume&gt;&lt;/Details&gt;&lt;Extra&gt;&lt;DBUID&gt;{F96A950B-833F-4880-A151-76DA2D6A2879}&lt;/DBUID&gt;&lt;/Extra&gt;&lt;/Item&gt;&lt;/References&gt;&lt;/Group&gt;&lt;/Citation&gt;_x000a_"/>
    <w:docVar w:name="ne_stylename" w:val="中华人民共和国国家标准_GBT_7714-2005"/>
  </w:docVars>
  <w:rsids>
    <w:rsidRoot w:val="00BC7831"/>
    <w:rsid w:val="00004620"/>
    <w:rsid w:val="00016417"/>
    <w:rsid w:val="00022D84"/>
    <w:rsid w:val="000250D8"/>
    <w:rsid w:val="00027907"/>
    <w:rsid w:val="00036867"/>
    <w:rsid w:val="00043A34"/>
    <w:rsid w:val="00051519"/>
    <w:rsid w:val="00053659"/>
    <w:rsid w:val="00067DE2"/>
    <w:rsid w:val="00071468"/>
    <w:rsid w:val="000718CF"/>
    <w:rsid w:val="00077387"/>
    <w:rsid w:val="000813B7"/>
    <w:rsid w:val="00086BF0"/>
    <w:rsid w:val="000972FF"/>
    <w:rsid w:val="000B1DFF"/>
    <w:rsid w:val="000B253D"/>
    <w:rsid w:val="000C29F0"/>
    <w:rsid w:val="000C32ED"/>
    <w:rsid w:val="000D5FFA"/>
    <w:rsid w:val="000D681C"/>
    <w:rsid w:val="000E42CE"/>
    <w:rsid w:val="000E50D4"/>
    <w:rsid w:val="000E5326"/>
    <w:rsid w:val="000F1177"/>
    <w:rsid w:val="000F3546"/>
    <w:rsid w:val="00104217"/>
    <w:rsid w:val="00110553"/>
    <w:rsid w:val="0011064A"/>
    <w:rsid w:val="00122CAC"/>
    <w:rsid w:val="00123229"/>
    <w:rsid w:val="0013069A"/>
    <w:rsid w:val="001322D0"/>
    <w:rsid w:val="00132EF2"/>
    <w:rsid w:val="0013372C"/>
    <w:rsid w:val="001401AE"/>
    <w:rsid w:val="0015154C"/>
    <w:rsid w:val="001617DB"/>
    <w:rsid w:val="001770FE"/>
    <w:rsid w:val="00181B86"/>
    <w:rsid w:val="0019573F"/>
    <w:rsid w:val="00195740"/>
    <w:rsid w:val="00195EBA"/>
    <w:rsid w:val="001B287E"/>
    <w:rsid w:val="001B46DC"/>
    <w:rsid w:val="001B744F"/>
    <w:rsid w:val="001C3853"/>
    <w:rsid w:val="001C3F28"/>
    <w:rsid w:val="001C68BC"/>
    <w:rsid w:val="001D102B"/>
    <w:rsid w:val="001D223D"/>
    <w:rsid w:val="001D593D"/>
    <w:rsid w:val="001E3CBE"/>
    <w:rsid w:val="001E4EEB"/>
    <w:rsid w:val="001E5C69"/>
    <w:rsid w:val="001F0430"/>
    <w:rsid w:val="001F0723"/>
    <w:rsid w:val="001F3057"/>
    <w:rsid w:val="00202A59"/>
    <w:rsid w:val="00203DF0"/>
    <w:rsid w:val="0021090C"/>
    <w:rsid w:val="00221C64"/>
    <w:rsid w:val="00223651"/>
    <w:rsid w:val="00226F03"/>
    <w:rsid w:val="002279C8"/>
    <w:rsid w:val="00233D3C"/>
    <w:rsid w:val="002568DB"/>
    <w:rsid w:val="00261FA8"/>
    <w:rsid w:val="00276003"/>
    <w:rsid w:val="00284CC1"/>
    <w:rsid w:val="0028772E"/>
    <w:rsid w:val="00295B42"/>
    <w:rsid w:val="002B48DA"/>
    <w:rsid w:val="002C7EC5"/>
    <w:rsid w:val="002D0A06"/>
    <w:rsid w:val="002D1620"/>
    <w:rsid w:val="002D1DB1"/>
    <w:rsid w:val="002D2911"/>
    <w:rsid w:val="002D29DB"/>
    <w:rsid w:val="002D7D39"/>
    <w:rsid w:val="002E1A05"/>
    <w:rsid w:val="002E372D"/>
    <w:rsid w:val="002F2844"/>
    <w:rsid w:val="00306C41"/>
    <w:rsid w:val="003126CD"/>
    <w:rsid w:val="003219AB"/>
    <w:rsid w:val="00332294"/>
    <w:rsid w:val="0033300F"/>
    <w:rsid w:val="00334634"/>
    <w:rsid w:val="00335D90"/>
    <w:rsid w:val="00340011"/>
    <w:rsid w:val="0034011E"/>
    <w:rsid w:val="00342A81"/>
    <w:rsid w:val="00350B8E"/>
    <w:rsid w:val="003527D6"/>
    <w:rsid w:val="00353409"/>
    <w:rsid w:val="00362F31"/>
    <w:rsid w:val="00365393"/>
    <w:rsid w:val="0036607C"/>
    <w:rsid w:val="003736CE"/>
    <w:rsid w:val="003803B0"/>
    <w:rsid w:val="00380D4C"/>
    <w:rsid w:val="003823B2"/>
    <w:rsid w:val="003825A8"/>
    <w:rsid w:val="0038540F"/>
    <w:rsid w:val="00387303"/>
    <w:rsid w:val="003A18C3"/>
    <w:rsid w:val="003A1AB9"/>
    <w:rsid w:val="003A2C04"/>
    <w:rsid w:val="003A66F8"/>
    <w:rsid w:val="003A6C7E"/>
    <w:rsid w:val="003C5162"/>
    <w:rsid w:val="003D5846"/>
    <w:rsid w:val="003F0DCB"/>
    <w:rsid w:val="003F182D"/>
    <w:rsid w:val="003F2A0E"/>
    <w:rsid w:val="003F55B1"/>
    <w:rsid w:val="00406D4D"/>
    <w:rsid w:val="00407B91"/>
    <w:rsid w:val="0041705E"/>
    <w:rsid w:val="00421299"/>
    <w:rsid w:val="00431857"/>
    <w:rsid w:val="00436664"/>
    <w:rsid w:val="00440821"/>
    <w:rsid w:val="00462020"/>
    <w:rsid w:val="00466196"/>
    <w:rsid w:val="004673F0"/>
    <w:rsid w:val="00467DE9"/>
    <w:rsid w:val="004739C8"/>
    <w:rsid w:val="00494DE7"/>
    <w:rsid w:val="00496C19"/>
    <w:rsid w:val="004A1C66"/>
    <w:rsid w:val="004A39C2"/>
    <w:rsid w:val="004A743A"/>
    <w:rsid w:val="004B0035"/>
    <w:rsid w:val="004B59CD"/>
    <w:rsid w:val="004D5DDE"/>
    <w:rsid w:val="004D71E1"/>
    <w:rsid w:val="004D7899"/>
    <w:rsid w:val="004F0B83"/>
    <w:rsid w:val="004F5C29"/>
    <w:rsid w:val="005017F2"/>
    <w:rsid w:val="00504976"/>
    <w:rsid w:val="00507B5F"/>
    <w:rsid w:val="005131E4"/>
    <w:rsid w:val="00521BB3"/>
    <w:rsid w:val="005253BD"/>
    <w:rsid w:val="0053552E"/>
    <w:rsid w:val="00537B66"/>
    <w:rsid w:val="00544F12"/>
    <w:rsid w:val="0054504F"/>
    <w:rsid w:val="005507EF"/>
    <w:rsid w:val="00556DB0"/>
    <w:rsid w:val="005851F4"/>
    <w:rsid w:val="005912A4"/>
    <w:rsid w:val="00594DF6"/>
    <w:rsid w:val="005B2CE8"/>
    <w:rsid w:val="005B63FD"/>
    <w:rsid w:val="005C31D5"/>
    <w:rsid w:val="005C4D5C"/>
    <w:rsid w:val="005E4503"/>
    <w:rsid w:val="005F1559"/>
    <w:rsid w:val="005F249D"/>
    <w:rsid w:val="005F72FB"/>
    <w:rsid w:val="00601025"/>
    <w:rsid w:val="00601843"/>
    <w:rsid w:val="00605FD8"/>
    <w:rsid w:val="00612854"/>
    <w:rsid w:val="00616C81"/>
    <w:rsid w:val="00616CD7"/>
    <w:rsid w:val="00621932"/>
    <w:rsid w:val="00622DAA"/>
    <w:rsid w:val="00622DD1"/>
    <w:rsid w:val="006268FE"/>
    <w:rsid w:val="006310E6"/>
    <w:rsid w:val="006368C2"/>
    <w:rsid w:val="006427EE"/>
    <w:rsid w:val="00646B39"/>
    <w:rsid w:val="00653A09"/>
    <w:rsid w:val="00670459"/>
    <w:rsid w:val="00672B38"/>
    <w:rsid w:val="00673DDB"/>
    <w:rsid w:val="00673E36"/>
    <w:rsid w:val="00681DF0"/>
    <w:rsid w:val="00683109"/>
    <w:rsid w:val="00683FF5"/>
    <w:rsid w:val="00684226"/>
    <w:rsid w:val="006849C0"/>
    <w:rsid w:val="00692CC5"/>
    <w:rsid w:val="006A37C1"/>
    <w:rsid w:val="006B7A24"/>
    <w:rsid w:val="006C4179"/>
    <w:rsid w:val="006C7060"/>
    <w:rsid w:val="006D7715"/>
    <w:rsid w:val="006D78E6"/>
    <w:rsid w:val="006E4104"/>
    <w:rsid w:val="006E78C3"/>
    <w:rsid w:val="006F0860"/>
    <w:rsid w:val="006F0D9F"/>
    <w:rsid w:val="006F2BED"/>
    <w:rsid w:val="0070307B"/>
    <w:rsid w:val="007037B9"/>
    <w:rsid w:val="00703F60"/>
    <w:rsid w:val="007102E6"/>
    <w:rsid w:val="0071079E"/>
    <w:rsid w:val="00721BC2"/>
    <w:rsid w:val="00724536"/>
    <w:rsid w:val="00726002"/>
    <w:rsid w:val="007309C5"/>
    <w:rsid w:val="00752F33"/>
    <w:rsid w:val="007558D6"/>
    <w:rsid w:val="00755AFE"/>
    <w:rsid w:val="007675F0"/>
    <w:rsid w:val="00771BA3"/>
    <w:rsid w:val="0077757A"/>
    <w:rsid w:val="00785DB9"/>
    <w:rsid w:val="007A3DD1"/>
    <w:rsid w:val="007A732B"/>
    <w:rsid w:val="007A73AA"/>
    <w:rsid w:val="007B3DC9"/>
    <w:rsid w:val="007B3ED8"/>
    <w:rsid w:val="007B6289"/>
    <w:rsid w:val="007C08A1"/>
    <w:rsid w:val="007C159C"/>
    <w:rsid w:val="007C1D19"/>
    <w:rsid w:val="007C29E7"/>
    <w:rsid w:val="007D196C"/>
    <w:rsid w:val="007F25A5"/>
    <w:rsid w:val="007F7934"/>
    <w:rsid w:val="00802734"/>
    <w:rsid w:val="008154C5"/>
    <w:rsid w:val="008179B5"/>
    <w:rsid w:val="00824275"/>
    <w:rsid w:val="00826483"/>
    <w:rsid w:val="008353F5"/>
    <w:rsid w:val="00843E6A"/>
    <w:rsid w:val="00850CAA"/>
    <w:rsid w:val="00861AA5"/>
    <w:rsid w:val="008704FA"/>
    <w:rsid w:val="00872C72"/>
    <w:rsid w:val="008826B9"/>
    <w:rsid w:val="00883CAA"/>
    <w:rsid w:val="00883E8E"/>
    <w:rsid w:val="0089410C"/>
    <w:rsid w:val="00895467"/>
    <w:rsid w:val="008A083F"/>
    <w:rsid w:val="008B3A77"/>
    <w:rsid w:val="008C1B74"/>
    <w:rsid w:val="008C7AA1"/>
    <w:rsid w:val="008E4C4A"/>
    <w:rsid w:val="008E4C88"/>
    <w:rsid w:val="008E7ED7"/>
    <w:rsid w:val="008F4600"/>
    <w:rsid w:val="008F4D09"/>
    <w:rsid w:val="009002F9"/>
    <w:rsid w:val="009054B6"/>
    <w:rsid w:val="00907512"/>
    <w:rsid w:val="009122D2"/>
    <w:rsid w:val="00912866"/>
    <w:rsid w:val="00920DAA"/>
    <w:rsid w:val="009256B3"/>
    <w:rsid w:val="009258B4"/>
    <w:rsid w:val="00927030"/>
    <w:rsid w:val="0093004D"/>
    <w:rsid w:val="00931243"/>
    <w:rsid w:val="00933C93"/>
    <w:rsid w:val="009349A5"/>
    <w:rsid w:val="00943B01"/>
    <w:rsid w:val="00957FFB"/>
    <w:rsid w:val="00972BBC"/>
    <w:rsid w:val="009807BE"/>
    <w:rsid w:val="00981E2C"/>
    <w:rsid w:val="00984ED3"/>
    <w:rsid w:val="00986C96"/>
    <w:rsid w:val="009A41AA"/>
    <w:rsid w:val="009C6235"/>
    <w:rsid w:val="009D7972"/>
    <w:rsid w:val="009E7481"/>
    <w:rsid w:val="009F538B"/>
    <w:rsid w:val="00A2673D"/>
    <w:rsid w:val="00A36806"/>
    <w:rsid w:val="00A414C6"/>
    <w:rsid w:val="00A60110"/>
    <w:rsid w:val="00A61DF4"/>
    <w:rsid w:val="00A64C32"/>
    <w:rsid w:val="00A65D10"/>
    <w:rsid w:val="00A65D7C"/>
    <w:rsid w:val="00A666A4"/>
    <w:rsid w:val="00A72F4B"/>
    <w:rsid w:val="00A739E0"/>
    <w:rsid w:val="00A80E71"/>
    <w:rsid w:val="00A84258"/>
    <w:rsid w:val="00A964AD"/>
    <w:rsid w:val="00A96781"/>
    <w:rsid w:val="00AA40C4"/>
    <w:rsid w:val="00AA6B6A"/>
    <w:rsid w:val="00AB3E24"/>
    <w:rsid w:val="00B00B84"/>
    <w:rsid w:val="00B356A0"/>
    <w:rsid w:val="00B452D0"/>
    <w:rsid w:val="00B5262E"/>
    <w:rsid w:val="00B530B7"/>
    <w:rsid w:val="00B5365B"/>
    <w:rsid w:val="00B54804"/>
    <w:rsid w:val="00B61414"/>
    <w:rsid w:val="00B67A33"/>
    <w:rsid w:val="00B855C3"/>
    <w:rsid w:val="00B931C6"/>
    <w:rsid w:val="00BA4F0B"/>
    <w:rsid w:val="00BA6915"/>
    <w:rsid w:val="00BB334F"/>
    <w:rsid w:val="00BC045E"/>
    <w:rsid w:val="00BC217B"/>
    <w:rsid w:val="00BC503F"/>
    <w:rsid w:val="00BC6560"/>
    <w:rsid w:val="00BC7831"/>
    <w:rsid w:val="00BD6833"/>
    <w:rsid w:val="00C0447D"/>
    <w:rsid w:val="00C10126"/>
    <w:rsid w:val="00C13AE3"/>
    <w:rsid w:val="00C15FA8"/>
    <w:rsid w:val="00C16B51"/>
    <w:rsid w:val="00C2051D"/>
    <w:rsid w:val="00C2071B"/>
    <w:rsid w:val="00C21F75"/>
    <w:rsid w:val="00C22684"/>
    <w:rsid w:val="00C2315D"/>
    <w:rsid w:val="00C247A2"/>
    <w:rsid w:val="00C26F55"/>
    <w:rsid w:val="00C27935"/>
    <w:rsid w:val="00C426E4"/>
    <w:rsid w:val="00C553DB"/>
    <w:rsid w:val="00C64A61"/>
    <w:rsid w:val="00C65EDF"/>
    <w:rsid w:val="00C66D4C"/>
    <w:rsid w:val="00C8124E"/>
    <w:rsid w:val="00C8400C"/>
    <w:rsid w:val="00C85C90"/>
    <w:rsid w:val="00C87916"/>
    <w:rsid w:val="00C87F19"/>
    <w:rsid w:val="00C93F89"/>
    <w:rsid w:val="00CA6F95"/>
    <w:rsid w:val="00CB492A"/>
    <w:rsid w:val="00CB76F7"/>
    <w:rsid w:val="00CC2001"/>
    <w:rsid w:val="00CD109B"/>
    <w:rsid w:val="00CD3264"/>
    <w:rsid w:val="00CD552D"/>
    <w:rsid w:val="00CF114C"/>
    <w:rsid w:val="00CF2528"/>
    <w:rsid w:val="00CF3A1D"/>
    <w:rsid w:val="00CF4876"/>
    <w:rsid w:val="00CF569D"/>
    <w:rsid w:val="00D14801"/>
    <w:rsid w:val="00D34884"/>
    <w:rsid w:val="00D37C6E"/>
    <w:rsid w:val="00D57D64"/>
    <w:rsid w:val="00D62642"/>
    <w:rsid w:val="00D70986"/>
    <w:rsid w:val="00D93570"/>
    <w:rsid w:val="00DA4C8C"/>
    <w:rsid w:val="00DA6BB3"/>
    <w:rsid w:val="00DA744C"/>
    <w:rsid w:val="00DB0300"/>
    <w:rsid w:val="00DB2806"/>
    <w:rsid w:val="00DB4403"/>
    <w:rsid w:val="00DB509A"/>
    <w:rsid w:val="00DB7F74"/>
    <w:rsid w:val="00DC2CED"/>
    <w:rsid w:val="00DE1D6D"/>
    <w:rsid w:val="00DF6C63"/>
    <w:rsid w:val="00E04110"/>
    <w:rsid w:val="00E15BF1"/>
    <w:rsid w:val="00E167C5"/>
    <w:rsid w:val="00E279E8"/>
    <w:rsid w:val="00E60530"/>
    <w:rsid w:val="00E72792"/>
    <w:rsid w:val="00E745F2"/>
    <w:rsid w:val="00E80364"/>
    <w:rsid w:val="00E80EB3"/>
    <w:rsid w:val="00E81869"/>
    <w:rsid w:val="00E81D3C"/>
    <w:rsid w:val="00E85C15"/>
    <w:rsid w:val="00E85E43"/>
    <w:rsid w:val="00E97DC0"/>
    <w:rsid w:val="00EA0F8B"/>
    <w:rsid w:val="00EA44E4"/>
    <w:rsid w:val="00EB19C7"/>
    <w:rsid w:val="00EB3DEB"/>
    <w:rsid w:val="00EB3EE7"/>
    <w:rsid w:val="00EB659B"/>
    <w:rsid w:val="00EC2503"/>
    <w:rsid w:val="00EC6AA7"/>
    <w:rsid w:val="00ED0314"/>
    <w:rsid w:val="00ED0B7B"/>
    <w:rsid w:val="00ED6ABB"/>
    <w:rsid w:val="00ED7A43"/>
    <w:rsid w:val="00EE2C3F"/>
    <w:rsid w:val="00EE2DE8"/>
    <w:rsid w:val="00EE4F8B"/>
    <w:rsid w:val="00EF2530"/>
    <w:rsid w:val="00EF36F0"/>
    <w:rsid w:val="00F01A2B"/>
    <w:rsid w:val="00F024E8"/>
    <w:rsid w:val="00F03CB7"/>
    <w:rsid w:val="00F10A24"/>
    <w:rsid w:val="00F12738"/>
    <w:rsid w:val="00F13CEF"/>
    <w:rsid w:val="00F169E0"/>
    <w:rsid w:val="00F22504"/>
    <w:rsid w:val="00F25C96"/>
    <w:rsid w:val="00F371F2"/>
    <w:rsid w:val="00F451CD"/>
    <w:rsid w:val="00F46555"/>
    <w:rsid w:val="00F47906"/>
    <w:rsid w:val="00F479BC"/>
    <w:rsid w:val="00F51C34"/>
    <w:rsid w:val="00F541ED"/>
    <w:rsid w:val="00F56C43"/>
    <w:rsid w:val="00F608D0"/>
    <w:rsid w:val="00F6129C"/>
    <w:rsid w:val="00F62064"/>
    <w:rsid w:val="00F6538C"/>
    <w:rsid w:val="00F90CD7"/>
    <w:rsid w:val="00F93C6A"/>
    <w:rsid w:val="00F948F3"/>
    <w:rsid w:val="00FA7096"/>
    <w:rsid w:val="00FB28E6"/>
    <w:rsid w:val="00FB3A04"/>
    <w:rsid w:val="00FD4486"/>
    <w:rsid w:val="00FE0C6E"/>
    <w:rsid w:val="00FE319A"/>
    <w:rsid w:val="00FE4EEA"/>
    <w:rsid w:val="00FE6E05"/>
    <w:rsid w:val="00FF0C88"/>
    <w:rsid w:val="00FF125E"/>
    <w:rsid w:val="00FF2339"/>
    <w:rsid w:val="00FF697E"/>
    <w:rsid w:val="00FF7C0B"/>
    <w:rsid w:val="014B7AE2"/>
    <w:rsid w:val="0183453D"/>
    <w:rsid w:val="01936243"/>
    <w:rsid w:val="01A368FC"/>
    <w:rsid w:val="01BE50A7"/>
    <w:rsid w:val="01E67C9E"/>
    <w:rsid w:val="01F25127"/>
    <w:rsid w:val="01F46A3A"/>
    <w:rsid w:val="02213BF5"/>
    <w:rsid w:val="022867D7"/>
    <w:rsid w:val="02346795"/>
    <w:rsid w:val="027C2014"/>
    <w:rsid w:val="0281569D"/>
    <w:rsid w:val="02CC1957"/>
    <w:rsid w:val="03085F53"/>
    <w:rsid w:val="0332738A"/>
    <w:rsid w:val="03465822"/>
    <w:rsid w:val="036A59B4"/>
    <w:rsid w:val="03837D3B"/>
    <w:rsid w:val="03892F81"/>
    <w:rsid w:val="03A859A0"/>
    <w:rsid w:val="040273C7"/>
    <w:rsid w:val="040F3E66"/>
    <w:rsid w:val="0410030A"/>
    <w:rsid w:val="04233038"/>
    <w:rsid w:val="04844854"/>
    <w:rsid w:val="049A7BD3"/>
    <w:rsid w:val="04F00248"/>
    <w:rsid w:val="05102CDE"/>
    <w:rsid w:val="051B1904"/>
    <w:rsid w:val="05690402"/>
    <w:rsid w:val="056D178C"/>
    <w:rsid w:val="05964DAF"/>
    <w:rsid w:val="05F737B0"/>
    <w:rsid w:val="05FC5CD6"/>
    <w:rsid w:val="0628480D"/>
    <w:rsid w:val="06494D3A"/>
    <w:rsid w:val="064E21DF"/>
    <w:rsid w:val="06903285"/>
    <w:rsid w:val="06AD7D7C"/>
    <w:rsid w:val="06B854EF"/>
    <w:rsid w:val="06D66EBD"/>
    <w:rsid w:val="06DA4BFF"/>
    <w:rsid w:val="06EE4629"/>
    <w:rsid w:val="077F2133"/>
    <w:rsid w:val="07846FA7"/>
    <w:rsid w:val="078E4D13"/>
    <w:rsid w:val="07E74ACB"/>
    <w:rsid w:val="07F21008"/>
    <w:rsid w:val="08103916"/>
    <w:rsid w:val="08207405"/>
    <w:rsid w:val="08567B9F"/>
    <w:rsid w:val="08712CB0"/>
    <w:rsid w:val="08AE00F1"/>
    <w:rsid w:val="08C6368D"/>
    <w:rsid w:val="08E1238F"/>
    <w:rsid w:val="08FB5F05"/>
    <w:rsid w:val="092B5D49"/>
    <w:rsid w:val="09453D87"/>
    <w:rsid w:val="096F4BC1"/>
    <w:rsid w:val="098B78A9"/>
    <w:rsid w:val="0994433E"/>
    <w:rsid w:val="09A907FC"/>
    <w:rsid w:val="09B278CC"/>
    <w:rsid w:val="09BD0CD8"/>
    <w:rsid w:val="09C57F98"/>
    <w:rsid w:val="09CA0571"/>
    <w:rsid w:val="0A376A28"/>
    <w:rsid w:val="0A3B5153"/>
    <w:rsid w:val="0A477E03"/>
    <w:rsid w:val="0A6E3029"/>
    <w:rsid w:val="0AB90E8F"/>
    <w:rsid w:val="0AC0235E"/>
    <w:rsid w:val="0B071D3B"/>
    <w:rsid w:val="0B420AF1"/>
    <w:rsid w:val="0B505490"/>
    <w:rsid w:val="0B941820"/>
    <w:rsid w:val="0BED2CDE"/>
    <w:rsid w:val="0C020811"/>
    <w:rsid w:val="0C0362FB"/>
    <w:rsid w:val="0C2F32F7"/>
    <w:rsid w:val="0C790A16"/>
    <w:rsid w:val="0C81097D"/>
    <w:rsid w:val="0CD65E05"/>
    <w:rsid w:val="0CDD39D5"/>
    <w:rsid w:val="0CE12595"/>
    <w:rsid w:val="0D0E115E"/>
    <w:rsid w:val="0D4B23B2"/>
    <w:rsid w:val="0D515403"/>
    <w:rsid w:val="0D847672"/>
    <w:rsid w:val="0DA46DE1"/>
    <w:rsid w:val="0DAA7F62"/>
    <w:rsid w:val="0DDB12BF"/>
    <w:rsid w:val="0DF86616"/>
    <w:rsid w:val="0E205F01"/>
    <w:rsid w:val="0E2E3879"/>
    <w:rsid w:val="0E7241C8"/>
    <w:rsid w:val="0EA53EEF"/>
    <w:rsid w:val="0ED3748E"/>
    <w:rsid w:val="0EDF7256"/>
    <w:rsid w:val="0EFB3964"/>
    <w:rsid w:val="0F09201C"/>
    <w:rsid w:val="0F19203C"/>
    <w:rsid w:val="0F983616"/>
    <w:rsid w:val="0FA653C0"/>
    <w:rsid w:val="0FE8038D"/>
    <w:rsid w:val="10193E14"/>
    <w:rsid w:val="101D2B41"/>
    <w:rsid w:val="10802373"/>
    <w:rsid w:val="108160EB"/>
    <w:rsid w:val="10A00A5C"/>
    <w:rsid w:val="10AB4F16"/>
    <w:rsid w:val="10F3783D"/>
    <w:rsid w:val="11276C93"/>
    <w:rsid w:val="11435D86"/>
    <w:rsid w:val="11462FAC"/>
    <w:rsid w:val="11483AB7"/>
    <w:rsid w:val="11EB328A"/>
    <w:rsid w:val="11F50B3F"/>
    <w:rsid w:val="11F87BC5"/>
    <w:rsid w:val="11FC7CD5"/>
    <w:rsid w:val="11FF376C"/>
    <w:rsid w:val="1246139A"/>
    <w:rsid w:val="12527A68"/>
    <w:rsid w:val="12557FE3"/>
    <w:rsid w:val="12694677"/>
    <w:rsid w:val="127A23FD"/>
    <w:rsid w:val="12DF3BAE"/>
    <w:rsid w:val="133B07D3"/>
    <w:rsid w:val="138717A5"/>
    <w:rsid w:val="139E0B5F"/>
    <w:rsid w:val="14170ABE"/>
    <w:rsid w:val="14174089"/>
    <w:rsid w:val="142764E5"/>
    <w:rsid w:val="14285499"/>
    <w:rsid w:val="14502BD8"/>
    <w:rsid w:val="1468565F"/>
    <w:rsid w:val="14A27C03"/>
    <w:rsid w:val="14ED2A9D"/>
    <w:rsid w:val="14F11F84"/>
    <w:rsid w:val="15437E13"/>
    <w:rsid w:val="157C033B"/>
    <w:rsid w:val="158F12AA"/>
    <w:rsid w:val="15A36F16"/>
    <w:rsid w:val="15EA29EF"/>
    <w:rsid w:val="16336D00"/>
    <w:rsid w:val="165141DD"/>
    <w:rsid w:val="16DF18AC"/>
    <w:rsid w:val="16E42EE8"/>
    <w:rsid w:val="17522997"/>
    <w:rsid w:val="1763654B"/>
    <w:rsid w:val="17C079B5"/>
    <w:rsid w:val="180864DE"/>
    <w:rsid w:val="18296A4F"/>
    <w:rsid w:val="1844637C"/>
    <w:rsid w:val="187E4C12"/>
    <w:rsid w:val="18DA3ED1"/>
    <w:rsid w:val="18ED6A14"/>
    <w:rsid w:val="18EF0616"/>
    <w:rsid w:val="19063631"/>
    <w:rsid w:val="191E0979"/>
    <w:rsid w:val="192835A8"/>
    <w:rsid w:val="19287A4C"/>
    <w:rsid w:val="192E42A3"/>
    <w:rsid w:val="1948575D"/>
    <w:rsid w:val="194D2CE1"/>
    <w:rsid w:val="19622F7C"/>
    <w:rsid w:val="19801636"/>
    <w:rsid w:val="19A21017"/>
    <w:rsid w:val="19A60971"/>
    <w:rsid w:val="19C239FC"/>
    <w:rsid w:val="19D63004"/>
    <w:rsid w:val="19E75211"/>
    <w:rsid w:val="1A031D3C"/>
    <w:rsid w:val="1A0A33AC"/>
    <w:rsid w:val="1A104432"/>
    <w:rsid w:val="1A1A5AAF"/>
    <w:rsid w:val="1A2331F1"/>
    <w:rsid w:val="1A4C2DB9"/>
    <w:rsid w:val="1A91517D"/>
    <w:rsid w:val="1A9C4C7E"/>
    <w:rsid w:val="1AA04829"/>
    <w:rsid w:val="1AAE3F81"/>
    <w:rsid w:val="1AF916A0"/>
    <w:rsid w:val="1B0104C3"/>
    <w:rsid w:val="1B476ED0"/>
    <w:rsid w:val="1B6D5DD1"/>
    <w:rsid w:val="1B723612"/>
    <w:rsid w:val="1B793563"/>
    <w:rsid w:val="1B9C64CF"/>
    <w:rsid w:val="1BA63824"/>
    <w:rsid w:val="1BB90E2F"/>
    <w:rsid w:val="1CA4388D"/>
    <w:rsid w:val="1CE56136"/>
    <w:rsid w:val="1CFB3BD9"/>
    <w:rsid w:val="1D4808E8"/>
    <w:rsid w:val="1D547061"/>
    <w:rsid w:val="1D6A158D"/>
    <w:rsid w:val="1D7A713E"/>
    <w:rsid w:val="1D816BAA"/>
    <w:rsid w:val="1DBD70AE"/>
    <w:rsid w:val="1DC34F87"/>
    <w:rsid w:val="1DD75923"/>
    <w:rsid w:val="1DFC3255"/>
    <w:rsid w:val="1E014694"/>
    <w:rsid w:val="1E652798"/>
    <w:rsid w:val="1E7B16DF"/>
    <w:rsid w:val="1E8362B3"/>
    <w:rsid w:val="1E8511FC"/>
    <w:rsid w:val="1F106FB8"/>
    <w:rsid w:val="1F1F1647"/>
    <w:rsid w:val="1F2F7EE2"/>
    <w:rsid w:val="1F2F7F85"/>
    <w:rsid w:val="1F3A510F"/>
    <w:rsid w:val="1F6613C4"/>
    <w:rsid w:val="1F926401"/>
    <w:rsid w:val="1FBF3170"/>
    <w:rsid w:val="20194C16"/>
    <w:rsid w:val="207B4905"/>
    <w:rsid w:val="209E5AEC"/>
    <w:rsid w:val="20A81A90"/>
    <w:rsid w:val="20C023E7"/>
    <w:rsid w:val="20E3772A"/>
    <w:rsid w:val="20F638AD"/>
    <w:rsid w:val="212E169D"/>
    <w:rsid w:val="214C004F"/>
    <w:rsid w:val="215F61CC"/>
    <w:rsid w:val="218A406B"/>
    <w:rsid w:val="21913762"/>
    <w:rsid w:val="223631D9"/>
    <w:rsid w:val="22645F3B"/>
    <w:rsid w:val="22987715"/>
    <w:rsid w:val="229F4D23"/>
    <w:rsid w:val="22BF31CF"/>
    <w:rsid w:val="2322375E"/>
    <w:rsid w:val="23480D96"/>
    <w:rsid w:val="234E00AF"/>
    <w:rsid w:val="23583DFE"/>
    <w:rsid w:val="235D559B"/>
    <w:rsid w:val="237C4FE1"/>
    <w:rsid w:val="23843AD1"/>
    <w:rsid w:val="23A16D35"/>
    <w:rsid w:val="23B00FD7"/>
    <w:rsid w:val="23B74869"/>
    <w:rsid w:val="23E26A49"/>
    <w:rsid w:val="23EA772A"/>
    <w:rsid w:val="23F01166"/>
    <w:rsid w:val="23F06802"/>
    <w:rsid w:val="23F23130"/>
    <w:rsid w:val="23FF75FB"/>
    <w:rsid w:val="240834CF"/>
    <w:rsid w:val="2499538C"/>
    <w:rsid w:val="24A574FD"/>
    <w:rsid w:val="24B6415E"/>
    <w:rsid w:val="252D7E52"/>
    <w:rsid w:val="25377290"/>
    <w:rsid w:val="25793BC9"/>
    <w:rsid w:val="25D30F99"/>
    <w:rsid w:val="25EB6089"/>
    <w:rsid w:val="25ED3B82"/>
    <w:rsid w:val="2660756F"/>
    <w:rsid w:val="268F2EB8"/>
    <w:rsid w:val="26995AE5"/>
    <w:rsid w:val="26A045F4"/>
    <w:rsid w:val="26AF3988"/>
    <w:rsid w:val="271251B0"/>
    <w:rsid w:val="27721C50"/>
    <w:rsid w:val="277264DB"/>
    <w:rsid w:val="279A1B15"/>
    <w:rsid w:val="27C1122A"/>
    <w:rsid w:val="27C718A3"/>
    <w:rsid w:val="27E041DD"/>
    <w:rsid w:val="27F51441"/>
    <w:rsid w:val="27FB09CC"/>
    <w:rsid w:val="28025A1A"/>
    <w:rsid w:val="280D5A34"/>
    <w:rsid w:val="2845181C"/>
    <w:rsid w:val="284B18E0"/>
    <w:rsid w:val="289C366A"/>
    <w:rsid w:val="28E219C5"/>
    <w:rsid w:val="28EA1BE7"/>
    <w:rsid w:val="28EF7C3E"/>
    <w:rsid w:val="29051210"/>
    <w:rsid w:val="29170377"/>
    <w:rsid w:val="29211DC2"/>
    <w:rsid w:val="29477A7A"/>
    <w:rsid w:val="29AD1345"/>
    <w:rsid w:val="29C61E7F"/>
    <w:rsid w:val="29F15C38"/>
    <w:rsid w:val="2A3873C3"/>
    <w:rsid w:val="2A6C3B9F"/>
    <w:rsid w:val="2AA51D89"/>
    <w:rsid w:val="2B0F1CB0"/>
    <w:rsid w:val="2B2F4C6A"/>
    <w:rsid w:val="2B755C7F"/>
    <w:rsid w:val="2B9B2DF9"/>
    <w:rsid w:val="2BAC0068"/>
    <w:rsid w:val="2C4633EA"/>
    <w:rsid w:val="2C59156A"/>
    <w:rsid w:val="2C9C37A7"/>
    <w:rsid w:val="2CC61F18"/>
    <w:rsid w:val="2D365675"/>
    <w:rsid w:val="2D4D3ECB"/>
    <w:rsid w:val="2D521006"/>
    <w:rsid w:val="2D5F773E"/>
    <w:rsid w:val="2D8C63A3"/>
    <w:rsid w:val="2D9E1C33"/>
    <w:rsid w:val="2DA1116A"/>
    <w:rsid w:val="2DED6716"/>
    <w:rsid w:val="2E116D9A"/>
    <w:rsid w:val="2E162111"/>
    <w:rsid w:val="2E8452CD"/>
    <w:rsid w:val="2E9757EF"/>
    <w:rsid w:val="2EB1527B"/>
    <w:rsid w:val="2EBF4557"/>
    <w:rsid w:val="2EE144CD"/>
    <w:rsid w:val="2EF57F78"/>
    <w:rsid w:val="2F08264E"/>
    <w:rsid w:val="2F1F45D4"/>
    <w:rsid w:val="2F2148C9"/>
    <w:rsid w:val="2F4861DD"/>
    <w:rsid w:val="2F740E9D"/>
    <w:rsid w:val="2F8337D6"/>
    <w:rsid w:val="2FED29FE"/>
    <w:rsid w:val="301D3520"/>
    <w:rsid w:val="30415256"/>
    <w:rsid w:val="30491CE7"/>
    <w:rsid w:val="304F36B8"/>
    <w:rsid w:val="30711881"/>
    <w:rsid w:val="30787FA0"/>
    <w:rsid w:val="307C24D8"/>
    <w:rsid w:val="30CF7596"/>
    <w:rsid w:val="30D342E9"/>
    <w:rsid w:val="30E02A1B"/>
    <w:rsid w:val="30F0194C"/>
    <w:rsid w:val="31046251"/>
    <w:rsid w:val="310F7EC2"/>
    <w:rsid w:val="3115220C"/>
    <w:rsid w:val="31152915"/>
    <w:rsid w:val="311A0C65"/>
    <w:rsid w:val="3152520E"/>
    <w:rsid w:val="31570A76"/>
    <w:rsid w:val="31A977AF"/>
    <w:rsid w:val="31DC0F7C"/>
    <w:rsid w:val="31F03656"/>
    <w:rsid w:val="320209E2"/>
    <w:rsid w:val="323E39E4"/>
    <w:rsid w:val="324234D5"/>
    <w:rsid w:val="3282601D"/>
    <w:rsid w:val="328659B8"/>
    <w:rsid w:val="32C86E6F"/>
    <w:rsid w:val="32CB1F44"/>
    <w:rsid w:val="32FC18D5"/>
    <w:rsid w:val="331547AA"/>
    <w:rsid w:val="337428C4"/>
    <w:rsid w:val="338F0BBC"/>
    <w:rsid w:val="33B43123"/>
    <w:rsid w:val="33E06598"/>
    <w:rsid w:val="34790D04"/>
    <w:rsid w:val="347E631A"/>
    <w:rsid w:val="348052E1"/>
    <w:rsid w:val="3489363D"/>
    <w:rsid w:val="34E95E89"/>
    <w:rsid w:val="35645510"/>
    <w:rsid w:val="356F57D8"/>
    <w:rsid w:val="357A0AEB"/>
    <w:rsid w:val="35810737"/>
    <w:rsid w:val="358A4655"/>
    <w:rsid w:val="35971579"/>
    <w:rsid w:val="359A6C78"/>
    <w:rsid w:val="35A24298"/>
    <w:rsid w:val="36631C6B"/>
    <w:rsid w:val="36AF4EB1"/>
    <w:rsid w:val="36B202D7"/>
    <w:rsid w:val="36B41CD5"/>
    <w:rsid w:val="36BD312A"/>
    <w:rsid w:val="37384EA6"/>
    <w:rsid w:val="373B1623"/>
    <w:rsid w:val="37441A9D"/>
    <w:rsid w:val="37497117"/>
    <w:rsid w:val="37507121"/>
    <w:rsid w:val="378A04C6"/>
    <w:rsid w:val="378E2D18"/>
    <w:rsid w:val="37B207B5"/>
    <w:rsid w:val="3810197F"/>
    <w:rsid w:val="383A69FC"/>
    <w:rsid w:val="384634B9"/>
    <w:rsid w:val="38745014"/>
    <w:rsid w:val="388F0D73"/>
    <w:rsid w:val="38AA5FDD"/>
    <w:rsid w:val="38B844F1"/>
    <w:rsid w:val="38E04A8D"/>
    <w:rsid w:val="391C3471"/>
    <w:rsid w:val="395D7951"/>
    <w:rsid w:val="39696562"/>
    <w:rsid w:val="3985397D"/>
    <w:rsid w:val="39D17F47"/>
    <w:rsid w:val="39D638E5"/>
    <w:rsid w:val="3A443B62"/>
    <w:rsid w:val="3A836438"/>
    <w:rsid w:val="3AAA1C17"/>
    <w:rsid w:val="3AC25722"/>
    <w:rsid w:val="3AE01ADD"/>
    <w:rsid w:val="3AE7497A"/>
    <w:rsid w:val="3B2D22F3"/>
    <w:rsid w:val="3B664C7A"/>
    <w:rsid w:val="3B776F92"/>
    <w:rsid w:val="3B8C62D6"/>
    <w:rsid w:val="3B914B85"/>
    <w:rsid w:val="3BAC06B6"/>
    <w:rsid w:val="3BBA063F"/>
    <w:rsid w:val="3C2D2B00"/>
    <w:rsid w:val="3C3C1F96"/>
    <w:rsid w:val="3C570606"/>
    <w:rsid w:val="3C75029F"/>
    <w:rsid w:val="3C76318A"/>
    <w:rsid w:val="3CB57109"/>
    <w:rsid w:val="3CBE25E9"/>
    <w:rsid w:val="3CC44087"/>
    <w:rsid w:val="3CDC246D"/>
    <w:rsid w:val="3CE77152"/>
    <w:rsid w:val="3D186DFB"/>
    <w:rsid w:val="3D364D87"/>
    <w:rsid w:val="3D4D4B3E"/>
    <w:rsid w:val="3D6764E5"/>
    <w:rsid w:val="3D8F35FA"/>
    <w:rsid w:val="3DB26E1D"/>
    <w:rsid w:val="3DBD1258"/>
    <w:rsid w:val="3DC23453"/>
    <w:rsid w:val="3DD551FD"/>
    <w:rsid w:val="3DEB0EC4"/>
    <w:rsid w:val="3DF116B7"/>
    <w:rsid w:val="3E003F2C"/>
    <w:rsid w:val="3E021D6A"/>
    <w:rsid w:val="3E1E3814"/>
    <w:rsid w:val="3E4B3BB9"/>
    <w:rsid w:val="3E5527E2"/>
    <w:rsid w:val="3E6226B8"/>
    <w:rsid w:val="3EE92B85"/>
    <w:rsid w:val="3EF142B8"/>
    <w:rsid w:val="3F081602"/>
    <w:rsid w:val="3F3D4B6D"/>
    <w:rsid w:val="3F512FA9"/>
    <w:rsid w:val="3F95548E"/>
    <w:rsid w:val="3FCB1F18"/>
    <w:rsid w:val="3FD02D5B"/>
    <w:rsid w:val="3FF9264B"/>
    <w:rsid w:val="40130E9E"/>
    <w:rsid w:val="40280D6B"/>
    <w:rsid w:val="40502771"/>
    <w:rsid w:val="40556F32"/>
    <w:rsid w:val="407374BD"/>
    <w:rsid w:val="4081166C"/>
    <w:rsid w:val="40830633"/>
    <w:rsid w:val="40A811A3"/>
    <w:rsid w:val="40C55B80"/>
    <w:rsid w:val="40D41720"/>
    <w:rsid w:val="41210759"/>
    <w:rsid w:val="418D69A2"/>
    <w:rsid w:val="419D5EA5"/>
    <w:rsid w:val="41CA2B9F"/>
    <w:rsid w:val="41CA53A7"/>
    <w:rsid w:val="422C4AC9"/>
    <w:rsid w:val="425E6C00"/>
    <w:rsid w:val="42BA6C89"/>
    <w:rsid w:val="430A0E5F"/>
    <w:rsid w:val="43794220"/>
    <w:rsid w:val="44557097"/>
    <w:rsid w:val="44711472"/>
    <w:rsid w:val="447A4B1D"/>
    <w:rsid w:val="448E25A9"/>
    <w:rsid w:val="44945701"/>
    <w:rsid w:val="44966F74"/>
    <w:rsid w:val="44CA3141"/>
    <w:rsid w:val="44F47B56"/>
    <w:rsid w:val="452D591E"/>
    <w:rsid w:val="457004A4"/>
    <w:rsid w:val="45C02C36"/>
    <w:rsid w:val="45C4267A"/>
    <w:rsid w:val="45DE160E"/>
    <w:rsid w:val="45F971C9"/>
    <w:rsid w:val="462E7BA0"/>
    <w:rsid w:val="467001B9"/>
    <w:rsid w:val="46843523"/>
    <w:rsid w:val="46D24CF1"/>
    <w:rsid w:val="46DB6F3A"/>
    <w:rsid w:val="47376036"/>
    <w:rsid w:val="473E2141"/>
    <w:rsid w:val="479F625D"/>
    <w:rsid w:val="47AB19BB"/>
    <w:rsid w:val="47C72D66"/>
    <w:rsid w:val="48084421"/>
    <w:rsid w:val="480D7228"/>
    <w:rsid w:val="482A25E9"/>
    <w:rsid w:val="485D651B"/>
    <w:rsid w:val="4875070A"/>
    <w:rsid w:val="487869F5"/>
    <w:rsid w:val="488B3C88"/>
    <w:rsid w:val="48BF0222"/>
    <w:rsid w:val="48D04F3E"/>
    <w:rsid w:val="48DB1376"/>
    <w:rsid w:val="491F73B0"/>
    <w:rsid w:val="495A2D4B"/>
    <w:rsid w:val="495C0A4A"/>
    <w:rsid w:val="49E968B6"/>
    <w:rsid w:val="49ED38CE"/>
    <w:rsid w:val="49FB7DDB"/>
    <w:rsid w:val="4A163D50"/>
    <w:rsid w:val="4A4C3845"/>
    <w:rsid w:val="4A4F5A8D"/>
    <w:rsid w:val="4A617B52"/>
    <w:rsid w:val="4A62606A"/>
    <w:rsid w:val="4AC9149F"/>
    <w:rsid w:val="4AD81FAA"/>
    <w:rsid w:val="4AF25E44"/>
    <w:rsid w:val="4B0C5FD6"/>
    <w:rsid w:val="4B430C4B"/>
    <w:rsid w:val="4B4D3F8E"/>
    <w:rsid w:val="4B7C7600"/>
    <w:rsid w:val="4BCA036B"/>
    <w:rsid w:val="4C334959"/>
    <w:rsid w:val="4C5D6252"/>
    <w:rsid w:val="4C652F51"/>
    <w:rsid w:val="4C9B3AA9"/>
    <w:rsid w:val="4CB55588"/>
    <w:rsid w:val="4CBA71E0"/>
    <w:rsid w:val="4D7D6984"/>
    <w:rsid w:val="4D875DE8"/>
    <w:rsid w:val="4D8A2C0E"/>
    <w:rsid w:val="4D9760D1"/>
    <w:rsid w:val="4D9D385D"/>
    <w:rsid w:val="4DA11739"/>
    <w:rsid w:val="4DA20B89"/>
    <w:rsid w:val="4DA644C0"/>
    <w:rsid w:val="4DB517A6"/>
    <w:rsid w:val="4DB637EB"/>
    <w:rsid w:val="4E000207"/>
    <w:rsid w:val="4E125706"/>
    <w:rsid w:val="4E3765BC"/>
    <w:rsid w:val="4E5C1022"/>
    <w:rsid w:val="4E7B76FB"/>
    <w:rsid w:val="4E946BAA"/>
    <w:rsid w:val="4EC372F3"/>
    <w:rsid w:val="4EE72FE2"/>
    <w:rsid w:val="4F3A75B6"/>
    <w:rsid w:val="4F3D2C02"/>
    <w:rsid w:val="4F4F2721"/>
    <w:rsid w:val="4F4F5829"/>
    <w:rsid w:val="4F5435BF"/>
    <w:rsid w:val="4F544E9B"/>
    <w:rsid w:val="4F54626E"/>
    <w:rsid w:val="4F6E3703"/>
    <w:rsid w:val="4F9D5D96"/>
    <w:rsid w:val="4FE4453E"/>
    <w:rsid w:val="4FE6207D"/>
    <w:rsid w:val="4FFB5422"/>
    <w:rsid w:val="50063693"/>
    <w:rsid w:val="50096EBC"/>
    <w:rsid w:val="50144062"/>
    <w:rsid w:val="5039786D"/>
    <w:rsid w:val="505A5C3A"/>
    <w:rsid w:val="50C91645"/>
    <w:rsid w:val="50DD59BC"/>
    <w:rsid w:val="50E365F2"/>
    <w:rsid w:val="50E46129"/>
    <w:rsid w:val="50E5714E"/>
    <w:rsid w:val="51081E85"/>
    <w:rsid w:val="510D731C"/>
    <w:rsid w:val="518C1BE9"/>
    <w:rsid w:val="51E02EDA"/>
    <w:rsid w:val="51EE28D9"/>
    <w:rsid w:val="52295BA6"/>
    <w:rsid w:val="52687F22"/>
    <w:rsid w:val="52A331B1"/>
    <w:rsid w:val="530A54F1"/>
    <w:rsid w:val="53456529"/>
    <w:rsid w:val="5349112D"/>
    <w:rsid w:val="53756FEE"/>
    <w:rsid w:val="537F5EDF"/>
    <w:rsid w:val="53837051"/>
    <w:rsid w:val="53986FA1"/>
    <w:rsid w:val="54166A86"/>
    <w:rsid w:val="544B7B6F"/>
    <w:rsid w:val="54625215"/>
    <w:rsid w:val="54764F73"/>
    <w:rsid w:val="54880DC3"/>
    <w:rsid w:val="548A5AC1"/>
    <w:rsid w:val="54B81D72"/>
    <w:rsid w:val="54C47921"/>
    <w:rsid w:val="54FF3338"/>
    <w:rsid w:val="55342CF9"/>
    <w:rsid w:val="5537605A"/>
    <w:rsid w:val="55416098"/>
    <w:rsid w:val="55556633"/>
    <w:rsid w:val="555A35CD"/>
    <w:rsid w:val="556E7FB9"/>
    <w:rsid w:val="55AE50F7"/>
    <w:rsid w:val="55F21FA2"/>
    <w:rsid w:val="56052A27"/>
    <w:rsid w:val="562F66E8"/>
    <w:rsid w:val="563E471E"/>
    <w:rsid w:val="56521518"/>
    <w:rsid w:val="566E5D97"/>
    <w:rsid w:val="567E0C23"/>
    <w:rsid w:val="56EF07AE"/>
    <w:rsid w:val="56EF512A"/>
    <w:rsid w:val="57053B15"/>
    <w:rsid w:val="571C49CF"/>
    <w:rsid w:val="576B2578"/>
    <w:rsid w:val="57981DED"/>
    <w:rsid w:val="57C53081"/>
    <w:rsid w:val="57D27DD2"/>
    <w:rsid w:val="58190752"/>
    <w:rsid w:val="581E1580"/>
    <w:rsid w:val="584047E8"/>
    <w:rsid w:val="58744A0E"/>
    <w:rsid w:val="588E2720"/>
    <w:rsid w:val="58953AAF"/>
    <w:rsid w:val="589C7231"/>
    <w:rsid w:val="58A75703"/>
    <w:rsid w:val="58B71D9D"/>
    <w:rsid w:val="58E36EC9"/>
    <w:rsid w:val="594A2AEB"/>
    <w:rsid w:val="59D2663D"/>
    <w:rsid w:val="5A392496"/>
    <w:rsid w:val="5A582FE6"/>
    <w:rsid w:val="5AA026E6"/>
    <w:rsid w:val="5AC03EE8"/>
    <w:rsid w:val="5AC170E8"/>
    <w:rsid w:val="5AE12FDB"/>
    <w:rsid w:val="5B1A50A8"/>
    <w:rsid w:val="5B982953"/>
    <w:rsid w:val="5B995B10"/>
    <w:rsid w:val="5BF14F24"/>
    <w:rsid w:val="5BF95082"/>
    <w:rsid w:val="5C1560BC"/>
    <w:rsid w:val="5CAF244F"/>
    <w:rsid w:val="5CB43A14"/>
    <w:rsid w:val="5CBE1E85"/>
    <w:rsid w:val="5CCE57E1"/>
    <w:rsid w:val="5D087F2C"/>
    <w:rsid w:val="5D53323C"/>
    <w:rsid w:val="5D743922"/>
    <w:rsid w:val="5D7E3D42"/>
    <w:rsid w:val="5D804D22"/>
    <w:rsid w:val="5D995DEF"/>
    <w:rsid w:val="5DAA0B36"/>
    <w:rsid w:val="5DCC070E"/>
    <w:rsid w:val="5DD31752"/>
    <w:rsid w:val="5DDB21F4"/>
    <w:rsid w:val="5E194310"/>
    <w:rsid w:val="5E1E5A99"/>
    <w:rsid w:val="5E315370"/>
    <w:rsid w:val="5E4F27AB"/>
    <w:rsid w:val="5E7D74BF"/>
    <w:rsid w:val="5E8156B1"/>
    <w:rsid w:val="5E8649CB"/>
    <w:rsid w:val="5EA2268D"/>
    <w:rsid w:val="5EDA43D9"/>
    <w:rsid w:val="5F561807"/>
    <w:rsid w:val="5F6061B7"/>
    <w:rsid w:val="5F797C86"/>
    <w:rsid w:val="5FE97DAA"/>
    <w:rsid w:val="60106BB8"/>
    <w:rsid w:val="60377FBA"/>
    <w:rsid w:val="603D3843"/>
    <w:rsid w:val="60C05418"/>
    <w:rsid w:val="610F7448"/>
    <w:rsid w:val="61126738"/>
    <w:rsid w:val="618E553F"/>
    <w:rsid w:val="6234234D"/>
    <w:rsid w:val="6294694F"/>
    <w:rsid w:val="62A5517A"/>
    <w:rsid w:val="62A82630"/>
    <w:rsid w:val="630C7132"/>
    <w:rsid w:val="63451850"/>
    <w:rsid w:val="637F15E3"/>
    <w:rsid w:val="638030B4"/>
    <w:rsid w:val="6397692D"/>
    <w:rsid w:val="63A159FD"/>
    <w:rsid w:val="63BF4C9E"/>
    <w:rsid w:val="63EF49BB"/>
    <w:rsid w:val="642F125B"/>
    <w:rsid w:val="64590086"/>
    <w:rsid w:val="645D5138"/>
    <w:rsid w:val="645F7B57"/>
    <w:rsid w:val="64925346"/>
    <w:rsid w:val="64CA45CF"/>
    <w:rsid w:val="64CC3CE4"/>
    <w:rsid w:val="650916EC"/>
    <w:rsid w:val="651C72B0"/>
    <w:rsid w:val="653E141B"/>
    <w:rsid w:val="65445693"/>
    <w:rsid w:val="65493FE4"/>
    <w:rsid w:val="655F0E1E"/>
    <w:rsid w:val="6564015D"/>
    <w:rsid w:val="65703021"/>
    <w:rsid w:val="65E55065"/>
    <w:rsid w:val="6640716B"/>
    <w:rsid w:val="66612CC3"/>
    <w:rsid w:val="66715680"/>
    <w:rsid w:val="67780823"/>
    <w:rsid w:val="67D850A6"/>
    <w:rsid w:val="67E97973"/>
    <w:rsid w:val="67F43487"/>
    <w:rsid w:val="680B5B3B"/>
    <w:rsid w:val="68176329"/>
    <w:rsid w:val="6818326D"/>
    <w:rsid w:val="684962F8"/>
    <w:rsid w:val="684C45B0"/>
    <w:rsid w:val="687F5BE1"/>
    <w:rsid w:val="68975621"/>
    <w:rsid w:val="689F7FBF"/>
    <w:rsid w:val="68A01633"/>
    <w:rsid w:val="690A194F"/>
    <w:rsid w:val="694E17D6"/>
    <w:rsid w:val="695A3D04"/>
    <w:rsid w:val="699857E2"/>
    <w:rsid w:val="69AC6EAA"/>
    <w:rsid w:val="69CF3DD6"/>
    <w:rsid w:val="69E86F38"/>
    <w:rsid w:val="69EA2B73"/>
    <w:rsid w:val="69F27BDA"/>
    <w:rsid w:val="6A154A4F"/>
    <w:rsid w:val="6A576B75"/>
    <w:rsid w:val="6A5B5588"/>
    <w:rsid w:val="6A8E67FB"/>
    <w:rsid w:val="6ADF5FF1"/>
    <w:rsid w:val="6AEB5EA4"/>
    <w:rsid w:val="6B0F68B3"/>
    <w:rsid w:val="6B434CDC"/>
    <w:rsid w:val="6B776C8E"/>
    <w:rsid w:val="6B9B310B"/>
    <w:rsid w:val="6BC404DB"/>
    <w:rsid w:val="6C140CA8"/>
    <w:rsid w:val="6C154E66"/>
    <w:rsid w:val="6C1E0C4C"/>
    <w:rsid w:val="6CC0066E"/>
    <w:rsid w:val="6CEF5734"/>
    <w:rsid w:val="6CF23940"/>
    <w:rsid w:val="6D0C625C"/>
    <w:rsid w:val="6E0232B1"/>
    <w:rsid w:val="6E266F76"/>
    <w:rsid w:val="6E2E3560"/>
    <w:rsid w:val="6E5024FA"/>
    <w:rsid w:val="6E755ABD"/>
    <w:rsid w:val="6E7B021E"/>
    <w:rsid w:val="6E7E1E49"/>
    <w:rsid w:val="6E9A1170"/>
    <w:rsid w:val="6EC151A6"/>
    <w:rsid w:val="6F174DC6"/>
    <w:rsid w:val="6F360D58"/>
    <w:rsid w:val="6F4A2780"/>
    <w:rsid w:val="6F4E0CB0"/>
    <w:rsid w:val="6F4F7F03"/>
    <w:rsid w:val="6FB33BDE"/>
    <w:rsid w:val="6FB6035B"/>
    <w:rsid w:val="6FC7174D"/>
    <w:rsid w:val="7040714E"/>
    <w:rsid w:val="70441BEA"/>
    <w:rsid w:val="705C4B11"/>
    <w:rsid w:val="706C6138"/>
    <w:rsid w:val="70AE3B69"/>
    <w:rsid w:val="712A112B"/>
    <w:rsid w:val="718030F6"/>
    <w:rsid w:val="7196487C"/>
    <w:rsid w:val="71B01985"/>
    <w:rsid w:val="71C56D5B"/>
    <w:rsid w:val="720F4264"/>
    <w:rsid w:val="721A4FAB"/>
    <w:rsid w:val="722A2C74"/>
    <w:rsid w:val="72B45EED"/>
    <w:rsid w:val="72BF37AA"/>
    <w:rsid w:val="72C7466F"/>
    <w:rsid w:val="72DF3E4C"/>
    <w:rsid w:val="72F1592E"/>
    <w:rsid w:val="732B0E40"/>
    <w:rsid w:val="733F6699"/>
    <w:rsid w:val="737C5B3F"/>
    <w:rsid w:val="73973553"/>
    <w:rsid w:val="73BF6063"/>
    <w:rsid w:val="73ED6ED9"/>
    <w:rsid w:val="740D2AF4"/>
    <w:rsid w:val="745F3497"/>
    <w:rsid w:val="746411EC"/>
    <w:rsid w:val="746C7962"/>
    <w:rsid w:val="75045DDD"/>
    <w:rsid w:val="750D1F31"/>
    <w:rsid w:val="753E6658"/>
    <w:rsid w:val="75632E5C"/>
    <w:rsid w:val="75692D4E"/>
    <w:rsid w:val="75DA3204"/>
    <w:rsid w:val="75DB0D54"/>
    <w:rsid w:val="76065B94"/>
    <w:rsid w:val="761107C1"/>
    <w:rsid w:val="76341ADB"/>
    <w:rsid w:val="7655594D"/>
    <w:rsid w:val="766A6123"/>
    <w:rsid w:val="76B7739C"/>
    <w:rsid w:val="76C24CDC"/>
    <w:rsid w:val="77435AB2"/>
    <w:rsid w:val="77471FC0"/>
    <w:rsid w:val="775C3CBE"/>
    <w:rsid w:val="777859C2"/>
    <w:rsid w:val="77BE6726"/>
    <w:rsid w:val="77FC724F"/>
    <w:rsid w:val="781C40D4"/>
    <w:rsid w:val="781F049C"/>
    <w:rsid w:val="78253B8F"/>
    <w:rsid w:val="78296D8C"/>
    <w:rsid w:val="78346BD0"/>
    <w:rsid w:val="78B65D69"/>
    <w:rsid w:val="78D12095"/>
    <w:rsid w:val="78E7628A"/>
    <w:rsid w:val="78F10DB5"/>
    <w:rsid w:val="790D6DC5"/>
    <w:rsid w:val="79206045"/>
    <w:rsid w:val="79295ABD"/>
    <w:rsid w:val="79366578"/>
    <w:rsid w:val="7956298E"/>
    <w:rsid w:val="79937960"/>
    <w:rsid w:val="79EB641B"/>
    <w:rsid w:val="79FB590B"/>
    <w:rsid w:val="7A38090E"/>
    <w:rsid w:val="7A4B5150"/>
    <w:rsid w:val="7B012663"/>
    <w:rsid w:val="7B022DCE"/>
    <w:rsid w:val="7B412636"/>
    <w:rsid w:val="7B641393"/>
    <w:rsid w:val="7B7006B2"/>
    <w:rsid w:val="7B7F2EE0"/>
    <w:rsid w:val="7BA3331B"/>
    <w:rsid w:val="7BAC2D3A"/>
    <w:rsid w:val="7BB37C24"/>
    <w:rsid w:val="7BD217F3"/>
    <w:rsid w:val="7BD83B2F"/>
    <w:rsid w:val="7BF70459"/>
    <w:rsid w:val="7BF85F7F"/>
    <w:rsid w:val="7C0B5CB2"/>
    <w:rsid w:val="7C202760"/>
    <w:rsid w:val="7C65264B"/>
    <w:rsid w:val="7C7952C5"/>
    <w:rsid w:val="7CEA6E0D"/>
    <w:rsid w:val="7D24527D"/>
    <w:rsid w:val="7D8448A6"/>
    <w:rsid w:val="7D86298E"/>
    <w:rsid w:val="7D960EC5"/>
    <w:rsid w:val="7DE352DF"/>
    <w:rsid w:val="7DF15477"/>
    <w:rsid w:val="7E0429B9"/>
    <w:rsid w:val="7E0571EE"/>
    <w:rsid w:val="7E07399E"/>
    <w:rsid w:val="7EB60EA8"/>
    <w:rsid w:val="7EE1410B"/>
    <w:rsid w:val="7EE376A4"/>
    <w:rsid w:val="7FEF1B45"/>
    <w:rsid w:val="7FF8523B"/>
    <w:rsid w:val="FEFE0C01"/>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name="page number"/>
    <w:lsdException w:qFormat="1" w:uiPriority="99"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qFormat/>
    <w:uiPriority w:val="9"/>
    <w:pPr>
      <w:keepNext/>
      <w:keepLines/>
      <w:spacing w:before="340" w:after="330"/>
      <w:jc w:val="center"/>
      <w:outlineLvl w:val="0"/>
    </w:pPr>
    <w:rPr>
      <w:b/>
      <w:kern w:val="44"/>
      <w:sz w:val="32"/>
    </w:rPr>
  </w:style>
  <w:style w:type="paragraph" w:styleId="3">
    <w:name w:val="heading 2"/>
    <w:basedOn w:val="1"/>
    <w:next w:val="1"/>
    <w:unhideWhenUsed/>
    <w:qFormat/>
    <w:uiPriority w:val="9"/>
    <w:pPr>
      <w:keepNext/>
      <w:keepLines/>
      <w:spacing w:before="260" w:after="260"/>
      <w:outlineLvl w:val="1"/>
    </w:pPr>
    <w:rPr>
      <w:rFonts w:ascii="Arial" w:hAnsi="Arial"/>
      <w:b/>
      <w:sz w:val="28"/>
    </w:rPr>
  </w:style>
  <w:style w:type="paragraph" w:styleId="4">
    <w:name w:val="heading 3"/>
    <w:basedOn w:val="1"/>
    <w:next w:val="1"/>
    <w:unhideWhenUsed/>
    <w:qFormat/>
    <w:uiPriority w:val="9"/>
    <w:pPr>
      <w:keepNext/>
      <w:keepLines/>
      <w:numPr>
        <w:ilvl w:val="0"/>
        <w:numId w:val="1"/>
      </w:numPr>
      <w:spacing w:before="120" w:beforeLines="50" w:after="120" w:afterLines="50"/>
      <w:outlineLvl w:val="2"/>
    </w:pPr>
    <w:rPr>
      <w:rFonts w:ascii="黑体" w:hAnsi="黑体" w:eastAsia="黑体" w:cs="Times New Roman"/>
      <w:sz w:val="21"/>
      <w:szCs w:val="21"/>
    </w:rPr>
  </w:style>
  <w:style w:type="paragraph" w:styleId="5">
    <w:name w:val="heading 4"/>
    <w:basedOn w:val="1"/>
    <w:next w:val="1"/>
    <w:unhideWhenUsed/>
    <w:qFormat/>
    <w:uiPriority w:val="9"/>
    <w:pPr>
      <w:keepNext/>
      <w:keepLines/>
      <w:spacing w:before="160" w:after="170"/>
      <w:outlineLvl w:val="3"/>
    </w:pPr>
    <w:rPr>
      <w:rFonts w:ascii="Arial" w:hAnsi="Arial" w:eastAsia="仿宋"/>
      <w:b/>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63"/>
    <w:unhideWhenUsed/>
    <w:qFormat/>
    <w:uiPriority w:val="99"/>
  </w:style>
  <w:style w:type="paragraph" w:styleId="7">
    <w:name w:val="Body Text 3"/>
    <w:basedOn w:val="1"/>
    <w:link w:val="29"/>
    <w:qFormat/>
    <w:uiPriority w:val="0"/>
    <w:rPr>
      <w:rFonts w:eastAsia="仿宋_GB2312" w:cs="Times New Roman"/>
      <w:sz w:val="28"/>
      <w:szCs w:val="20"/>
    </w:rPr>
  </w:style>
  <w:style w:type="paragraph" w:styleId="8">
    <w:name w:val="Body Text"/>
    <w:basedOn w:val="1"/>
    <w:link w:val="68"/>
    <w:unhideWhenUsed/>
    <w:qFormat/>
    <w:uiPriority w:val="99"/>
    <w:pPr>
      <w:spacing w:after="120"/>
    </w:pPr>
  </w:style>
  <w:style w:type="paragraph" w:styleId="9">
    <w:name w:val="toc 3"/>
    <w:basedOn w:val="1"/>
    <w:next w:val="1"/>
    <w:autoRedefine/>
    <w:unhideWhenUsed/>
    <w:qFormat/>
    <w:uiPriority w:val="39"/>
    <w:pPr>
      <w:tabs>
        <w:tab w:val="right" w:leader="dot" w:pos="8296"/>
      </w:tabs>
      <w:ind w:firstLine="177" w:firstLineChars="177"/>
    </w:pPr>
    <w:rPr>
      <w:rFonts w:eastAsia="黑体"/>
      <w:sz w:val="21"/>
    </w:rPr>
  </w:style>
  <w:style w:type="paragraph" w:styleId="10">
    <w:name w:val="endnote text"/>
    <w:basedOn w:val="1"/>
    <w:unhideWhenUsed/>
    <w:qFormat/>
    <w:uiPriority w:val="99"/>
    <w:pPr>
      <w:snapToGrid w:val="0"/>
    </w:pPr>
  </w:style>
  <w:style w:type="paragraph" w:styleId="11">
    <w:name w:val="Balloon Text"/>
    <w:basedOn w:val="1"/>
    <w:link w:val="45"/>
    <w:unhideWhenUsed/>
    <w:qFormat/>
    <w:uiPriority w:val="99"/>
    <w:rPr>
      <w:sz w:val="18"/>
      <w:szCs w:val="18"/>
    </w:rPr>
  </w:style>
  <w:style w:type="paragraph" w:styleId="12">
    <w:name w:val="footer"/>
    <w:basedOn w:val="1"/>
    <w:link w:val="42"/>
    <w:unhideWhenUsed/>
    <w:qFormat/>
    <w:uiPriority w:val="99"/>
    <w:pPr>
      <w:tabs>
        <w:tab w:val="center" w:pos="4153"/>
        <w:tab w:val="right" w:pos="8306"/>
      </w:tabs>
      <w:snapToGrid w:val="0"/>
    </w:pPr>
    <w:rPr>
      <w:sz w:val="18"/>
      <w:szCs w:val="18"/>
    </w:rPr>
  </w:style>
  <w:style w:type="paragraph" w:styleId="13">
    <w:name w:val="header"/>
    <w:basedOn w:val="1"/>
    <w:link w:val="41"/>
    <w:qFormat/>
    <w:uiPriority w:val="99"/>
    <w:pPr>
      <w:tabs>
        <w:tab w:val="center" w:pos="4153"/>
        <w:tab w:val="right" w:pos="8306"/>
      </w:tabs>
      <w:snapToGrid w:val="0"/>
      <w:jc w:val="center"/>
    </w:pPr>
    <w:rPr>
      <w:rFonts w:cs="Times New Roman"/>
      <w:sz w:val="18"/>
      <w:szCs w:val="18"/>
    </w:rPr>
  </w:style>
  <w:style w:type="paragraph" w:styleId="14">
    <w:name w:val="toc 1"/>
    <w:qFormat/>
    <w:uiPriority w:val="39"/>
    <w:pPr>
      <w:widowControl w:val="0"/>
      <w:spacing w:line="360" w:lineRule="exact"/>
    </w:pPr>
    <w:rPr>
      <w:rFonts w:ascii="Times New Roman" w:hAnsi="Times New Roman" w:eastAsia="黑体" w:cs="Times New Roman"/>
      <w:bCs/>
      <w:kern w:val="2"/>
      <w:sz w:val="21"/>
      <w:lang w:val="en-US" w:eastAsia="zh-CN" w:bidi="ar-SA"/>
    </w:rPr>
  </w:style>
  <w:style w:type="paragraph" w:styleId="15">
    <w:name w:val="toc 2"/>
    <w:basedOn w:val="1"/>
    <w:next w:val="1"/>
    <w:autoRedefine/>
    <w:unhideWhenUsed/>
    <w:qFormat/>
    <w:uiPriority w:val="39"/>
    <w:pPr>
      <w:tabs>
        <w:tab w:val="right" w:leader="dot" w:pos="8296"/>
      </w:tabs>
      <w:ind w:left="383" w:leftChars="155" w:hanging="228" w:hangingChars="228"/>
    </w:pPr>
    <w:rPr>
      <w:rFonts w:eastAsia="黑体"/>
      <w:sz w:val="21"/>
    </w:rPr>
  </w:style>
  <w:style w:type="paragraph" w:styleId="16">
    <w:name w:val="HTML Preformatted"/>
    <w:basedOn w:val="1"/>
    <w:link w:val="69"/>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17">
    <w:name w:val="Normal (Web)"/>
    <w:basedOn w:val="1"/>
    <w:unhideWhenUsed/>
    <w:qFormat/>
    <w:uiPriority w:val="99"/>
    <w:pPr>
      <w:spacing w:before="100" w:beforeAutospacing="1" w:after="100" w:afterAutospacing="1"/>
    </w:pPr>
  </w:style>
  <w:style w:type="paragraph" w:styleId="18">
    <w:name w:val="annotation subject"/>
    <w:basedOn w:val="6"/>
    <w:next w:val="6"/>
    <w:link w:val="62"/>
    <w:qFormat/>
    <w:uiPriority w:val="0"/>
    <w:pPr>
      <w:keepNext/>
      <w:keepLines/>
      <w:spacing w:before="260" w:after="260" w:line="415" w:lineRule="auto"/>
      <w:outlineLvl w:val="1"/>
    </w:pPr>
    <w:rPr>
      <w:rFonts w:cs="微软雅黑"/>
      <w:b/>
      <w:lang w:eastAsia="zh-Hans"/>
    </w:rPr>
  </w:style>
  <w:style w:type="table" w:styleId="20">
    <w:name w:val="Table Grid"/>
    <w:basedOn w:val="1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22"/>
    <w:rPr>
      <w:b/>
      <w:bCs/>
    </w:rPr>
  </w:style>
  <w:style w:type="character" w:styleId="23">
    <w:name w:val="endnote reference"/>
    <w:basedOn w:val="21"/>
    <w:semiHidden/>
    <w:unhideWhenUsed/>
    <w:qFormat/>
    <w:uiPriority w:val="99"/>
    <w:rPr>
      <w:vertAlign w:val="superscript"/>
    </w:rPr>
  </w:style>
  <w:style w:type="character" w:styleId="24">
    <w:name w:val="page number"/>
    <w:basedOn w:val="21"/>
    <w:semiHidden/>
    <w:unhideWhenUsed/>
    <w:qFormat/>
    <w:uiPriority w:val="99"/>
  </w:style>
  <w:style w:type="character" w:styleId="25">
    <w:name w:val="Emphasis"/>
    <w:basedOn w:val="21"/>
    <w:qFormat/>
    <w:uiPriority w:val="20"/>
    <w:rPr>
      <w:i/>
    </w:rPr>
  </w:style>
  <w:style w:type="character" w:styleId="26">
    <w:name w:val="Hyperlink"/>
    <w:basedOn w:val="21"/>
    <w:unhideWhenUsed/>
    <w:qFormat/>
    <w:uiPriority w:val="99"/>
    <w:rPr>
      <w:color w:val="0000FF" w:themeColor="hyperlink"/>
      <w:u w:val="single"/>
      <w14:textFill>
        <w14:solidFill>
          <w14:schemeClr w14:val="hlink"/>
        </w14:solidFill>
      </w14:textFill>
    </w:rPr>
  </w:style>
  <w:style w:type="character" w:styleId="27">
    <w:name w:val="HTML Code"/>
    <w:basedOn w:val="21"/>
    <w:semiHidden/>
    <w:unhideWhenUsed/>
    <w:qFormat/>
    <w:uiPriority w:val="99"/>
    <w:rPr>
      <w:rFonts w:ascii="Courier New" w:hAnsi="Courier New"/>
      <w:sz w:val="20"/>
    </w:rPr>
  </w:style>
  <w:style w:type="character" w:styleId="28">
    <w:name w:val="annotation reference"/>
    <w:basedOn w:val="21"/>
    <w:semiHidden/>
    <w:unhideWhenUsed/>
    <w:qFormat/>
    <w:uiPriority w:val="99"/>
    <w:rPr>
      <w:sz w:val="21"/>
      <w:szCs w:val="21"/>
    </w:rPr>
  </w:style>
  <w:style w:type="character" w:customStyle="1" w:styleId="29">
    <w:name w:val="正文文本 3 字符"/>
    <w:basedOn w:val="21"/>
    <w:link w:val="7"/>
    <w:qFormat/>
    <w:uiPriority w:val="0"/>
    <w:rPr>
      <w:rFonts w:ascii="Times New Roman" w:hAnsi="Times New Roman" w:eastAsia="仿宋_GB2312" w:cs="Times New Roman"/>
      <w:kern w:val="0"/>
      <w:sz w:val="28"/>
      <w:szCs w:val="20"/>
    </w:rPr>
  </w:style>
  <w:style w:type="character" w:customStyle="1" w:styleId="30">
    <w:name w:val="章标题 Char"/>
    <w:link w:val="31"/>
    <w:qFormat/>
    <w:uiPriority w:val="0"/>
    <w:rPr>
      <w:rFonts w:ascii="黑体" w:eastAsia="黑体" w:hAnsiTheme="minorHAnsi" w:cstheme="minorBidi"/>
      <w:kern w:val="2"/>
      <w:sz w:val="21"/>
      <w:szCs w:val="22"/>
    </w:rPr>
  </w:style>
  <w:style w:type="paragraph" w:customStyle="1" w:styleId="31">
    <w:name w:val="章标题"/>
    <w:next w:val="32"/>
    <w:link w:val="30"/>
    <w:qFormat/>
    <w:uiPriority w:val="0"/>
    <w:pPr>
      <w:numPr>
        <w:ilvl w:val="1"/>
        <w:numId w:val="2"/>
      </w:numPr>
      <w:spacing w:beforeLines="50" w:afterLines="50"/>
      <w:jc w:val="both"/>
      <w:outlineLvl w:val="1"/>
    </w:pPr>
    <w:rPr>
      <w:rFonts w:ascii="黑体" w:eastAsia="黑体" w:hAnsiTheme="minorHAnsi" w:cstheme="minorBidi"/>
      <w:kern w:val="2"/>
      <w:sz w:val="21"/>
      <w:szCs w:val="22"/>
      <w:lang w:val="en-US" w:eastAsia="zh-CN" w:bidi="ar-SA"/>
    </w:rPr>
  </w:style>
  <w:style w:type="paragraph" w:customStyle="1" w:styleId="32">
    <w:name w:val="段"/>
    <w:link w:val="50"/>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3">
    <w:name w:val="一级条标题 字符"/>
    <w:link w:val="34"/>
    <w:qFormat/>
    <w:uiPriority w:val="0"/>
    <w:rPr>
      <w:rFonts w:eastAsia="黑体" w:asciiTheme="minorHAnsi" w:hAnsiTheme="minorHAnsi" w:cstheme="minorBidi"/>
      <w:kern w:val="2"/>
      <w:sz w:val="21"/>
      <w:szCs w:val="22"/>
    </w:rPr>
  </w:style>
  <w:style w:type="paragraph" w:customStyle="1" w:styleId="34">
    <w:name w:val="一级条标题"/>
    <w:next w:val="32"/>
    <w:link w:val="33"/>
    <w:qFormat/>
    <w:uiPriority w:val="0"/>
    <w:pPr>
      <w:numPr>
        <w:ilvl w:val="0"/>
        <w:numId w:val="3"/>
      </w:numPr>
      <w:outlineLvl w:val="2"/>
    </w:pPr>
    <w:rPr>
      <w:rFonts w:eastAsia="黑体" w:asciiTheme="minorHAnsi" w:hAnsiTheme="minorHAnsi" w:cstheme="minorBidi"/>
      <w:kern w:val="2"/>
      <w:sz w:val="21"/>
      <w:szCs w:val="22"/>
      <w:lang w:val="en-US" w:eastAsia="zh-CN" w:bidi="ar-SA"/>
    </w:rPr>
  </w:style>
  <w:style w:type="character" w:customStyle="1" w:styleId="35">
    <w:name w:val="页眉 Char"/>
    <w:basedOn w:val="21"/>
    <w:semiHidden/>
    <w:qFormat/>
    <w:uiPriority w:val="99"/>
    <w:rPr>
      <w:sz w:val="18"/>
      <w:szCs w:val="18"/>
    </w:rPr>
  </w:style>
  <w:style w:type="paragraph" w:customStyle="1" w:styleId="36">
    <w:name w:val="目次、标准名称标题"/>
    <w:basedOn w:val="1"/>
    <w:next w:val="1"/>
    <w:qFormat/>
    <w:uiPriority w:val="0"/>
    <w:pPr>
      <w:shd w:val="clear" w:color="FFFFFF" w:fill="FFFFFF"/>
      <w:spacing w:before="640" w:after="560" w:line="460" w:lineRule="exact"/>
      <w:jc w:val="center"/>
      <w:outlineLvl w:val="0"/>
    </w:pPr>
    <w:rPr>
      <w:rFonts w:ascii="黑体" w:eastAsia="黑体" w:cs="Times New Roman"/>
      <w:sz w:val="32"/>
      <w:szCs w:val="20"/>
    </w:rPr>
  </w:style>
  <w:style w:type="paragraph" w:customStyle="1" w:styleId="37">
    <w:name w:val="二级条标题"/>
    <w:basedOn w:val="34"/>
    <w:next w:val="32"/>
    <w:qFormat/>
    <w:uiPriority w:val="0"/>
    <w:pPr>
      <w:numPr>
        <w:ilvl w:val="3"/>
        <w:numId w:val="2"/>
      </w:numPr>
      <w:tabs>
        <w:tab w:val="left" w:pos="435"/>
      </w:tabs>
      <w:outlineLvl w:val="3"/>
    </w:pPr>
  </w:style>
  <w:style w:type="paragraph" w:customStyle="1" w:styleId="38">
    <w:name w:val="注：（正文）"/>
    <w:basedOn w:val="1"/>
    <w:next w:val="32"/>
    <w:qFormat/>
    <w:uiPriority w:val="0"/>
    <w:pPr>
      <w:numPr>
        <w:ilvl w:val="0"/>
        <w:numId w:val="4"/>
      </w:numPr>
      <w:tabs>
        <w:tab w:val="left" w:pos="1080"/>
      </w:tabs>
      <w:autoSpaceDE w:val="0"/>
      <w:autoSpaceDN w:val="0"/>
    </w:pPr>
    <w:rPr>
      <w:rFonts w:cs="Times New Roman"/>
      <w:sz w:val="18"/>
      <w:szCs w:val="18"/>
    </w:rPr>
  </w:style>
  <w:style w:type="paragraph" w:customStyle="1" w:styleId="39">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40">
    <w:name w:val="标准书脚_奇数页"/>
    <w:qFormat/>
    <w:uiPriority w:val="0"/>
    <w:pPr>
      <w:spacing w:before="120"/>
      <w:jc w:val="right"/>
    </w:pPr>
    <w:rPr>
      <w:rFonts w:ascii="Times New Roman" w:hAnsi="Times New Roman" w:eastAsia="宋体" w:cs="Times New Roman"/>
      <w:sz w:val="18"/>
      <w:lang w:val="en-US" w:eastAsia="zh-CN" w:bidi="ar-SA"/>
    </w:rPr>
  </w:style>
  <w:style w:type="character" w:customStyle="1" w:styleId="41">
    <w:name w:val="页眉 字符"/>
    <w:link w:val="13"/>
    <w:qFormat/>
    <w:uiPriority w:val="99"/>
    <w:rPr>
      <w:rFonts w:ascii="Times New Roman" w:hAnsi="Times New Roman" w:eastAsia="宋体" w:cs="Times New Roman"/>
      <w:sz w:val="18"/>
      <w:szCs w:val="18"/>
    </w:rPr>
  </w:style>
  <w:style w:type="character" w:customStyle="1" w:styleId="42">
    <w:name w:val="页脚 字符"/>
    <w:basedOn w:val="21"/>
    <w:link w:val="12"/>
    <w:qFormat/>
    <w:uiPriority w:val="99"/>
    <w:rPr>
      <w:sz w:val="18"/>
      <w:szCs w:val="18"/>
    </w:rPr>
  </w:style>
  <w:style w:type="paragraph" w:styleId="43">
    <w:name w:val="List Paragraph"/>
    <w:basedOn w:val="1"/>
    <w:link w:val="61"/>
    <w:unhideWhenUsed/>
    <w:qFormat/>
    <w:uiPriority w:val="34"/>
    <w:pPr>
      <w:ind w:firstLine="420"/>
    </w:pPr>
  </w:style>
  <w:style w:type="character" w:customStyle="1" w:styleId="44">
    <w:name w:val="未处理的提及1"/>
    <w:basedOn w:val="21"/>
    <w:semiHidden/>
    <w:unhideWhenUsed/>
    <w:qFormat/>
    <w:uiPriority w:val="99"/>
    <w:rPr>
      <w:color w:val="605E5C"/>
      <w:shd w:val="clear" w:color="auto" w:fill="E1DFDD"/>
    </w:rPr>
  </w:style>
  <w:style w:type="character" w:customStyle="1" w:styleId="45">
    <w:name w:val="批注框文本 字符"/>
    <w:basedOn w:val="21"/>
    <w:link w:val="11"/>
    <w:semiHidden/>
    <w:qFormat/>
    <w:uiPriority w:val="99"/>
    <w:rPr>
      <w:sz w:val="18"/>
      <w:szCs w:val="18"/>
    </w:rPr>
  </w:style>
  <w:style w:type="paragraph" w:customStyle="1" w:styleId="46">
    <w:name w:val="正文 + 宋体"/>
    <w:basedOn w:val="1"/>
    <w:qFormat/>
    <w:uiPriority w:val="0"/>
    <w:pPr>
      <w:ind w:firstLine="480"/>
    </w:pPr>
    <w:rPr>
      <w:rFonts w:cs="Times New Roman"/>
    </w:rPr>
  </w:style>
  <w:style w:type="character" w:customStyle="1" w:styleId="47">
    <w:name w:val="fontstyle01"/>
    <w:basedOn w:val="21"/>
    <w:qFormat/>
    <w:uiPriority w:val="0"/>
    <w:rPr>
      <w:rFonts w:hint="eastAsia" w:ascii="仿宋" w:hAnsi="仿宋" w:eastAsia="仿宋"/>
      <w:color w:val="000000"/>
      <w:sz w:val="30"/>
      <w:szCs w:val="30"/>
    </w:rPr>
  </w:style>
  <w:style w:type="paragraph" w:customStyle="1" w:styleId="48">
    <w:name w:val="Default"/>
    <w:qFormat/>
    <w:uiPriority w:val="0"/>
    <w:pPr>
      <w:widowControl w:val="0"/>
      <w:autoSpaceDE w:val="0"/>
      <w:autoSpaceDN w:val="0"/>
      <w:adjustRightInd w:val="0"/>
    </w:pPr>
    <w:rPr>
      <w:rFonts w:ascii="FZXiaoBiaoSong-B05S" w:hAnsi="Calibri" w:eastAsia="FZXiaoBiaoSong-B05S" w:cs="FZXiaoBiaoSong-B05S"/>
      <w:color w:val="000000"/>
      <w:sz w:val="24"/>
      <w:szCs w:val="24"/>
      <w:lang w:val="en-US" w:eastAsia="zh-CN" w:bidi="ar-SA"/>
    </w:rPr>
  </w:style>
  <w:style w:type="character" w:customStyle="1" w:styleId="49">
    <w:name w:val="未处理的提及2"/>
    <w:basedOn w:val="21"/>
    <w:semiHidden/>
    <w:unhideWhenUsed/>
    <w:qFormat/>
    <w:uiPriority w:val="99"/>
    <w:rPr>
      <w:color w:val="605E5C"/>
      <w:shd w:val="clear" w:color="auto" w:fill="E1DFDD"/>
    </w:rPr>
  </w:style>
  <w:style w:type="character" w:customStyle="1" w:styleId="50">
    <w:name w:val="段 Char"/>
    <w:basedOn w:val="21"/>
    <w:link w:val="32"/>
    <w:qFormat/>
    <w:uiPriority w:val="0"/>
    <w:rPr>
      <w:rFonts w:ascii="宋体" w:hAnsi="Times New Roman" w:eastAsia="宋体" w:cs="Times New Roman"/>
      <w:kern w:val="0"/>
      <w:szCs w:val="20"/>
    </w:rPr>
  </w:style>
  <w:style w:type="character" w:customStyle="1" w:styleId="51">
    <w:name w:val="text_jrykg"/>
    <w:basedOn w:val="21"/>
    <w:qFormat/>
    <w:uiPriority w:val="0"/>
  </w:style>
  <w:style w:type="character" w:customStyle="1" w:styleId="52">
    <w:name w:val="bjh-p"/>
    <w:basedOn w:val="21"/>
    <w:qFormat/>
    <w:uiPriority w:val="0"/>
  </w:style>
  <w:style w:type="paragraph" w:customStyle="1" w:styleId="53">
    <w:name w:val="list-num-1-1"/>
    <w:basedOn w:val="1"/>
    <w:qFormat/>
    <w:uiPriority w:val="0"/>
    <w:pPr>
      <w:spacing w:before="100" w:beforeAutospacing="1" w:after="100" w:afterAutospacing="1"/>
    </w:pPr>
  </w:style>
  <w:style w:type="paragraph" w:customStyle="1" w:styleId="54">
    <w:name w:val="list-num-1-2"/>
    <w:basedOn w:val="1"/>
    <w:qFormat/>
    <w:uiPriority w:val="0"/>
    <w:pPr>
      <w:spacing w:before="100" w:beforeAutospacing="1" w:after="100" w:afterAutospacing="1"/>
    </w:pPr>
  </w:style>
  <w:style w:type="paragraph" w:customStyle="1" w:styleId="55">
    <w:name w:val="list-num-1-3"/>
    <w:basedOn w:val="1"/>
    <w:qFormat/>
    <w:uiPriority w:val="0"/>
    <w:pPr>
      <w:spacing w:before="100" w:beforeAutospacing="1" w:after="100" w:afterAutospacing="1"/>
    </w:pPr>
  </w:style>
  <w:style w:type="paragraph" w:customStyle="1" w:styleId="56">
    <w:name w:val="list-num-1-4"/>
    <w:basedOn w:val="1"/>
    <w:qFormat/>
    <w:uiPriority w:val="0"/>
    <w:pPr>
      <w:spacing w:before="100" w:beforeAutospacing="1" w:after="100" w:afterAutospacing="1"/>
    </w:pPr>
  </w:style>
  <w:style w:type="paragraph" w:customStyle="1" w:styleId="57">
    <w:name w:val="list-num-1-5"/>
    <w:basedOn w:val="1"/>
    <w:qFormat/>
    <w:uiPriority w:val="0"/>
    <w:pPr>
      <w:spacing w:before="100" w:beforeAutospacing="1" w:after="100" w:afterAutospacing="1"/>
    </w:pPr>
  </w:style>
  <w:style w:type="paragraph" w:customStyle="1" w:styleId="58">
    <w:name w:val="WPSOffice手动目录 1"/>
    <w:qFormat/>
    <w:uiPriority w:val="0"/>
    <w:rPr>
      <w:rFonts w:ascii="Times New Roman" w:hAnsi="Times New Roman" w:eastAsia="宋体" w:cs="Times New Roman"/>
      <w:lang w:val="en-US" w:eastAsia="zh-CN" w:bidi="ar-SA"/>
    </w:rPr>
  </w:style>
  <w:style w:type="paragraph" w:customStyle="1" w:styleId="59">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60">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61">
    <w:name w:val="列表段落 字符"/>
    <w:link w:val="43"/>
    <w:qFormat/>
    <w:locked/>
    <w:uiPriority w:val="34"/>
    <w:rPr>
      <w:rFonts w:eastAsiaTheme="minorEastAsia" w:cstheme="minorBidi"/>
      <w:kern w:val="2"/>
      <w:sz w:val="24"/>
      <w:szCs w:val="24"/>
    </w:rPr>
  </w:style>
  <w:style w:type="character" w:customStyle="1" w:styleId="62">
    <w:name w:val="批注主题 字符"/>
    <w:basedOn w:val="63"/>
    <w:link w:val="18"/>
    <w:qFormat/>
    <w:uiPriority w:val="0"/>
    <w:rPr>
      <w:rFonts w:cs="微软雅黑" w:eastAsiaTheme="minorEastAsia"/>
      <w:b/>
      <w:kern w:val="2"/>
      <w:sz w:val="24"/>
      <w:szCs w:val="24"/>
      <w:lang w:eastAsia="zh-Hans"/>
    </w:rPr>
  </w:style>
  <w:style w:type="character" w:customStyle="1" w:styleId="63">
    <w:name w:val="批注文字 字符"/>
    <w:basedOn w:val="21"/>
    <w:link w:val="6"/>
    <w:qFormat/>
    <w:uiPriority w:val="99"/>
    <w:rPr>
      <w:rFonts w:eastAsiaTheme="minorEastAsia" w:cstheme="minorBidi"/>
      <w:kern w:val="2"/>
      <w:sz w:val="24"/>
      <w:szCs w:val="22"/>
    </w:rPr>
  </w:style>
  <w:style w:type="character" w:customStyle="1" w:styleId="64">
    <w:name w:val="批注主题 Char1"/>
    <w:basedOn w:val="63"/>
    <w:semiHidden/>
    <w:qFormat/>
    <w:uiPriority w:val="99"/>
    <w:rPr>
      <w:rFonts w:eastAsiaTheme="minorEastAsia" w:cstheme="minorBidi"/>
      <w:b/>
      <w:bCs/>
      <w:kern w:val="2"/>
      <w:sz w:val="24"/>
      <w:szCs w:val="22"/>
    </w:rPr>
  </w:style>
  <w:style w:type="paragraph" w:customStyle="1" w:styleId="65">
    <w:name w:val="修订1"/>
    <w:hidden/>
    <w:semiHidden/>
    <w:qFormat/>
    <w:uiPriority w:val="99"/>
    <w:rPr>
      <w:rFonts w:ascii="Times New Roman" w:hAnsi="Times New Roman" w:eastAsiaTheme="minorEastAsia" w:cstheme="minorBidi"/>
      <w:kern w:val="2"/>
      <w:sz w:val="24"/>
      <w:szCs w:val="22"/>
      <w:lang w:val="en-US" w:eastAsia="zh-CN" w:bidi="ar-SA"/>
    </w:rPr>
  </w:style>
  <w:style w:type="paragraph" w:customStyle="1" w:styleId="66">
    <w:name w:val="p1"/>
    <w:basedOn w:val="1"/>
    <w:qFormat/>
    <w:uiPriority w:val="0"/>
    <w:rPr>
      <w:rFonts w:ascii=".AppleSystemUIFont" w:hAnsi=".AppleSystemUIFont"/>
      <w:sz w:val="26"/>
      <w:szCs w:val="26"/>
    </w:rPr>
  </w:style>
  <w:style w:type="character" w:customStyle="1" w:styleId="67">
    <w:name w:val="s1"/>
    <w:basedOn w:val="21"/>
    <w:qFormat/>
    <w:uiPriority w:val="0"/>
    <w:rPr>
      <w:rFonts w:hint="default" w:ascii="UICTFontTextStyleBody" w:hAnsi="UICTFontTextStyleBody"/>
      <w:sz w:val="26"/>
      <w:szCs w:val="26"/>
    </w:rPr>
  </w:style>
  <w:style w:type="character" w:customStyle="1" w:styleId="68">
    <w:name w:val="正文文本 字符"/>
    <w:basedOn w:val="21"/>
    <w:link w:val="8"/>
    <w:qFormat/>
    <w:uiPriority w:val="99"/>
    <w:rPr>
      <w:rFonts w:eastAsiaTheme="minorEastAsia" w:cstheme="minorBidi"/>
      <w:kern w:val="2"/>
      <w:sz w:val="24"/>
      <w:szCs w:val="22"/>
    </w:rPr>
  </w:style>
  <w:style w:type="character" w:customStyle="1" w:styleId="69">
    <w:name w:val="HTML 预设格式 字符"/>
    <w:basedOn w:val="21"/>
    <w:link w:val="16"/>
    <w:qFormat/>
    <w:uiPriority w:val="99"/>
    <w:rPr>
      <w:rFonts w:ascii="宋体" w:hAnsi="宋体" w:cs="宋体"/>
      <w:sz w:val="24"/>
      <w:szCs w:val="24"/>
    </w:rPr>
  </w:style>
  <w:style w:type="paragraph" w:customStyle="1" w:styleId="70">
    <w:name w:val="修订2"/>
    <w:hidden/>
    <w:unhideWhenUsed/>
    <w:qFormat/>
    <w:uiPriority w:val="99"/>
    <w:rPr>
      <w:rFonts w:ascii="宋体" w:hAnsi="宋体" w:eastAsia="宋体" w:cs="宋体"/>
      <w:sz w:val="24"/>
      <w:szCs w:val="24"/>
      <w:lang w:val="en-US" w:eastAsia="zh-CN" w:bidi="ar-SA"/>
    </w:rPr>
  </w:style>
  <w:style w:type="paragraph" w:customStyle="1" w:styleId="71">
    <w:name w:val="Revision"/>
    <w:hidden/>
    <w:semiHidden/>
    <w:qFormat/>
    <w:uiPriority w:val="99"/>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SelectedStyle="\APASixthEditionOfficeOnline.xsl" Version="6"/>
</file>

<file path=customXml/item3.xml><?xml version="1.0" encoding="utf-8"?>
<contractReview xmlns="http://schemas.wps.cn/vas-ai-hub/contract-review">
  <reviewItems xmlns="http://schemas.wps.cn/vas-ai-hub/contract-review">
    <reviewItem xmlns="http://schemas.wps.cn/vas-ai-hub/contract-review">
      <errorID xmlns="http://schemas.wps.cn/vas-ai-hub/contract-review">3e26e373-4380-4823-8ae4-d91c695982d6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53BA7EAA</paraID>
      <start xmlns="http://schemas.wps.cn/vas-ai-hub/contract-review">1</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defcacf4-b849-4438-a55a-3d56fa04b5ef</errorID>
      <errorWord xmlns="http://schemas.wps.cn/vas-ai-hub/contract-review">验证验证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验证</item>
      </candidateList>
      <explain xmlns="http://schemas.wps.cn/vas-ai-hub/contract-review"/>
      <paraID xmlns="http://schemas.wps.cn/vas-ai-hub/contract-review">48F476C0</paraID>
      <start xmlns="http://schemas.wps.cn/vas-ai-hub/contract-review">68</start>
      <end xmlns="http://schemas.wps.cn/vas-ai-hub/contract-review">74</end>
      <status xmlns="http://schemas.wps.cn/vas-ai-hub/contract-review">modified</status>
      <modifiedWord xmlns="http://schemas.wps.cn/vas-ai-hub/contract-review">验证</modifiedWord>
      <trackRevisions xmlns="http://schemas.wps.cn/vas-ai-hub/contract-review">true</trackRevisions>
    </reviewItem>
    <reviewItem xmlns="http://schemas.wps.cn/vas-ai-hub/contract-review">
      <errorID xmlns="http://schemas.wps.cn/vas-ai-hub/contract-review">ace9f438-e61f-48ef-8723-fcb5a9a55f75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51416E10</paraID>
      <start xmlns="http://schemas.wps.cn/vas-ai-hub/contract-review">214</start>
      <end xmlns="http://schemas.wps.cn/vas-ai-hub/contract-review">216</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7f49c881-7f6d-4b32-9b1c-753b559417f6</errorID>
      <errorWord xmlns="http://schemas.wps.cn/vas-ai-hub/contract-review">烧心</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胃灼热</item>
      </candidateList>
      <explain xmlns="http://schemas.wps.cn/vas-ai-hub/contract-review">医学名词[烧心]为不规范表述或旧称，其规范书面表述为[胃灼热]。</explain>
      <paraID xmlns="http://schemas.wps.cn/vas-ai-hub/contract-review">3E499AC2</paraID>
      <start xmlns="http://schemas.wps.cn/vas-ai-hub/contract-review">12</start>
      <end xmlns="http://schemas.wps.cn/vas-ai-hub/contract-review">14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7545e84d-1799-4610-bd7d-15f84a5a19dd</errorID>
      <errorWord xmlns="http://schemas.wps.cn/vas-ai-hub/contract-review">烧心</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胃灼热</item>
      </candidateList>
      <explain xmlns="http://schemas.wps.cn/vas-ai-hub/contract-review">医学名词[烧心]为不规范表述或旧称，其规范书面表述为[胃灼热]。</explain>
      <paraID xmlns="http://schemas.wps.cn/vas-ai-hub/contract-review">1C43EAD1</paraID>
      <start xmlns="http://schemas.wps.cn/vas-ai-hub/contract-review">3</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6ce2534d-40ad-409b-b1b3-eb8cffa4c6af</errorID>
      <errorWord xmlns="http://schemas.wps.cn/vas-ai-hub/contract-review">烧心</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胃灼热</item>
      </candidateList>
      <explain xmlns="http://schemas.wps.cn/vas-ai-hub/contract-review">医学名词[烧心]为不规范表述或旧称，其规范书面表述为[胃灼热]。</explain>
      <paraID xmlns="http://schemas.wps.cn/vas-ai-hub/contract-review">6E00EB2F</paraID>
      <start xmlns="http://schemas.wps.cn/vas-ai-hub/contract-review">8</start>
      <end xmlns="http://schemas.wps.cn/vas-ai-hub/contract-review">10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35df85d7-ffc7-4adb-a73a-2aa5ff073c35</errorID>
      <errorWord xmlns="http://schemas.wps.cn/vas-ai-hub/contract-review">烧心</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胃灼热</item>
      </candidateList>
      <explain xmlns="http://schemas.wps.cn/vas-ai-hub/contract-review">医学名词[烧心]为不规范表述或旧称，其规范书面表述为[胃灼热]。</explain>
      <paraID xmlns="http://schemas.wps.cn/vas-ai-hub/contract-review">344B4D0E</paraID>
      <start xmlns="http://schemas.wps.cn/vas-ai-hub/contract-review">8</start>
      <end xmlns="http://schemas.wps.cn/vas-ai-hub/contract-review">10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90b8b9f3-8ba0-456a-b75c-3e038d626232</errorID>
      <errorWord xmlns="http://schemas.wps.cn/vas-ai-hub/contract-review">烧心</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胃灼热</item>
      </candidateList>
      <explain xmlns="http://schemas.wps.cn/vas-ai-hub/contract-review">医学名词[烧心]为不规范表述或旧称，其规范书面表述为[胃灼热]。</explain>
      <paraID xmlns="http://schemas.wps.cn/vas-ai-hub/contract-review">47D7E9FA</paraID>
      <start xmlns="http://schemas.wps.cn/vas-ai-hub/contract-review">8</start>
      <end xmlns="http://schemas.wps.cn/vas-ai-hub/contract-review">10</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B941E8-B570-4D5B-8E12-E6AFD8D43E75}">
  <ds:schemaRefs/>
</ds:datastoreItem>
</file>

<file path=customXml/itemProps3.xml><?xml version="1.0" encoding="utf-8"?>
<ds:datastoreItem xmlns:ds="http://schemas.openxmlformats.org/officeDocument/2006/customXml" ds:itemID="{2aa53382-52f1-4307-b381-d6fcc8477f1d}">
  <ds:schemaRefs/>
</ds:datastoreItem>
</file>

<file path=docProps/app.xml><?xml version="1.0" encoding="utf-8"?>
<Properties xmlns="http://schemas.openxmlformats.org/officeDocument/2006/extended-properties" xmlns:vt="http://schemas.openxmlformats.org/officeDocument/2006/docPropsVTypes">
  <Template>Normal</Template>
  <Company>byszc</Company>
  <Pages>9</Pages>
  <Words>1446</Words>
  <Characters>1625</Characters>
  <Lines>46</Lines>
  <Paragraphs>13</Paragraphs>
  <TotalTime>14</TotalTime>
  <ScaleCrop>false</ScaleCrop>
  <LinksUpToDate>false</LinksUpToDate>
  <CharactersWithSpaces>1717</CharactersWithSpaces>
  <Application>WPS Office_12.1.2.28080_F1E327BC-269C-435d-A152-05C5408002CA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2026-09-03T14:59:00Z</dcterms:created>
  <dc:creator>fengxue</dc:creator>
  <dc:description>NE.Bib</dc:description>
  <cp:lastModifiedBy>秦义</cp:lastModifiedBy>
  <cp:lastPrinted>2023-10-16T13:15:00Z</cp:lastPrinted>
  <dcterms:modified xsi:type="dcterms:W3CDTF">2026-09-04T14:27:22Z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2052-12.1.2.28080</vt:lpwstr>
  </property>
  <property fmtid="{D5CDD505-2E9C-101B-9397-08002B2CF9AE}" pid="3" name="ICV">
    <vt:lpwstr>4E44EC999D2B428FA21E2526AF42DB18_13</vt:lpwstr>
  </property>
  <property fmtid="{D5CDD505-2E9C-101B-9397-08002B2CF9AE}" pid="4" name="KSOTemplateDocerSaveRecord">
    <vt:lpwstr>eyJoZGlkIjoiZjk3NDY5MWMxYjI4NTFhMGRhZTRkMDUwM2Q4NTA2ZjYiLCJ1c2VySWQiOiIzNTQxMTYxNzQifQ==</vt:lpwstr>
  </property>
</Properties>
</file>