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9640" w:type="dxa"/>
        <w:tblInd w:w="-652" w:type="dxa"/>
        <w:tblLayout w:type="fixed"/>
        <w:tblCellMar>
          <w:top w:w="0" w:type="dxa"/>
          <w:left w:w="0" w:type="dxa"/>
          <w:bottom w:w="0" w:type="dxa"/>
          <w:right w:w="0" w:type="dxa"/>
        </w:tblCellMar>
      </w:tblPr>
      <w:tblGrid>
        <w:gridCol w:w="454"/>
        <w:gridCol w:w="283"/>
        <w:gridCol w:w="2042"/>
        <w:gridCol w:w="453"/>
        <w:gridCol w:w="1134"/>
        <w:gridCol w:w="5124"/>
        <w:gridCol w:w="150"/>
      </w:tblGrid>
      <w:tr w14:paraId="3D1CF8A7">
        <w:tblPrEx>
          <w:tblCellMar>
            <w:top w:w="0" w:type="dxa"/>
            <w:left w:w="0" w:type="dxa"/>
            <w:bottom w:w="0" w:type="dxa"/>
            <w:right w:w="0" w:type="dxa"/>
          </w:tblCellMar>
        </w:tblPrEx>
        <w:trPr>
          <w:gridAfter w:val="4"/>
          <w:wAfter w:w="6861" w:type="dxa"/>
          <w:trHeight w:val="312" w:hRule="exact"/>
        </w:trPr>
        <w:tc>
          <w:tcPr>
            <w:tcW w:w="454" w:type="dxa"/>
            <w:vAlign w:val="center"/>
          </w:tcPr>
          <w:p w14:paraId="1297A733">
            <w:pPr>
              <w:pStyle w:val="40"/>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ascii="Times New Roman" w:hAnsi="Times New Roman"/>
              </w:rPr>
            </w:pPr>
            <w:bookmarkStart w:id="0" w:name="_Toc184378339"/>
            <w:bookmarkStart w:id="1" w:name="_Toc184378411"/>
            <w:bookmarkStart w:id="2" w:name="_Toc167804982"/>
            <w:bookmarkStart w:id="3" w:name="_Toc184384510"/>
            <w:bookmarkStart w:id="4" w:name="_Toc184375990"/>
            <w:bookmarkStart w:id="5" w:name="_Toc167804439"/>
            <w:r>
              <w:rPr>
                <w:rFonts w:ascii="Times New Roman" w:hAnsi="Times New Roman"/>
              </w:rPr>
              <w:t>ICS</w:t>
            </w:r>
            <w:bookmarkEnd w:id="0"/>
            <w:bookmarkEnd w:id="1"/>
            <w:bookmarkEnd w:id="2"/>
            <w:bookmarkEnd w:id="3"/>
            <w:bookmarkEnd w:id="4"/>
            <w:bookmarkEnd w:id="5"/>
          </w:p>
        </w:tc>
        <w:tc>
          <w:tcPr>
            <w:tcW w:w="2325" w:type="dxa"/>
            <w:gridSpan w:val="2"/>
            <w:vAlign w:val="center"/>
          </w:tcPr>
          <w:p w14:paraId="5EF61716">
            <w:pPr>
              <w:spacing w:line="360" w:lineRule="exact"/>
              <w:ind w:firstLine="480"/>
              <w:jc w:val="left"/>
              <w:textAlignment w:val="center"/>
              <w:rPr>
                <w:rFonts w:ascii="Times New Roman" w:hAnsi="Times New Roman" w:eastAsia="黑体" w:cs="Times New Roman"/>
                <w:kern w:val="0"/>
                <w:szCs w:val="20"/>
              </w:rPr>
            </w:pPr>
            <w:r>
              <w:rPr>
                <w:rFonts w:hint="eastAsia" w:ascii="Times New Roman" w:hAnsi="Times New Roman" w:eastAsia="黑体" w:cs="Times New Roman"/>
                <w:color w:val="558ED5" w:themeColor="text2" w:themeTint="99"/>
                <w:spacing w:val="10"/>
                <w:szCs w:val="20"/>
                <w14:textFill>
                  <w14:solidFill>
                    <w14:schemeClr w14:val="tx2">
                      <w14:lumMod w14:val="60000"/>
                      <w14:lumOff w14:val="40000"/>
                    </w14:schemeClr>
                  </w14:solidFill>
                </w14:textFill>
              </w:rPr>
              <w:drawing>
                <wp:anchor distT="0" distB="0" distL="114300" distR="114300" simplePos="0" relativeHeight="251660288" behindDoc="0" locked="0" layoutInCell="1" allowOverlap="1">
                  <wp:simplePos x="0" y="0"/>
                  <wp:positionH relativeFrom="column">
                    <wp:posOffset>4218305</wp:posOffset>
                  </wp:positionH>
                  <wp:positionV relativeFrom="paragraph">
                    <wp:posOffset>22860</wp:posOffset>
                  </wp:positionV>
                  <wp:extent cx="1242695" cy="1223645"/>
                  <wp:effectExtent l="19050" t="0" r="0" b="0"/>
                  <wp:wrapNone/>
                  <wp:docPr id="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9"/>
                          <pic:cNvPicPr>
                            <a:picLocks noChangeAspect="1" noChangeArrowheads="1"/>
                          </pic:cNvPicPr>
                        </pic:nvPicPr>
                        <pic:blipFill>
                          <a:blip r:embed="rId14" cstate="print"/>
                          <a:srcRect/>
                          <a:stretch>
                            <a:fillRect/>
                          </a:stretch>
                        </pic:blipFill>
                        <pic:spPr>
                          <a:xfrm>
                            <a:off x="0" y="0"/>
                            <a:ext cx="1242695" cy="1223645"/>
                          </a:xfrm>
                          <a:prstGeom prst="rect">
                            <a:avLst/>
                          </a:prstGeom>
                          <a:noFill/>
                          <a:ln w="9525">
                            <a:noFill/>
                            <a:miter lim="800000"/>
                            <a:headEnd/>
                            <a:tailEnd/>
                          </a:ln>
                        </pic:spPr>
                      </pic:pic>
                    </a:graphicData>
                  </a:graphic>
                </wp:anchor>
              </w:drawing>
            </w:r>
            <w:r>
              <w:rPr>
                <w:rFonts w:hint="eastAsia" w:ascii="Times New Roman" w:hAnsi="Times New Roman" w:eastAsia="黑体" w:cs="Times New Roman"/>
                <w:color w:val="558ED5" w:themeColor="text2" w:themeTint="99"/>
                <w:spacing w:val="10"/>
                <w:szCs w:val="20"/>
                <w14:textFill>
                  <w14:solidFill>
                    <w14:schemeClr w14:val="tx2">
                      <w14:lumMod w14:val="60000"/>
                      <w14:lumOff w14:val="40000"/>
                    </w14:schemeClr>
                  </w14:solidFill>
                </w14:textFill>
              </w:rPr>
              <w:t>**.***.**</w:t>
            </w:r>
          </w:p>
          <w:p w14:paraId="21E08362">
            <w:pPr>
              <w:spacing w:line="360" w:lineRule="exact"/>
              <w:ind w:firstLine="480"/>
              <w:rPr>
                <w:rFonts w:ascii="Times New Roman" w:hAnsi="Times New Roman" w:eastAsia="黑体" w:cs="Times New Roman"/>
                <w:szCs w:val="20"/>
              </w:rPr>
            </w:pPr>
          </w:p>
        </w:tc>
      </w:tr>
      <w:tr w14:paraId="7AEFCA23">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1B7C0566">
            <w:pPr>
              <w:spacing w:line="360" w:lineRule="exact"/>
              <w:ind w:right="-170" w:firstLine="489"/>
              <w:rPr>
                <w:rFonts w:ascii="Times New Roman" w:hAnsi="Times New Roman" w:eastAsia="黑体" w:cs="Times New Roman"/>
                <w:szCs w:val="20"/>
              </w:rPr>
            </w:pPr>
            <w:r>
              <w:rPr>
                <w:rFonts w:ascii="Times New Roman" w:hAnsi="Times New Roman" w:eastAsia="黑体" w:cs="Times New Roman"/>
                <w:b/>
                <w:szCs w:val="20"/>
              </w:rPr>
              <w:t>C</w:t>
            </w:r>
            <w:r>
              <w:rPr>
                <w:rFonts w:hint="eastAsia" w:ascii="Times New Roman" w:hAnsi="Times New Roman" w:eastAsia="黑体" w:cs="Times New Roman"/>
                <w:color w:val="558ED5" w:themeColor="text2" w:themeTint="99"/>
                <w:spacing w:val="10"/>
                <w:szCs w:val="20"/>
                <w14:textFill>
                  <w14:solidFill>
                    <w14:schemeClr w14:val="tx2">
                      <w14:lumMod w14:val="60000"/>
                      <w14:lumOff w14:val="40000"/>
                    </w14:schemeClr>
                  </w14:solidFill>
                </w14:textFill>
              </w:rPr>
              <w:t>**</w:t>
            </w:r>
          </w:p>
        </w:tc>
        <w:tc>
          <w:tcPr>
            <w:tcW w:w="2042" w:type="dxa"/>
            <w:vAlign w:val="center"/>
          </w:tcPr>
          <w:p w14:paraId="7FE7CEA7">
            <w:pPr>
              <w:spacing w:line="360" w:lineRule="exact"/>
              <w:ind w:firstLine="480"/>
              <w:rPr>
                <w:rFonts w:ascii="Times New Roman" w:hAnsi="Times New Roman" w:eastAsia="黑体" w:cs="Times New Roman"/>
                <w:szCs w:val="20"/>
              </w:rPr>
            </w:pPr>
          </w:p>
        </w:tc>
      </w:tr>
      <w:tr w14:paraId="56FABB06">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5C2A8917">
            <w:pPr>
              <w:spacing w:line="360" w:lineRule="exact"/>
              <w:ind w:right="-170" w:firstLine="480"/>
              <w:rPr>
                <w:rFonts w:ascii="Times New Roman" w:hAnsi="Times New Roman" w:eastAsia="黑体" w:cs="Times New Roman"/>
                <w:szCs w:val="20"/>
              </w:rPr>
            </w:pPr>
          </w:p>
        </w:tc>
        <w:tc>
          <w:tcPr>
            <w:tcW w:w="2042" w:type="dxa"/>
            <w:vAlign w:val="center"/>
          </w:tcPr>
          <w:p w14:paraId="66DA123E">
            <w:pPr>
              <w:spacing w:line="360" w:lineRule="exact"/>
              <w:ind w:left="57" w:firstLine="480"/>
              <w:rPr>
                <w:rFonts w:ascii="Times New Roman" w:hAnsi="Times New Roman" w:eastAsia="黑体" w:cs="Times New Roman"/>
                <w:szCs w:val="20"/>
              </w:rPr>
            </w:pPr>
          </w:p>
        </w:tc>
      </w:tr>
      <w:tr w14:paraId="21533DD6">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6BE5C199">
            <w:pPr>
              <w:spacing w:line="360" w:lineRule="exact"/>
              <w:ind w:right="-170" w:firstLine="480"/>
              <w:rPr>
                <w:rFonts w:ascii="Times New Roman" w:hAnsi="Times New Roman" w:eastAsia="黑体" w:cs="Times New Roman"/>
                <w:i/>
                <w:szCs w:val="20"/>
              </w:rPr>
            </w:pPr>
          </w:p>
        </w:tc>
        <w:tc>
          <w:tcPr>
            <w:tcW w:w="2042" w:type="dxa"/>
            <w:vAlign w:val="center"/>
          </w:tcPr>
          <w:p w14:paraId="6841046A">
            <w:pPr>
              <w:spacing w:line="360" w:lineRule="exact"/>
              <w:ind w:left="57" w:firstLine="480"/>
              <w:rPr>
                <w:rFonts w:ascii="Times New Roman" w:hAnsi="Times New Roman" w:eastAsia="黑体" w:cs="Times New Roman"/>
                <w:i/>
                <w:szCs w:val="20"/>
              </w:rPr>
            </w:pPr>
          </w:p>
        </w:tc>
      </w:tr>
      <w:tr w14:paraId="43C0AC12">
        <w:tblPrEx>
          <w:tblCellMar>
            <w:top w:w="0" w:type="dxa"/>
            <w:left w:w="0" w:type="dxa"/>
            <w:bottom w:w="0" w:type="dxa"/>
            <w:right w:w="0" w:type="dxa"/>
          </w:tblCellMar>
        </w:tblPrEx>
        <w:trPr>
          <w:trHeight w:val="368" w:hRule="exact"/>
        </w:trPr>
        <w:tc>
          <w:tcPr>
            <w:tcW w:w="9640" w:type="dxa"/>
            <w:gridSpan w:val="7"/>
          </w:tcPr>
          <w:p w14:paraId="117800BA">
            <w:pPr>
              <w:spacing w:before="120" w:after="120" w:line="360" w:lineRule="exact"/>
              <w:ind w:firstLine="480"/>
              <w:rPr>
                <w:rFonts w:ascii="Times New Roman" w:hAnsi="Times New Roman" w:eastAsia="宋体" w:cs="Times New Roman"/>
                <w:szCs w:val="20"/>
              </w:rPr>
            </w:pPr>
          </w:p>
        </w:tc>
      </w:tr>
      <w:tr w14:paraId="066A04C8">
        <w:tblPrEx>
          <w:tblCellMar>
            <w:top w:w="0" w:type="dxa"/>
            <w:left w:w="0" w:type="dxa"/>
            <w:bottom w:w="0" w:type="dxa"/>
            <w:right w:w="0" w:type="dxa"/>
          </w:tblCellMar>
        </w:tblPrEx>
        <w:trPr>
          <w:trHeight w:val="120" w:hRule="exact"/>
        </w:trPr>
        <w:tc>
          <w:tcPr>
            <w:tcW w:w="9640" w:type="dxa"/>
            <w:gridSpan w:val="7"/>
          </w:tcPr>
          <w:p w14:paraId="519619D6">
            <w:pPr>
              <w:spacing w:before="120" w:after="120" w:line="360" w:lineRule="exact"/>
              <w:ind w:firstLine="480"/>
              <w:rPr>
                <w:rFonts w:ascii="Times New Roman" w:hAnsi="Times New Roman" w:eastAsia="宋体" w:cs="Times New Roman"/>
                <w:szCs w:val="20"/>
              </w:rPr>
            </w:pPr>
          </w:p>
        </w:tc>
      </w:tr>
      <w:tr w14:paraId="190F2CBE">
        <w:tblPrEx>
          <w:tblCellMar>
            <w:top w:w="0" w:type="dxa"/>
            <w:left w:w="0" w:type="dxa"/>
            <w:bottom w:w="0" w:type="dxa"/>
            <w:right w:w="0" w:type="dxa"/>
          </w:tblCellMar>
        </w:tblPrEx>
        <w:trPr>
          <w:trHeight w:val="90" w:hRule="exact"/>
        </w:trPr>
        <w:tc>
          <w:tcPr>
            <w:tcW w:w="9640" w:type="dxa"/>
            <w:gridSpan w:val="7"/>
          </w:tcPr>
          <w:p w14:paraId="2C461E8F">
            <w:pPr>
              <w:spacing w:before="120" w:after="120" w:line="360" w:lineRule="exact"/>
              <w:ind w:firstLine="480"/>
              <w:rPr>
                <w:rFonts w:ascii="Times New Roman" w:hAnsi="Times New Roman" w:eastAsia="宋体" w:cs="Times New Roman"/>
                <w:szCs w:val="20"/>
              </w:rPr>
            </w:pPr>
          </w:p>
        </w:tc>
      </w:tr>
      <w:tr w14:paraId="36908DC8">
        <w:tblPrEx>
          <w:tblCellMar>
            <w:top w:w="0" w:type="dxa"/>
            <w:left w:w="0" w:type="dxa"/>
            <w:bottom w:w="0" w:type="dxa"/>
            <w:right w:w="0" w:type="dxa"/>
          </w:tblCellMar>
        </w:tblPrEx>
        <w:trPr>
          <w:trHeight w:val="722" w:hRule="exact"/>
        </w:trPr>
        <w:tc>
          <w:tcPr>
            <w:tcW w:w="9640" w:type="dxa"/>
            <w:gridSpan w:val="7"/>
            <w:vAlign w:val="center"/>
          </w:tcPr>
          <w:p w14:paraId="763431DD">
            <w:pPr>
              <w:spacing w:after="240" w:line="560" w:lineRule="exact"/>
              <w:ind w:left="0" w:leftChars="0" w:right="28" w:firstLine="0" w:firstLineChars="0"/>
              <w:jc w:val="center"/>
              <w:rPr>
                <w:rFonts w:ascii="Times New Roman" w:hAnsi="Times New Roman" w:eastAsia="黑体" w:cs="Times New Roman"/>
                <w:w w:val="140"/>
                <w:sz w:val="52"/>
                <w:szCs w:val="20"/>
              </w:rPr>
            </w:pPr>
            <w:r>
              <w:rPr>
                <w:rFonts w:hint="eastAsia" w:ascii="Times New Roman" w:hAnsi="Times New Roman" w:eastAsia="黑体" w:cs="Times New Roman"/>
                <w:w w:val="140"/>
                <w:sz w:val="52"/>
                <w:szCs w:val="20"/>
              </w:rPr>
              <w:t>团体标准</w:t>
            </w:r>
          </w:p>
          <w:p w14:paraId="4B69D801">
            <w:pPr>
              <w:spacing w:line="360" w:lineRule="exact"/>
              <w:ind w:firstLine="1454"/>
              <w:rPr>
                <w:rFonts w:ascii="Times New Roman" w:hAnsi="Times New Roman" w:eastAsia="宋体" w:cs="Times New Roman"/>
                <w:w w:val="140"/>
                <w:sz w:val="52"/>
                <w:szCs w:val="20"/>
              </w:rPr>
            </w:pPr>
          </w:p>
        </w:tc>
      </w:tr>
      <w:tr w14:paraId="7D9E6F02">
        <w:tblPrEx>
          <w:tblCellMar>
            <w:top w:w="0" w:type="dxa"/>
            <w:left w:w="0" w:type="dxa"/>
            <w:bottom w:w="0" w:type="dxa"/>
            <w:right w:w="0" w:type="dxa"/>
          </w:tblCellMar>
        </w:tblPrEx>
        <w:trPr>
          <w:trHeight w:val="1108" w:hRule="exact"/>
        </w:trPr>
        <w:tc>
          <w:tcPr>
            <w:tcW w:w="9640" w:type="dxa"/>
            <w:gridSpan w:val="7"/>
          </w:tcPr>
          <w:p w14:paraId="629C0F51">
            <w:pPr>
              <w:widowControl/>
              <w:spacing w:before="357" w:line="360" w:lineRule="exact"/>
              <w:ind w:firstLine="560"/>
              <w:jc w:val="right"/>
              <w:rPr>
                <w:rFonts w:ascii="Times New Roman" w:hAnsi="Times New Roman" w:eastAsia="黑体" w:cs="Times New Roman"/>
                <w:kern w:val="0"/>
                <w:sz w:val="28"/>
                <w:szCs w:val="28"/>
              </w:rPr>
            </w:pPr>
            <w:r>
              <w:rPr>
                <w:rFonts w:ascii="Times New Roman" w:hAnsi="Times New Roman" w:eastAsia="黑体" w:cs="Times New Roman"/>
                <w:kern w:val="0"/>
                <w:sz w:val="28"/>
                <w:szCs w:val="28"/>
              </w:rPr>
              <w:t xml:space="preserve">T/CACM </w:t>
            </w:r>
            <w:r>
              <w:rPr>
                <w:rFonts w:hint="eastAsia" w:ascii="Times New Roman" w:hAnsi="Times New Roman" w:eastAsia="黑体" w:cs="Times New Roman"/>
                <w:kern w:val="0"/>
                <w:sz w:val="28"/>
                <w:szCs w:val="28"/>
              </w:rPr>
              <w:t>****</w:t>
            </w:r>
            <w:r>
              <w:rPr>
                <w:rFonts w:ascii="Times New Roman" w:hAnsi="Times New Roman" w:eastAsia="黑体" w:cs="Times New Roman"/>
                <w:kern w:val="0"/>
                <w:sz w:val="28"/>
                <w:szCs w:val="28"/>
              </w:rPr>
              <w:t>—202*</w:t>
            </w:r>
          </w:p>
          <w:p w14:paraId="18047237">
            <w:pPr>
              <w:spacing w:line="360" w:lineRule="exact"/>
              <w:ind w:firstLine="1060"/>
              <w:jc w:val="center"/>
              <w:rPr>
                <w:rFonts w:ascii="Times New Roman" w:hAnsi="Times New Roman" w:eastAsia="黑体" w:cs="Times New Roman"/>
                <w:b/>
                <w:sz w:val="52"/>
                <w:szCs w:val="20"/>
              </w:rPr>
            </w:pPr>
          </w:p>
        </w:tc>
      </w:tr>
      <w:tr w14:paraId="2635131B">
        <w:tblPrEx>
          <w:tblCellMar>
            <w:top w:w="0" w:type="dxa"/>
            <w:left w:w="0" w:type="dxa"/>
            <w:bottom w:w="0" w:type="dxa"/>
            <w:right w:w="0" w:type="dxa"/>
          </w:tblCellMar>
        </w:tblPrEx>
        <w:trPr>
          <w:cantSplit/>
          <w:trHeight w:val="60" w:hRule="exact"/>
        </w:trPr>
        <w:tc>
          <w:tcPr>
            <w:tcW w:w="3232" w:type="dxa"/>
            <w:gridSpan w:val="4"/>
            <w:vAlign w:val="center"/>
          </w:tcPr>
          <w:p w14:paraId="4215A76C">
            <w:pPr>
              <w:spacing w:line="360" w:lineRule="exact"/>
              <w:ind w:firstLine="480"/>
              <w:rPr>
                <w:rFonts w:ascii="Times New Roman" w:hAnsi="Times New Roman" w:eastAsia="宋体" w:cs="Times New Roman"/>
                <w:szCs w:val="20"/>
              </w:rPr>
            </w:pPr>
          </w:p>
        </w:tc>
        <w:tc>
          <w:tcPr>
            <w:tcW w:w="1134" w:type="dxa"/>
            <w:vAlign w:val="center"/>
          </w:tcPr>
          <w:p w14:paraId="53C4B246">
            <w:pPr>
              <w:spacing w:line="360" w:lineRule="exact"/>
              <w:ind w:firstLine="480"/>
              <w:jc w:val="right"/>
              <w:rPr>
                <w:rFonts w:ascii="Times New Roman" w:hAnsi="Times New Roman" w:eastAsia="宋体" w:cs="Times New Roman"/>
                <w:szCs w:val="20"/>
              </w:rPr>
            </w:pPr>
          </w:p>
        </w:tc>
        <w:tc>
          <w:tcPr>
            <w:tcW w:w="5124" w:type="dxa"/>
            <w:vAlign w:val="center"/>
          </w:tcPr>
          <w:p w14:paraId="3BF811AE">
            <w:pPr>
              <w:wordWrap w:val="0"/>
              <w:spacing w:line="360" w:lineRule="exact"/>
              <w:ind w:firstLine="480"/>
              <w:jc w:val="right"/>
              <w:rPr>
                <w:rFonts w:ascii="Times New Roman" w:hAnsi="Times New Roman" w:eastAsia="宋体" w:cs="Times New Roman"/>
                <w:szCs w:val="20"/>
              </w:rPr>
            </w:pPr>
          </w:p>
        </w:tc>
        <w:tc>
          <w:tcPr>
            <w:tcW w:w="150" w:type="dxa"/>
            <w:vAlign w:val="center"/>
          </w:tcPr>
          <w:p w14:paraId="36CB096B">
            <w:pPr>
              <w:spacing w:line="360" w:lineRule="exact"/>
              <w:ind w:firstLine="480"/>
              <w:rPr>
                <w:rFonts w:ascii="Times New Roman" w:hAnsi="Times New Roman" w:eastAsia="宋体" w:cs="Times New Roman"/>
                <w:szCs w:val="20"/>
              </w:rPr>
            </w:pPr>
          </w:p>
        </w:tc>
      </w:tr>
      <w:tr w14:paraId="3395813A">
        <w:tblPrEx>
          <w:tblCellMar>
            <w:top w:w="0" w:type="dxa"/>
            <w:left w:w="0" w:type="dxa"/>
            <w:bottom w:w="0" w:type="dxa"/>
            <w:right w:w="0" w:type="dxa"/>
          </w:tblCellMar>
        </w:tblPrEx>
        <w:trPr>
          <w:cantSplit/>
          <w:trHeight w:val="80" w:hRule="exact"/>
        </w:trPr>
        <w:tc>
          <w:tcPr>
            <w:tcW w:w="3232" w:type="dxa"/>
            <w:gridSpan w:val="4"/>
            <w:vAlign w:val="center"/>
          </w:tcPr>
          <w:p w14:paraId="5D2AC65A">
            <w:pPr>
              <w:spacing w:line="360" w:lineRule="exact"/>
              <w:ind w:firstLine="480"/>
              <w:rPr>
                <w:rFonts w:ascii="Times New Roman" w:hAnsi="Times New Roman" w:eastAsia="宋体" w:cs="Times New Roman"/>
                <w:szCs w:val="20"/>
              </w:rPr>
            </w:pPr>
          </w:p>
        </w:tc>
        <w:tc>
          <w:tcPr>
            <w:tcW w:w="1134" w:type="dxa"/>
            <w:vAlign w:val="center"/>
          </w:tcPr>
          <w:p w14:paraId="4D0858D7">
            <w:pPr>
              <w:spacing w:line="360" w:lineRule="exact"/>
              <w:ind w:firstLine="480"/>
              <w:jc w:val="right"/>
              <w:rPr>
                <w:rFonts w:ascii="Times New Roman" w:hAnsi="Times New Roman" w:eastAsia="宋体" w:cs="Times New Roman"/>
                <w:szCs w:val="20"/>
              </w:rPr>
            </w:pPr>
          </w:p>
        </w:tc>
        <w:tc>
          <w:tcPr>
            <w:tcW w:w="5124" w:type="dxa"/>
            <w:vAlign w:val="center"/>
          </w:tcPr>
          <w:p w14:paraId="54450A65">
            <w:pPr>
              <w:wordWrap w:val="0"/>
              <w:spacing w:line="360" w:lineRule="exact"/>
              <w:ind w:firstLine="480"/>
              <w:jc w:val="right"/>
              <w:rPr>
                <w:rFonts w:ascii="Times New Roman" w:hAnsi="Times New Roman" w:eastAsia="宋体" w:cs="Times New Roman"/>
                <w:szCs w:val="20"/>
              </w:rPr>
            </w:pPr>
          </w:p>
        </w:tc>
        <w:tc>
          <w:tcPr>
            <w:tcW w:w="150" w:type="dxa"/>
            <w:vAlign w:val="center"/>
          </w:tcPr>
          <w:p w14:paraId="77AC99CF">
            <w:pPr>
              <w:spacing w:line="360" w:lineRule="exact"/>
              <w:ind w:firstLine="480"/>
              <w:rPr>
                <w:rFonts w:ascii="Times New Roman" w:hAnsi="Times New Roman" w:eastAsia="宋体" w:cs="Times New Roman"/>
                <w:szCs w:val="20"/>
              </w:rPr>
            </w:pPr>
          </w:p>
        </w:tc>
      </w:tr>
      <w:tr w14:paraId="42B9B75A">
        <w:tblPrEx>
          <w:tblCellMar>
            <w:top w:w="0" w:type="dxa"/>
            <w:left w:w="0" w:type="dxa"/>
            <w:bottom w:w="0" w:type="dxa"/>
            <w:right w:w="0" w:type="dxa"/>
          </w:tblCellMar>
        </w:tblPrEx>
        <w:trPr>
          <w:trHeight w:val="340" w:hRule="exact"/>
        </w:trPr>
        <w:tc>
          <w:tcPr>
            <w:tcW w:w="9640" w:type="dxa"/>
            <w:gridSpan w:val="7"/>
            <w:tcBorders>
              <w:bottom w:val="single" w:color="auto" w:sz="8" w:space="0"/>
            </w:tcBorders>
          </w:tcPr>
          <w:p w14:paraId="098B5E9F">
            <w:pPr>
              <w:spacing w:line="360" w:lineRule="exact"/>
              <w:ind w:firstLine="1060"/>
              <w:rPr>
                <w:rFonts w:ascii="Times New Roman" w:hAnsi="Times New Roman" w:eastAsia="黑体" w:cs="Times New Roman"/>
                <w:b/>
                <w:sz w:val="52"/>
                <w:szCs w:val="20"/>
              </w:rPr>
            </w:pPr>
          </w:p>
        </w:tc>
      </w:tr>
      <w:tr w14:paraId="67287201">
        <w:tblPrEx>
          <w:tblCellMar>
            <w:top w:w="0" w:type="dxa"/>
            <w:left w:w="0" w:type="dxa"/>
            <w:bottom w:w="0" w:type="dxa"/>
            <w:right w:w="0" w:type="dxa"/>
          </w:tblCellMar>
        </w:tblPrEx>
        <w:trPr>
          <w:trHeight w:val="1938" w:hRule="exact"/>
        </w:trPr>
        <w:tc>
          <w:tcPr>
            <w:tcW w:w="9640" w:type="dxa"/>
            <w:gridSpan w:val="7"/>
            <w:tcBorders>
              <w:top w:val="single" w:color="auto" w:sz="8" w:space="0"/>
            </w:tcBorders>
            <w:vAlign w:val="center"/>
          </w:tcPr>
          <w:p w14:paraId="69BBDD5F">
            <w:pPr>
              <w:spacing w:line="360" w:lineRule="exact"/>
              <w:ind w:firstLine="1040"/>
              <w:jc w:val="center"/>
              <w:rPr>
                <w:rFonts w:ascii="Times New Roman" w:hAnsi="Times New Roman" w:eastAsia="黑体" w:cs="Times New Roman"/>
                <w:sz w:val="52"/>
                <w:szCs w:val="20"/>
              </w:rPr>
            </w:pPr>
            <w:bookmarkStart w:id="6" w:name="_Hlk92788563"/>
          </w:p>
        </w:tc>
      </w:tr>
      <w:bookmarkEnd w:id="6"/>
      <w:tr w14:paraId="1158D80F">
        <w:tblPrEx>
          <w:tblCellMar>
            <w:top w:w="0" w:type="dxa"/>
            <w:left w:w="0" w:type="dxa"/>
            <w:bottom w:w="0" w:type="dxa"/>
            <w:right w:w="0" w:type="dxa"/>
          </w:tblCellMar>
        </w:tblPrEx>
        <w:trPr>
          <w:trHeight w:val="886" w:hRule="exact"/>
        </w:trPr>
        <w:tc>
          <w:tcPr>
            <w:tcW w:w="9640" w:type="dxa"/>
            <w:gridSpan w:val="7"/>
            <w:vAlign w:val="center"/>
          </w:tcPr>
          <w:p w14:paraId="7396F806">
            <w:pPr>
              <w:spacing w:before="164" w:beforeLines="50" w:after="164" w:afterLines="50" w:line="360" w:lineRule="auto"/>
              <w:ind w:left="0" w:leftChars="0" w:firstLine="0" w:firstLineChars="0"/>
              <w:jc w:val="center"/>
              <w:textAlignment w:val="auto"/>
              <w:rPr>
                <w:rFonts w:ascii="Times New Roman" w:hAnsi="Times New Roman" w:eastAsia="黑体" w:cs="Times New Roman"/>
                <w:kern w:val="0"/>
                <w:sz w:val="48"/>
                <w:szCs w:val="48"/>
              </w:rPr>
            </w:pPr>
            <w:r>
              <w:rPr>
                <w:rFonts w:hint="eastAsia" w:ascii="Times New Roman" w:hAnsi="Times New Roman" w:eastAsia="黑体" w:cs="Times New Roman"/>
                <w:sz w:val="48"/>
                <w:szCs w:val="48"/>
              </w:rPr>
              <w:t xml:space="preserve">  肝经火旺证诊断与疗效评价规范</w:t>
            </w:r>
          </w:p>
          <w:p w14:paraId="68DD6AD8">
            <w:pPr>
              <w:spacing w:line="360" w:lineRule="exact"/>
              <w:ind w:firstLine="1016"/>
              <w:jc w:val="center"/>
              <w:rPr>
                <w:rFonts w:ascii="Times New Roman" w:hAnsi="Times New Roman" w:eastAsia="黑体" w:cs="Times New Roman"/>
                <w:spacing w:val="-6"/>
                <w:sz w:val="52"/>
                <w:szCs w:val="52"/>
              </w:rPr>
            </w:pPr>
          </w:p>
        </w:tc>
      </w:tr>
      <w:tr w14:paraId="13166748">
        <w:tblPrEx>
          <w:tblCellMar>
            <w:top w:w="0" w:type="dxa"/>
            <w:left w:w="0" w:type="dxa"/>
            <w:bottom w:w="0" w:type="dxa"/>
            <w:right w:w="0" w:type="dxa"/>
          </w:tblCellMar>
        </w:tblPrEx>
        <w:trPr>
          <w:trHeight w:val="1279" w:hRule="exact"/>
        </w:trPr>
        <w:tc>
          <w:tcPr>
            <w:tcW w:w="9640" w:type="dxa"/>
            <w:gridSpan w:val="7"/>
            <w:vAlign w:val="center"/>
          </w:tcPr>
          <w:p w14:paraId="1FEA523C">
            <w:pPr>
              <w:pStyle w:val="19"/>
              <w:spacing w:line="360" w:lineRule="auto"/>
              <w:ind w:firstLine="0" w:firstLineChars="0"/>
              <w:jc w:val="center"/>
              <w:rPr>
                <w:rFonts w:ascii="Times New Roman" w:hAnsi="Times New Roman"/>
                <w:sz w:val="28"/>
                <w:szCs w:val="28"/>
                <w:highlight w:val="none"/>
              </w:rPr>
            </w:pPr>
            <w:r>
              <w:rPr>
                <w:rFonts w:ascii="Times New Roman" w:hAnsi="Times New Roman" w:eastAsia="宋体" w:cs="宋体"/>
                <w:b w:val="0"/>
                <w:bCs w:val="0"/>
                <w:i w:val="0"/>
                <w:iCs w:val="0"/>
                <w:caps w:val="0"/>
                <w:color w:val="auto"/>
                <w:spacing w:val="0"/>
                <w:sz w:val="28"/>
                <w:szCs w:val="28"/>
                <w:highlight w:val="none"/>
                <w:shd w:val="clear" w:fill="auto"/>
              </w:rPr>
              <w:t>Specification</w:t>
            </w:r>
            <w:r>
              <w:rPr>
                <w:rFonts w:hint="default" w:ascii="Times New Roman" w:hAnsi="Times New Roman" w:cs="宋体"/>
                <w:sz w:val="28"/>
                <w:szCs w:val="28"/>
                <w:highlight w:val="none"/>
                <w:lang w:val="en-US" w:eastAsia="zh-CN"/>
              </w:rPr>
              <w:t xml:space="preserve"> for</w:t>
            </w:r>
            <w:r>
              <w:rPr>
                <w:rFonts w:hint="default" w:ascii="Times New Roman" w:hAnsi="Times New Roman" w:eastAsia="宋体" w:cs="宋体"/>
                <w:sz w:val="28"/>
                <w:szCs w:val="28"/>
                <w:highlight w:val="none"/>
                <w:lang w:val="en-US" w:eastAsia="zh-CN"/>
              </w:rPr>
              <w:t xml:space="preserve"> </w:t>
            </w:r>
            <w:r>
              <w:rPr>
                <w:rFonts w:ascii="Times New Roman" w:hAnsi="Times New Roman"/>
                <w:sz w:val="28"/>
                <w:szCs w:val="28"/>
                <w:highlight w:val="none"/>
              </w:rPr>
              <w:t>diagnosis and therapeutic effect evaluation of</w:t>
            </w:r>
            <w:r>
              <w:rPr>
                <w:rFonts w:hint="default" w:ascii="Times New Roman" w:hAnsi="Times New Roman"/>
                <w:sz w:val="28"/>
                <w:szCs w:val="28"/>
                <w:highlight w:val="none"/>
              </w:rPr>
              <w:t xml:space="preserve"> </w:t>
            </w:r>
            <w:r>
              <w:rPr>
                <w:rFonts w:hint="eastAsia" w:ascii="Times New Roman" w:hAnsi="Times New Roman"/>
                <w:sz w:val="28"/>
                <w:szCs w:val="28"/>
                <w:highlight w:val="none"/>
                <w:lang w:val="en-US" w:eastAsia="zh-CN"/>
              </w:rPr>
              <w:t xml:space="preserve">pattern of </w:t>
            </w:r>
            <w:r>
              <w:rPr>
                <w:rFonts w:hint="default" w:ascii="Times New Roman" w:hAnsi="Times New Roman"/>
                <w:sz w:val="28"/>
                <w:szCs w:val="28"/>
                <w:highlight w:val="none"/>
                <w:lang w:val="en-US" w:eastAsia="zh-CN"/>
              </w:rPr>
              <w:t>effulgent fire in the liver meridian</w:t>
            </w:r>
            <w:r>
              <w:rPr>
                <w:rFonts w:hint="default" w:ascii="Times New Roman" w:hAnsi="Times New Roman"/>
                <w:sz w:val="28"/>
                <w:szCs w:val="28"/>
                <w:highlight w:val="none"/>
              </w:rPr>
              <w:t xml:space="preserve"> </w:t>
            </w:r>
          </w:p>
          <w:p w14:paraId="0C9A3600">
            <w:pPr>
              <w:spacing w:line="360" w:lineRule="exact"/>
              <w:ind w:firstLine="0" w:firstLineChars="0"/>
              <w:jc w:val="both"/>
              <w:rPr>
                <w:rFonts w:ascii="Times New Roman" w:hAnsi="Times New Roman" w:cs="Times New Roman"/>
                <w:color w:val="000000"/>
                <w:sz w:val="28"/>
                <w:szCs w:val="28"/>
              </w:rPr>
            </w:pPr>
          </w:p>
        </w:tc>
      </w:tr>
      <w:tr w14:paraId="5291F5D8">
        <w:tblPrEx>
          <w:tblCellMar>
            <w:top w:w="0" w:type="dxa"/>
            <w:left w:w="0" w:type="dxa"/>
            <w:bottom w:w="0" w:type="dxa"/>
            <w:right w:w="0" w:type="dxa"/>
          </w:tblCellMar>
        </w:tblPrEx>
        <w:trPr>
          <w:trHeight w:val="454" w:hRule="exact"/>
        </w:trPr>
        <w:tc>
          <w:tcPr>
            <w:tcW w:w="9640" w:type="dxa"/>
            <w:gridSpan w:val="7"/>
            <w:vAlign w:val="center"/>
          </w:tcPr>
          <w:p w14:paraId="5D85015B">
            <w:pPr>
              <w:spacing w:line="360" w:lineRule="exact"/>
              <w:ind w:firstLine="440"/>
              <w:jc w:val="center"/>
              <w:rPr>
                <w:rFonts w:ascii="Times New Roman" w:hAnsi="Times New Roman" w:eastAsia="宋体" w:cs="Times New Roman"/>
                <w:b/>
                <w:sz w:val="28"/>
                <w:szCs w:val="28"/>
              </w:rPr>
            </w:pPr>
            <w:r>
              <w:rPr>
                <w:rFonts w:hint="eastAsia" w:ascii="Times New Roman" w:hAnsi="Times New Roman" w:cs="Times New Roman"/>
                <w:color w:val="000000"/>
                <w:sz w:val="22"/>
                <w:szCs w:val="28"/>
              </w:rPr>
              <w:t>（完成时间：2</w:t>
            </w:r>
            <w:r>
              <w:rPr>
                <w:rFonts w:ascii="Times New Roman" w:hAnsi="Times New Roman" w:cs="Times New Roman"/>
                <w:color w:val="000000"/>
                <w:sz w:val="22"/>
                <w:szCs w:val="28"/>
              </w:rPr>
              <w:t>0</w:t>
            </w:r>
            <w:r>
              <w:rPr>
                <w:rFonts w:hint="eastAsia" w:ascii="Times New Roman" w:hAnsi="Times New Roman" w:cs="Times New Roman"/>
                <w:color w:val="000000"/>
                <w:sz w:val="22"/>
                <w:szCs w:val="28"/>
              </w:rPr>
              <w:t>**年*月）</w:t>
            </w:r>
          </w:p>
        </w:tc>
      </w:tr>
    </w:tbl>
    <w:p w14:paraId="44914DFD">
      <w:pPr>
        <w:spacing w:line="360" w:lineRule="exact"/>
        <w:ind w:firstLine="480"/>
        <w:rPr>
          <w:rFonts w:ascii="Times New Roman" w:hAnsi="Times New Roman" w:eastAsia="宋体" w:cs="Times New Roman"/>
          <w:szCs w:val="20"/>
        </w:rPr>
      </w:pPr>
    </w:p>
    <w:p w14:paraId="1569B9AE">
      <w:pPr>
        <w:spacing w:line="360" w:lineRule="exact"/>
        <w:ind w:firstLine="480"/>
        <w:rPr>
          <w:rFonts w:ascii="Times New Roman" w:hAnsi="Times New Roman" w:eastAsia="宋体" w:cs="Times New Roman"/>
          <w:szCs w:val="20"/>
        </w:rPr>
      </w:pPr>
    </w:p>
    <w:p w14:paraId="140508BA">
      <w:pPr>
        <w:spacing w:line="360" w:lineRule="exact"/>
        <w:ind w:firstLine="480"/>
        <w:rPr>
          <w:rFonts w:ascii="Times New Roman" w:hAnsi="Times New Roman" w:eastAsia="宋体" w:cs="Times New Roman"/>
          <w:szCs w:val="20"/>
        </w:rPr>
      </w:pPr>
    </w:p>
    <w:p w14:paraId="202C8A1C">
      <w:pPr>
        <w:spacing w:line="360" w:lineRule="exact"/>
        <w:ind w:firstLine="600"/>
        <w:rPr>
          <w:rFonts w:ascii="Times New Roman" w:hAnsi="Times New Roman" w:eastAsia="仿宋"/>
          <w:sz w:val="30"/>
          <w:szCs w:val="30"/>
        </w:rPr>
      </w:pPr>
    </w:p>
    <w:p w14:paraId="67BB1309">
      <w:pPr>
        <w:spacing w:line="360" w:lineRule="exact"/>
        <w:ind w:firstLine="400"/>
        <w:rPr>
          <w:rFonts w:ascii="Times New Roman" w:hAnsi="Times New Roman" w:eastAsia="仿宋"/>
          <w:sz w:val="30"/>
          <w:szCs w:val="30"/>
        </w:rPr>
      </w:pPr>
      <w:r>
        <w:rPr>
          <w:rFonts w:ascii="Times New Roman" w:hAnsi="Times New Roman" w:eastAsia="宋体" w:cs="Times New Roman"/>
          <w:sz w:val="20"/>
          <w:szCs w:val="20"/>
        </w:rPr>
        <mc:AlternateContent>
          <mc:Choice Requires="wps">
            <w:drawing>
              <wp:anchor distT="0" distB="0" distL="114300" distR="114300" simplePos="0" relativeHeight="251659264" behindDoc="0" locked="0" layoutInCell="0" allowOverlap="1">
                <wp:simplePos x="0" y="0"/>
                <wp:positionH relativeFrom="column">
                  <wp:posOffset>-276225</wp:posOffset>
                </wp:positionH>
                <wp:positionV relativeFrom="page">
                  <wp:posOffset>7555230</wp:posOffset>
                </wp:positionV>
                <wp:extent cx="6120130" cy="2160270"/>
                <wp:effectExtent l="0" t="0" r="0" b="0"/>
                <wp:wrapNone/>
                <wp:docPr id="2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120130" cy="2160270"/>
                        </a:xfrm>
                        <a:prstGeom prst="rect">
                          <a:avLst/>
                        </a:prstGeom>
                        <a:solidFill>
                          <a:srgbClr val="FFFFFF"/>
                        </a:solidFill>
                        <a:ln>
                          <a:noFill/>
                        </a:ln>
                      </wps:spPr>
                      <wps:txbx>
                        <w:txbxContent>
                          <w:tbl>
                            <w:tblPr>
                              <w:tblStyle w:val="21"/>
                              <w:tblW w:w="0" w:type="auto"/>
                              <w:jc w:val="center"/>
                              <w:tblLayout w:type="fixed"/>
                              <w:tblCellMar>
                                <w:top w:w="0" w:type="dxa"/>
                                <w:left w:w="0" w:type="dxa"/>
                                <w:bottom w:w="0" w:type="dxa"/>
                                <w:right w:w="0" w:type="dxa"/>
                              </w:tblCellMar>
                            </w:tblPr>
                            <w:tblGrid>
                              <w:gridCol w:w="3232"/>
                              <w:gridCol w:w="3175"/>
                              <w:gridCol w:w="3232"/>
                            </w:tblGrid>
                            <w:tr w14:paraId="5C5B6724">
                              <w:tblPrEx>
                                <w:tblCellMar>
                                  <w:top w:w="0" w:type="dxa"/>
                                  <w:left w:w="0" w:type="dxa"/>
                                  <w:bottom w:w="0" w:type="dxa"/>
                                  <w:right w:w="0" w:type="dxa"/>
                                </w:tblCellMar>
                              </w:tblPrEx>
                              <w:trPr>
                                <w:trHeight w:val="312" w:hRule="exact"/>
                                <w:jc w:val="center"/>
                              </w:trPr>
                              <w:tc>
                                <w:tcPr>
                                  <w:tcW w:w="9639" w:type="dxa"/>
                                  <w:gridSpan w:val="3"/>
                                </w:tcPr>
                                <w:p w14:paraId="48EA3761">
                                  <w:pPr>
                                    <w:ind w:firstLine="480"/>
                                  </w:pPr>
                                </w:p>
                              </w:tc>
                            </w:tr>
                            <w:tr w14:paraId="023A3B5A">
                              <w:tblPrEx>
                                <w:tblCellMar>
                                  <w:top w:w="0" w:type="dxa"/>
                                  <w:left w:w="0" w:type="dxa"/>
                                  <w:bottom w:w="0" w:type="dxa"/>
                                  <w:right w:w="0" w:type="dxa"/>
                                </w:tblCellMar>
                              </w:tblPrEx>
                              <w:trPr>
                                <w:trHeight w:val="567" w:hRule="exact"/>
                                <w:jc w:val="center"/>
                              </w:trPr>
                              <w:tc>
                                <w:tcPr>
                                  <w:tcW w:w="9639" w:type="dxa"/>
                                  <w:gridSpan w:val="3"/>
                                </w:tcPr>
                                <w:p w14:paraId="3990C74A">
                                  <w:pPr>
                                    <w:ind w:firstLine="480"/>
                                  </w:pPr>
                                </w:p>
                              </w:tc>
                            </w:tr>
                            <w:tr w14:paraId="6DD4C32F">
                              <w:tblPrEx>
                                <w:tblCellMar>
                                  <w:top w:w="0" w:type="dxa"/>
                                  <w:left w:w="0" w:type="dxa"/>
                                  <w:bottom w:w="0" w:type="dxa"/>
                                  <w:right w:w="0" w:type="dxa"/>
                                </w:tblCellMar>
                              </w:tblPrEx>
                              <w:trPr>
                                <w:trHeight w:val="567" w:hRule="exact"/>
                                <w:jc w:val="center"/>
                              </w:trPr>
                              <w:tc>
                                <w:tcPr>
                                  <w:tcW w:w="3232" w:type="dxa"/>
                                  <w:tcBorders>
                                    <w:bottom w:val="single" w:color="auto" w:sz="8" w:space="0"/>
                                  </w:tcBorders>
                                  <w:vAlign w:val="bottom"/>
                                </w:tcPr>
                                <w:p w14:paraId="0F039A87">
                                  <w:pPr>
                                    <w:ind w:firstLine="600"/>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184BF4AE">
                                  <w:pPr>
                                    <w:ind w:firstLine="560"/>
                                    <w:jc w:val="center"/>
                                    <w:rPr>
                                      <w:rFonts w:ascii="黑体" w:eastAsia="黑体"/>
                                      <w:sz w:val="28"/>
                                    </w:rPr>
                                  </w:pPr>
                                </w:p>
                              </w:tc>
                              <w:tc>
                                <w:tcPr>
                                  <w:tcW w:w="3232" w:type="dxa"/>
                                  <w:tcBorders>
                                    <w:bottom w:val="single" w:color="auto" w:sz="8" w:space="0"/>
                                  </w:tcBorders>
                                  <w:vAlign w:val="bottom"/>
                                </w:tcPr>
                                <w:p w14:paraId="34F67434">
                                  <w:pPr>
                                    <w:ind w:firstLine="600"/>
                                    <w:jc w:val="right"/>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34429ACA">
                              <w:tblPrEx>
                                <w:tblCellMar>
                                  <w:top w:w="0" w:type="dxa"/>
                                  <w:left w:w="0" w:type="dxa"/>
                                  <w:bottom w:w="0" w:type="dxa"/>
                                  <w:right w:w="0" w:type="dxa"/>
                                </w:tblCellMar>
                              </w:tblPrEx>
                              <w:trPr>
                                <w:trHeight w:val="567" w:hRule="exact"/>
                                <w:jc w:val="center"/>
                              </w:trPr>
                              <w:tc>
                                <w:tcPr>
                                  <w:tcW w:w="9639" w:type="dxa"/>
                                  <w:gridSpan w:val="3"/>
                                  <w:tcBorders>
                                    <w:top w:val="single" w:color="auto" w:sz="8" w:space="0"/>
                                  </w:tcBorders>
                                  <w:vAlign w:val="center"/>
                                </w:tcPr>
                                <w:p w14:paraId="1650C92E">
                                  <w:pPr>
                                    <w:ind w:firstLine="760"/>
                                    <w:jc w:val="center"/>
                                    <w:rPr>
                                      <w:rFonts w:eastAsia="黑体"/>
                                      <w:spacing w:val="30"/>
                                      <w:sz w:val="32"/>
                                    </w:rPr>
                                  </w:pPr>
                                </w:p>
                              </w:tc>
                            </w:tr>
                            <w:tr w14:paraId="7A312B0F">
                              <w:tblPrEx>
                                <w:tblCellMar>
                                  <w:top w:w="0" w:type="dxa"/>
                                  <w:left w:w="0" w:type="dxa"/>
                                  <w:bottom w:w="0" w:type="dxa"/>
                                  <w:right w:w="0" w:type="dxa"/>
                                </w:tblCellMar>
                              </w:tblPrEx>
                              <w:trPr>
                                <w:trHeight w:val="380" w:hRule="exact"/>
                                <w:jc w:val="center"/>
                              </w:trPr>
                              <w:tc>
                                <w:tcPr>
                                  <w:tcW w:w="9639" w:type="dxa"/>
                                  <w:gridSpan w:val="3"/>
                                </w:tcPr>
                                <w:p w14:paraId="7A39103F">
                                  <w:pPr>
                                    <w:ind w:firstLine="800"/>
                                    <w:jc w:val="center"/>
                                    <w:rPr>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4B4DC720">
                            <w:pPr>
                              <w:ind w:firstLine="480"/>
                            </w:pP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left:-21.75pt;margin-top:594.9pt;height:170.1pt;width:481.9pt;mso-position-vertical-relative:page;z-index:251659264;mso-width-relative:page;mso-height-relative:page;" fillcolor="#FFFFFF" filled="t" stroked="f" coordsize="21600,21600" o:allowincell="f" o:gfxdata="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o&#10;acgk2wAAAA0BAAAPAAAAAAAAAAEAIAAAACIAAABkcnMvZG93bnJldi54bWxQSwECFAAUAAAACACH&#10;TuJAVGEPpiECAAAwBAAADgAAAAAAAAABACAAAAAqAQAAZHJzL2Uyb0RvYy54bWxQSwUGAAAAAAYA&#10;BgBZAQAAvQUAAAAA&#10;">
                <v:fill on="t" focussize="0,0"/>
                <v:stroke on="f"/>
                <v:imagedata o:title=""/>
                <o:lock v:ext="edit" aspectratio="f"/>
                <v:textbox inset="0mm,0mm,0mm,0mm">
                  <w:txbxContent>
                    <w:tbl>
                      <w:tblPr>
                        <w:tblStyle w:val="21"/>
                        <w:tblW w:w="0" w:type="auto"/>
                        <w:jc w:val="center"/>
                        <w:tblLayout w:type="fixed"/>
                        <w:tblCellMar>
                          <w:top w:w="0" w:type="dxa"/>
                          <w:left w:w="0" w:type="dxa"/>
                          <w:bottom w:w="0" w:type="dxa"/>
                          <w:right w:w="0" w:type="dxa"/>
                        </w:tblCellMar>
                      </w:tblPr>
                      <w:tblGrid>
                        <w:gridCol w:w="3232"/>
                        <w:gridCol w:w="3175"/>
                        <w:gridCol w:w="3232"/>
                      </w:tblGrid>
                      <w:tr w14:paraId="5C5B6724">
                        <w:tblPrEx>
                          <w:tblCellMar>
                            <w:top w:w="0" w:type="dxa"/>
                            <w:left w:w="0" w:type="dxa"/>
                            <w:bottom w:w="0" w:type="dxa"/>
                            <w:right w:w="0" w:type="dxa"/>
                          </w:tblCellMar>
                        </w:tblPrEx>
                        <w:trPr>
                          <w:trHeight w:val="312" w:hRule="exact"/>
                          <w:jc w:val="center"/>
                        </w:trPr>
                        <w:tc>
                          <w:tcPr>
                            <w:tcW w:w="9639" w:type="dxa"/>
                            <w:gridSpan w:val="3"/>
                          </w:tcPr>
                          <w:p w14:paraId="48EA3761">
                            <w:pPr>
                              <w:ind w:firstLine="480"/>
                            </w:pPr>
                          </w:p>
                        </w:tc>
                      </w:tr>
                      <w:tr w14:paraId="023A3B5A">
                        <w:tblPrEx>
                          <w:tblCellMar>
                            <w:top w:w="0" w:type="dxa"/>
                            <w:left w:w="0" w:type="dxa"/>
                            <w:bottom w:w="0" w:type="dxa"/>
                            <w:right w:w="0" w:type="dxa"/>
                          </w:tblCellMar>
                        </w:tblPrEx>
                        <w:trPr>
                          <w:trHeight w:val="567" w:hRule="exact"/>
                          <w:jc w:val="center"/>
                        </w:trPr>
                        <w:tc>
                          <w:tcPr>
                            <w:tcW w:w="9639" w:type="dxa"/>
                            <w:gridSpan w:val="3"/>
                          </w:tcPr>
                          <w:p w14:paraId="3990C74A">
                            <w:pPr>
                              <w:ind w:firstLine="480"/>
                            </w:pPr>
                          </w:p>
                        </w:tc>
                      </w:tr>
                      <w:tr w14:paraId="6DD4C32F">
                        <w:tblPrEx>
                          <w:tblCellMar>
                            <w:top w:w="0" w:type="dxa"/>
                            <w:left w:w="0" w:type="dxa"/>
                            <w:bottom w:w="0" w:type="dxa"/>
                            <w:right w:w="0" w:type="dxa"/>
                          </w:tblCellMar>
                        </w:tblPrEx>
                        <w:trPr>
                          <w:trHeight w:val="567" w:hRule="exact"/>
                          <w:jc w:val="center"/>
                        </w:trPr>
                        <w:tc>
                          <w:tcPr>
                            <w:tcW w:w="3232" w:type="dxa"/>
                            <w:tcBorders>
                              <w:bottom w:val="single" w:color="auto" w:sz="8" w:space="0"/>
                            </w:tcBorders>
                            <w:vAlign w:val="bottom"/>
                          </w:tcPr>
                          <w:p w14:paraId="0F039A87">
                            <w:pPr>
                              <w:ind w:firstLine="600"/>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184BF4AE">
                            <w:pPr>
                              <w:ind w:firstLine="560"/>
                              <w:jc w:val="center"/>
                              <w:rPr>
                                <w:rFonts w:ascii="黑体" w:eastAsia="黑体"/>
                                <w:sz w:val="28"/>
                              </w:rPr>
                            </w:pPr>
                          </w:p>
                        </w:tc>
                        <w:tc>
                          <w:tcPr>
                            <w:tcW w:w="3232" w:type="dxa"/>
                            <w:tcBorders>
                              <w:bottom w:val="single" w:color="auto" w:sz="8" w:space="0"/>
                            </w:tcBorders>
                            <w:vAlign w:val="bottom"/>
                          </w:tcPr>
                          <w:p w14:paraId="34F67434">
                            <w:pPr>
                              <w:ind w:firstLine="600"/>
                              <w:jc w:val="right"/>
                              <w:rPr>
                                <w:rFonts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34429ACA">
                        <w:tblPrEx>
                          <w:tblCellMar>
                            <w:top w:w="0" w:type="dxa"/>
                            <w:left w:w="0" w:type="dxa"/>
                            <w:bottom w:w="0" w:type="dxa"/>
                            <w:right w:w="0" w:type="dxa"/>
                          </w:tblCellMar>
                        </w:tblPrEx>
                        <w:trPr>
                          <w:trHeight w:val="567" w:hRule="exact"/>
                          <w:jc w:val="center"/>
                        </w:trPr>
                        <w:tc>
                          <w:tcPr>
                            <w:tcW w:w="9639" w:type="dxa"/>
                            <w:gridSpan w:val="3"/>
                            <w:tcBorders>
                              <w:top w:val="single" w:color="auto" w:sz="8" w:space="0"/>
                            </w:tcBorders>
                            <w:vAlign w:val="center"/>
                          </w:tcPr>
                          <w:p w14:paraId="1650C92E">
                            <w:pPr>
                              <w:ind w:firstLine="760"/>
                              <w:jc w:val="center"/>
                              <w:rPr>
                                <w:rFonts w:eastAsia="黑体"/>
                                <w:spacing w:val="30"/>
                                <w:sz w:val="32"/>
                              </w:rPr>
                            </w:pPr>
                          </w:p>
                        </w:tc>
                      </w:tr>
                      <w:tr w14:paraId="7A312B0F">
                        <w:tblPrEx>
                          <w:tblCellMar>
                            <w:top w:w="0" w:type="dxa"/>
                            <w:left w:w="0" w:type="dxa"/>
                            <w:bottom w:w="0" w:type="dxa"/>
                            <w:right w:w="0" w:type="dxa"/>
                          </w:tblCellMar>
                        </w:tblPrEx>
                        <w:trPr>
                          <w:trHeight w:val="380" w:hRule="exact"/>
                          <w:jc w:val="center"/>
                        </w:trPr>
                        <w:tc>
                          <w:tcPr>
                            <w:tcW w:w="9639" w:type="dxa"/>
                            <w:gridSpan w:val="3"/>
                          </w:tcPr>
                          <w:p w14:paraId="7A39103F">
                            <w:pPr>
                              <w:ind w:firstLine="800"/>
                              <w:jc w:val="center"/>
                              <w:rPr>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4B4DC720">
                      <w:pPr>
                        <w:ind w:firstLine="480"/>
                      </w:pPr>
                    </w:p>
                  </w:txbxContent>
                </v:textbox>
              </v:shape>
            </w:pict>
          </mc:Fallback>
        </mc:AlternateContent>
      </w:r>
    </w:p>
    <w:p w14:paraId="0ED62953">
      <w:pPr>
        <w:spacing w:line="360" w:lineRule="exact"/>
        <w:ind w:firstLine="600"/>
        <w:rPr>
          <w:rFonts w:ascii="Times New Roman" w:hAnsi="Times New Roman" w:eastAsia="仿宋"/>
          <w:sz w:val="30"/>
          <w:szCs w:val="30"/>
        </w:rPr>
      </w:pPr>
    </w:p>
    <w:p w14:paraId="05EFB0AB">
      <w:pPr>
        <w:spacing w:line="360" w:lineRule="exact"/>
        <w:ind w:firstLine="600"/>
        <w:rPr>
          <w:rFonts w:ascii="Times New Roman" w:hAnsi="Times New Roman" w:eastAsia="仿宋"/>
          <w:sz w:val="30"/>
          <w:szCs w:val="30"/>
        </w:rPr>
      </w:pPr>
    </w:p>
    <w:p w14:paraId="42BF262C">
      <w:pPr>
        <w:pStyle w:val="40"/>
        <w:spacing w:line="360" w:lineRule="exact"/>
        <w:rPr>
          <w:rFonts w:ascii="Times New Roman" w:hAnsi="Times New Roman" w:eastAsia="仿宋"/>
          <w:sz w:val="30"/>
          <w:szCs w:val="30"/>
        </w:rPr>
        <w:sectPr>
          <w:headerReference r:id="rId7" w:type="first"/>
          <w:footerReference r:id="rId10" w:type="first"/>
          <w:headerReference r:id="rId5" w:type="default"/>
          <w:footerReference r:id="rId8" w:type="default"/>
          <w:headerReference r:id="rId6" w:type="even"/>
          <w:footerReference r:id="rId9" w:type="even"/>
          <w:endnotePr>
            <w:numFmt w:val="decimal"/>
          </w:endnotePr>
          <w:pgSz w:w="11906" w:h="16838"/>
          <w:pgMar w:top="1440" w:right="1800" w:bottom="1440" w:left="1800" w:header="1418" w:footer="1134" w:gutter="0"/>
          <w:pgBorders>
            <w:top w:val="none" w:sz="0" w:space="0"/>
            <w:left w:val="none" w:sz="0" w:space="0"/>
            <w:bottom w:val="none" w:sz="0" w:space="0"/>
            <w:right w:val="none" w:sz="0" w:space="0"/>
          </w:pgBorders>
          <w:pgNumType w:fmt="upperRoman" w:start="1"/>
          <w:cols w:space="720" w:num="1"/>
          <w:formProt w:val="0"/>
          <w:docGrid w:linePitch="326" w:charSpace="0"/>
        </w:sectPr>
      </w:pPr>
    </w:p>
    <w:sdt>
      <w:sdtPr>
        <w:rPr>
          <w:rFonts w:ascii="宋体" w:hAnsi="宋体" w:eastAsia="宋体" w:cstheme="minorBidi"/>
          <w:kern w:val="2"/>
          <w:sz w:val="21"/>
          <w:szCs w:val="22"/>
          <w:lang w:val="en-US" w:eastAsia="zh-CN" w:bidi="ar-SA"/>
        </w:rPr>
        <w:id w:val="147473974"/>
        <w15:color w:val="DBDBDB"/>
        <w:docPartObj>
          <w:docPartGallery w:val="Table of Contents"/>
          <w:docPartUnique/>
        </w:docPartObj>
      </w:sdtPr>
      <w:sdtEndPr>
        <w:rPr>
          <w:rFonts w:hint="eastAsia" w:ascii="宋体" w:hAnsi="宋体" w:eastAsia="宋体" w:cs="宋体"/>
          <w:i/>
          <w:color w:val="0070C0"/>
          <w:kern w:val="0"/>
          <w:sz w:val="21"/>
          <w:szCs w:val="21"/>
          <w:lang w:val="en-US" w:eastAsia="zh-CN" w:bidi="ar-SA"/>
        </w:rPr>
      </w:sdtEndPr>
      <w:sdtContent>
        <w:p w14:paraId="6BFF336A">
          <w:pPr>
            <w:pStyle w:val="37"/>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outlineLvl w:val="9"/>
            <w:rPr>
              <w:b w:val="0"/>
              <w:bCs w:val="0"/>
            </w:rPr>
          </w:pPr>
          <w:bookmarkStart w:id="7" w:name="_Toc509933846"/>
          <w:bookmarkStart w:id="8" w:name="_Toc510534525"/>
          <w:r>
            <w:rPr>
              <w:rFonts w:hint="eastAsia" w:hAnsi="黑体"/>
              <w:b w:val="0"/>
              <w:bCs w:val="0"/>
            </w:rPr>
            <w:t>目</w:t>
          </w:r>
          <w:bookmarkStart w:id="9" w:name="BKML"/>
          <w:r>
            <w:rPr>
              <w:rFonts w:hAnsi="黑体"/>
              <w:b w:val="0"/>
              <w:bCs w:val="0"/>
            </w:rPr>
            <w:t> </w:t>
          </w:r>
          <w:r>
            <w:rPr>
              <w:rFonts w:hint="eastAsia" w:hAnsi="黑体"/>
              <w:b w:val="0"/>
              <w:bCs w:val="0"/>
            </w:rPr>
            <w:t>次</w:t>
          </w:r>
          <w:bookmarkEnd w:id="7"/>
          <w:bookmarkEnd w:id="8"/>
          <w:bookmarkEnd w:id="9"/>
        </w:p>
        <w:p w14:paraId="26D5C67F">
          <w:pPr>
            <w:pStyle w:val="16"/>
            <w:tabs>
              <w:tab w:val="right" w:leader="dot" w:pos="8306"/>
            </w:tabs>
          </w:pPr>
          <w:r>
            <w:rPr>
              <w:rFonts w:hint="eastAsia" w:ascii="宋体" w:hAnsi="宋体" w:eastAsia="宋体" w:cs="宋体"/>
              <w:b w:val="0"/>
              <w:bCs w:val="0"/>
              <w:i/>
              <w:color w:val="0070C0"/>
              <w:kern w:val="0"/>
              <w:sz w:val="21"/>
              <w:szCs w:val="21"/>
            </w:rPr>
            <w:fldChar w:fldCharType="begin"/>
          </w:r>
          <w:r>
            <w:rPr>
              <w:rFonts w:hint="eastAsia" w:ascii="宋体" w:hAnsi="宋体" w:eastAsia="宋体" w:cs="宋体"/>
              <w:b w:val="0"/>
              <w:bCs w:val="0"/>
              <w:i/>
              <w:color w:val="0070C0"/>
              <w:kern w:val="0"/>
              <w:sz w:val="21"/>
              <w:szCs w:val="21"/>
            </w:rPr>
            <w:instrText xml:space="preserve">TOC \o "1-2" \h \u </w:instrText>
          </w:r>
          <w:r>
            <w:rPr>
              <w:rFonts w:hint="eastAsia" w:ascii="宋体" w:hAnsi="宋体" w:eastAsia="宋体" w:cs="宋体"/>
              <w:b w:val="0"/>
              <w:bCs w:val="0"/>
              <w:i/>
              <w:color w:val="0070C0"/>
              <w:kern w:val="0"/>
              <w:sz w:val="21"/>
              <w:szCs w:val="21"/>
            </w:rPr>
            <w:fldChar w:fldCharType="separate"/>
          </w: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_Toc23023 </w:instrText>
          </w:r>
          <w:r>
            <w:rPr>
              <w:rFonts w:hint="eastAsia" w:ascii="宋体" w:hAnsi="宋体" w:eastAsia="宋体" w:cs="宋体"/>
              <w:bCs w:val="0"/>
              <w:i/>
              <w:kern w:val="0"/>
              <w:szCs w:val="21"/>
            </w:rPr>
            <w:fldChar w:fldCharType="separate"/>
          </w:r>
          <w:r>
            <w:rPr>
              <w:rFonts w:ascii="Times New Roman" w:hAnsi="Times New Roman"/>
            </w:rPr>
            <w:t>前  言</w:t>
          </w:r>
          <w:r>
            <w:tab/>
          </w:r>
          <w:r>
            <w:fldChar w:fldCharType="begin"/>
          </w:r>
          <w:r>
            <w:instrText xml:space="preserve"> PAGEREF _Toc23023 \h </w:instrText>
          </w:r>
          <w:r>
            <w:fldChar w:fldCharType="separate"/>
          </w:r>
          <w:r>
            <w:t>2</w:t>
          </w:r>
          <w:r>
            <w:fldChar w:fldCharType="end"/>
          </w:r>
          <w:r>
            <w:rPr>
              <w:rFonts w:hint="eastAsia" w:ascii="宋体" w:hAnsi="宋体" w:eastAsia="宋体" w:cs="宋体"/>
              <w:bCs w:val="0"/>
              <w:i/>
              <w:color w:val="0070C0"/>
              <w:kern w:val="0"/>
              <w:szCs w:val="21"/>
            </w:rPr>
            <w:fldChar w:fldCharType="end"/>
          </w:r>
        </w:p>
        <w:p w14:paraId="19B76CDB">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_Toc16930 </w:instrText>
          </w:r>
          <w:r>
            <w:rPr>
              <w:rFonts w:hint="eastAsia" w:ascii="宋体" w:hAnsi="宋体" w:eastAsia="宋体" w:cs="宋体"/>
              <w:bCs w:val="0"/>
              <w:i/>
              <w:kern w:val="0"/>
              <w:szCs w:val="21"/>
            </w:rPr>
            <w:fldChar w:fldCharType="separate"/>
          </w:r>
          <w:r>
            <w:rPr>
              <w:rFonts w:ascii="Times New Roman" w:hAnsi="Times New Roman"/>
              <w:highlight w:val="none"/>
            </w:rPr>
            <w:t>引</w:t>
          </w:r>
          <w:r>
            <w:rPr>
              <w:rFonts w:hint="eastAsia" w:ascii="Times New Roman" w:hAnsi="Times New Roman"/>
              <w:highlight w:val="none"/>
            </w:rPr>
            <w:t xml:space="preserve">  </w:t>
          </w:r>
          <w:r>
            <w:rPr>
              <w:rFonts w:ascii="Times New Roman" w:hAnsi="Times New Roman"/>
              <w:highlight w:val="none"/>
            </w:rPr>
            <w:t>言</w:t>
          </w:r>
          <w:r>
            <w:tab/>
          </w:r>
          <w:r>
            <w:fldChar w:fldCharType="begin"/>
          </w:r>
          <w:r>
            <w:instrText xml:space="preserve"> PAGEREF _Toc16930 \h </w:instrText>
          </w:r>
          <w:r>
            <w:fldChar w:fldCharType="separate"/>
          </w:r>
          <w:r>
            <w:t>3</w:t>
          </w:r>
          <w:r>
            <w:fldChar w:fldCharType="end"/>
          </w:r>
          <w:r>
            <w:rPr>
              <w:rFonts w:hint="eastAsia" w:ascii="宋体" w:hAnsi="宋体" w:eastAsia="宋体" w:cs="宋体"/>
              <w:bCs w:val="0"/>
              <w:i/>
              <w:color w:val="0070C0"/>
              <w:kern w:val="0"/>
              <w:szCs w:val="21"/>
            </w:rPr>
            <w:fldChar w:fldCharType="end"/>
          </w:r>
        </w:p>
        <w:p w14:paraId="688FFC7A">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_Toc2979 </w:instrText>
          </w:r>
          <w:r>
            <w:rPr>
              <w:rFonts w:hint="eastAsia" w:ascii="宋体" w:hAnsi="宋体" w:eastAsia="宋体" w:cs="宋体"/>
              <w:bCs w:val="0"/>
              <w:i/>
              <w:kern w:val="0"/>
              <w:szCs w:val="21"/>
            </w:rPr>
            <w:fldChar w:fldCharType="separate"/>
          </w:r>
          <w:r>
            <w:rPr>
              <w:rFonts w:hint="default" w:ascii="Times New Roman" w:hAnsi="Times New Roman" w:eastAsia="黑体" w:cs="Times New Roman"/>
              <w:i w:val="0"/>
              <w:szCs w:val="21"/>
            </w:rPr>
            <w:t xml:space="preserve">1 </w:t>
          </w:r>
          <w:r>
            <w:rPr>
              <w:rFonts w:ascii="Times New Roman"/>
            </w:rPr>
            <w:t>范围</w:t>
          </w:r>
          <w:r>
            <w:tab/>
          </w:r>
          <w:r>
            <w:fldChar w:fldCharType="begin"/>
          </w:r>
          <w:r>
            <w:instrText xml:space="preserve"> PAGEREF _Toc2979 \h </w:instrText>
          </w:r>
          <w:r>
            <w:fldChar w:fldCharType="separate"/>
          </w:r>
          <w:r>
            <w:t>4</w:t>
          </w:r>
          <w:r>
            <w:fldChar w:fldCharType="end"/>
          </w:r>
          <w:r>
            <w:rPr>
              <w:rFonts w:hint="eastAsia" w:ascii="宋体" w:hAnsi="宋体" w:eastAsia="宋体" w:cs="宋体"/>
              <w:bCs w:val="0"/>
              <w:i/>
              <w:color w:val="0070C0"/>
              <w:kern w:val="0"/>
              <w:szCs w:val="21"/>
            </w:rPr>
            <w:fldChar w:fldCharType="end"/>
          </w:r>
        </w:p>
        <w:p w14:paraId="477C4CC4">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_Toc18368 </w:instrText>
          </w:r>
          <w:r>
            <w:rPr>
              <w:rFonts w:hint="eastAsia" w:ascii="宋体" w:hAnsi="宋体" w:eastAsia="宋体" w:cs="宋体"/>
              <w:bCs w:val="0"/>
              <w:i/>
              <w:kern w:val="0"/>
              <w:szCs w:val="21"/>
            </w:rPr>
            <w:fldChar w:fldCharType="separate"/>
          </w:r>
          <w:r>
            <w:rPr>
              <w:rFonts w:hint="default" w:ascii="Times New Roman" w:hAnsi="Times New Roman" w:eastAsia="黑体" w:cs="Times New Roman"/>
              <w:i w:val="0"/>
              <w:szCs w:val="21"/>
            </w:rPr>
            <w:t xml:space="preserve">2 </w:t>
          </w:r>
          <w:r>
            <w:rPr>
              <w:rFonts w:ascii="Times New Roman"/>
            </w:rPr>
            <w:t>规范性引用文件</w:t>
          </w:r>
          <w:r>
            <w:tab/>
          </w:r>
          <w:r>
            <w:fldChar w:fldCharType="begin"/>
          </w:r>
          <w:r>
            <w:instrText xml:space="preserve"> PAGEREF _Toc18368 \h </w:instrText>
          </w:r>
          <w:r>
            <w:fldChar w:fldCharType="separate"/>
          </w:r>
          <w:r>
            <w:t>4</w:t>
          </w:r>
          <w:r>
            <w:fldChar w:fldCharType="end"/>
          </w:r>
          <w:r>
            <w:rPr>
              <w:rFonts w:hint="eastAsia" w:ascii="宋体" w:hAnsi="宋体" w:eastAsia="宋体" w:cs="宋体"/>
              <w:bCs w:val="0"/>
              <w:i/>
              <w:color w:val="0070C0"/>
              <w:kern w:val="0"/>
              <w:szCs w:val="21"/>
            </w:rPr>
            <w:fldChar w:fldCharType="end"/>
          </w:r>
        </w:p>
        <w:p w14:paraId="6B73F988">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_Toc11452 </w:instrText>
          </w:r>
          <w:r>
            <w:rPr>
              <w:rFonts w:hint="eastAsia" w:ascii="宋体" w:hAnsi="宋体" w:eastAsia="宋体" w:cs="宋体"/>
              <w:bCs w:val="0"/>
              <w:i/>
              <w:kern w:val="0"/>
              <w:szCs w:val="21"/>
            </w:rPr>
            <w:fldChar w:fldCharType="separate"/>
          </w:r>
          <w:r>
            <w:rPr>
              <w:rFonts w:hint="default" w:ascii="Times New Roman" w:hAnsi="Times New Roman" w:eastAsia="黑体" w:cs="Times New Roman"/>
              <w:i w:val="0"/>
              <w:szCs w:val="21"/>
            </w:rPr>
            <w:t xml:space="preserve">3 </w:t>
          </w:r>
          <w:r>
            <w:rPr>
              <w:rFonts w:hint="eastAsia" w:ascii="Times New Roman"/>
            </w:rPr>
            <w:t>术语和定义</w:t>
          </w:r>
          <w:r>
            <w:tab/>
          </w:r>
          <w:r>
            <w:fldChar w:fldCharType="begin"/>
          </w:r>
          <w:r>
            <w:instrText xml:space="preserve"> PAGEREF _Toc11452 \h </w:instrText>
          </w:r>
          <w:r>
            <w:fldChar w:fldCharType="separate"/>
          </w:r>
          <w:r>
            <w:t>4</w:t>
          </w:r>
          <w:r>
            <w:fldChar w:fldCharType="end"/>
          </w:r>
          <w:r>
            <w:rPr>
              <w:rFonts w:hint="eastAsia" w:ascii="宋体" w:hAnsi="宋体" w:eastAsia="宋体" w:cs="宋体"/>
              <w:bCs w:val="0"/>
              <w:i/>
              <w:color w:val="0070C0"/>
              <w:kern w:val="0"/>
              <w:szCs w:val="21"/>
            </w:rPr>
            <w:fldChar w:fldCharType="end"/>
          </w:r>
        </w:p>
        <w:p w14:paraId="36D68049">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_Toc18497 </w:instrText>
          </w:r>
          <w:r>
            <w:rPr>
              <w:rFonts w:hint="eastAsia" w:ascii="宋体" w:hAnsi="宋体" w:eastAsia="宋体" w:cs="宋体"/>
              <w:bCs w:val="0"/>
              <w:i/>
              <w:kern w:val="0"/>
              <w:szCs w:val="21"/>
            </w:rPr>
            <w:fldChar w:fldCharType="separate"/>
          </w:r>
          <w:r>
            <w:rPr>
              <w:rFonts w:hint="eastAsia" w:ascii="Times New Roman" w:hAnsi="Times New Roman"/>
              <w:szCs w:val="21"/>
            </w:rPr>
            <w:t>4诊断</w:t>
          </w:r>
          <w:r>
            <w:tab/>
          </w:r>
          <w:r>
            <w:fldChar w:fldCharType="begin"/>
          </w:r>
          <w:r>
            <w:instrText xml:space="preserve"> PAGEREF _Toc18497 \h </w:instrText>
          </w:r>
          <w:r>
            <w:fldChar w:fldCharType="separate"/>
          </w:r>
          <w:r>
            <w:t>5</w:t>
          </w:r>
          <w:r>
            <w:fldChar w:fldCharType="end"/>
          </w:r>
          <w:r>
            <w:rPr>
              <w:rFonts w:hint="eastAsia" w:ascii="宋体" w:hAnsi="宋体" w:eastAsia="宋体" w:cs="宋体"/>
              <w:bCs w:val="0"/>
              <w:i/>
              <w:color w:val="0070C0"/>
              <w:kern w:val="0"/>
              <w:szCs w:val="21"/>
            </w:rPr>
            <w:fldChar w:fldCharType="end"/>
          </w:r>
        </w:p>
        <w:p w14:paraId="799DE254">
          <w:pPr>
            <w:pStyle w:val="17"/>
            <w:tabs>
              <w:tab w:val="right" w:leader="dot" w:pos="8306"/>
              <w:tab w:val="clear" w:pos="8296"/>
            </w:tabs>
            <w:ind w:left="0" w:leftChars="0" w:firstLine="420" w:firstLineChars="200"/>
            <w:rPr>
              <w:rFonts w:hint="eastAsia" w:ascii="宋体" w:hAnsi="宋体" w:eastAsia="宋体" w:cs="宋体"/>
              <w:bCs w:val="0"/>
              <w:i/>
              <w:color w:val="0070C0"/>
              <w:kern w:val="0"/>
              <w:szCs w:val="21"/>
            </w:rPr>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_Toc4859 </w:instrText>
          </w:r>
          <w:r>
            <w:rPr>
              <w:rFonts w:hint="eastAsia" w:ascii="宋体" w:hAnsi="宋体" w:eastAsia="宋体" w:cs="宋体"/>
              <w:bCs w:val="0"/>
              <w:i/>
              <w:kern w:val="0"/>
              <w:szCs w:val="21"/>
            </w:rPr>
            <w:fldChar w:fldCharType="separate"/>
          </w:r>
          <w:r>
            <w:rPr>
              <w:rFonts w:hint="eastAsia" w:ascii="Times New Roman" w:hAnsi="Times New Roman" w:eastAsia="黑体" w:cstheme="minorBidi"/>
              <w:kern w:val="2"/>
              <w:szCs w:val="21"/>
            </w:rPr>
            <w:t>4.1</w:t>
          </w:r>
          <w:r>
            <w:rPr>
              <w:rFonts w:hint="eastAsia" w:ascii="Times New Roman" w:hAnsi="Times New Roman" w:eastAsia="黑体" w:cstheme="minorBidi"/>
              <w:kern w:val="2"/>
              <w:szCs w:val="21"/>
              <w:lang w:val="en-US" w:eastAsia="zh-CN"/>
            </w:rPr>
            <w:t>肝经火旺</w:t>
          </w:r>
          <w:r>
            <w:rPr>
              <w:rFonts w:hint="eastAsia" w:ascii="Times New Roman" w:hAnsi="Times New Roman" w:eastAsia="黑体" w:cstheme="minorBidi"/>
              <w:kern w:val="2"/>
              <w:szCs w:val="21"/>
            </w:rPr>
            <w:t>证诊断</w:t>
          </w:r>
          <w:r>
            <w:rPr>
              <w:rFonts w:hint="eastAsia" w:ascii="Times New Roman" w:hAnsi="Times New Roman" w:eastAsia="黑体" w:cstheme="minorBidi"/>
              <w:kern w:val="2"/>
              <w:szCs w:val="21"/>
              <w:lang w:val="en-US" w:eastAsia="zh-CN"/>
            </w:rPr>
            <w:t>量表</w:t>
          </w:r>
          <w:r>
            <w:tab/>
          </w:r>
          <w:r>
            <w:fldChar w:fldCharType="begin"/>
          </w:r>
          <w:r>
            <w:instrText xml:space="preserve"> PAGEREF _Toc4859 \h </w:instrText>
          </w:r>
          <w:r>
            <w:fldChar w:fldCharType="separate"/>
          </w:r>
          <w:r>
            <w:t>5</w:t>
          </w:r>
          <w:r>
            <w:fldChar w:fldCharType="end"/>
          </w:r>
          <w:r>
            <w:rPr>
              <w:rFonts w:hint="eastAsia" w:ascii="宋体" w:hAnsi="宋体" w:eastAsia="宋体" w:cs="宋体"/>
              <w:bCs w:val="0"/>
              <w:i/>
              <w:color w:val="0070C0"/>
              <w:kern w:val="0"/>
              <w:szCs w:val="21"/>
            </w:rPr>
            <w:fldChar w:fldCharType="end"/>
          </w:r>
        </w:p>
        <w:p w14:paraId="287BFBCA">
          <w:pPr>
            <w:pStyle w:val="17"/>
            <w:tabs>
              <w:tab w:val="right" w:leader="dot" w:pos="8306"/>
              <w:tab w:val="clear" w:pos="8296"/>
            </w:tabs>
            <w:ind w:left="0" w:leftChars="0" w:firstLine="0" w:firstLineChars="0"/>
          </w:pPr>
          <w:r>
            <w:rPr>
              <w:rFonts w:hint="eastAsia" w:ascii="宋体" w:hAnsi="宋体" w:eastAsia="宋体" w:cs="宋体"/>
              <w:bCs w:val="0"/>
              <w:i/>
              <w:color w:val="0070C0"/>
              <w:kern w:val="0"/>
              <w:szCs w:val="21"/>
              <w:lang w:val="en-US" w:eastAsia="zh-CN"/>
            </w:rPr>
            <w:t xml:space="preserve">    </w:t>
          </w: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_Toc28099 </w:instrText>
          </w:r>
          <w:r>
            <w:rPr>
              <w:rFonts w:hint="eastAsia" w:ascii="宋体" w:hAnsi="宋体" w:eastAsia="宋体" w:cs="宋体"/>
              <w:bCs w:val="0"/>
              <w:i/>
              <w:kern w:val="0"/>
              <w:szCs w:val="21"/>
            </w:rPr>
            <w:fldChar w:fldCharType="separate"/>
          </w:r>
          <w:r>
            <w:rPr>
              <w:rFonts w:hint="eastAsia" w:ascii="Times New Roman" w:hAnsi="Times New Roman" w:eastAsia="黑体" w:cstheme="minorBidi"/>
              <w:kern w:val="2"/>
              <w:szCs w:val="21"/>
            </w:rPr>
            <w:t>4.2</w:t>
          </w:r>
          <w:r>
            <w:rPr>
              <w:rFonts w:hint="eastAsia" w:ascii="Times New Roman" w:hAnsi="Times New Roman" w:eastAsia="黑体" w:cstheme="minorBidi"/>
              <w:kern w:val="2"/>
              <w:szCs w:val="21"/>
              <w:lang w:val="en-US" w:eastAsia="zh-CN"/>
            </w:rPr>
            <w:t>肝经火旺</w:t>
          </w:r>
          <w:r>
            <w:rPr>
              <w:rFonts w:hint="eastAsia" w:ascii="Times New Roman" w:hAnsi="Times New Roman" w:eastAsia="黑体" w:cstheme="minorBidi"/>
              <w:kern w:val="2"/>
              <w:szCs w:val="21"/>
            </w:rPr>
            <w:t>证诊断</w:t>
          </w:r>
          <w:r>
            <w:rPr>
              <w:rFonts w:hint="eastAsia" w:ascii="Times New Roman" w:hAnsi="Times New Roman" w:eastAsia="黑体" w:cstheme="minorBidi"/>
              <w:kern w:val="2"/>
              <w:szCs w:val="21"/>
              <w:lang w:val="en-US" w:eastAsia="zh-CN"/>
            </w:rPr>
            <w:t>标准</w:t>
          </w:r>
          <w:r>
            <w:tab/>
          </w:r>
          <w:r>
            <w:fldChar w:fldCharType="begin"/>
          </w:r>
          <w:r>
            <w:instrText xml:space="preserve"> PAGEREF _Toc28099 \h </w:instrText>
          </w:r>
          <w:r>
            <w:fldChar w:fldCharType="separate"/>
          </w:r>
          <w:r>
            <w:t>6</w:t>
          </w:r>
          <w:r>
            <w:fldChar w:fldCharType="end"/>
          </w:r>
          <w:r>
            <w:rPr>
              <w:rFonts w:hint="eastAsia" w:ascii="宋体" w:hAnsi="宋体" w:eastAsia="宋体" w:cs="宋体"/>
              <w:bCs w:val="0"/>
              <w:i/>
              <w:color w:val="0070C0"/>
              <w:kern w:val="0"/>
              <w:szCs w:val="21"/>
            </w:rPr>
            <w:fldChar w:fldCharType="end"/>
          </w:r>
        </w:p>
        <w:p w14:paraId="44E8DCD2">
          <w:pPr>
            <w:pStyle w:val="16"/>
            <w:tabs>
              <w:tab w:val="right" w:leader="dot" w:pos="8306"/>
            </w:tabs>
          </w:pPr>
          <w:r>
            <w:rPr>
              <w:rFonts w:hint="eastAsia" w:ascii="宋体" w:hAnsi="宋体" w:eastAsia="宋体" w:cs="宋体"/>
              <w:bCs w:val="0"/>
              <w:i/>
              <w:color w:val="0070C0"/>
              <w:kern w:val="0"/>
              <w:szCs w:val="21"/>
              <w:lang w:val="en-US" w:eastAsia="zh-CN"/>
            </w:rPr>
            <w:t xml:space="preserve">    </w:t>
          </w: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_Toc10523 </w:instrText>
          </w:r>
          <w:r>
            <w:rPr>
              <w:rFonts w:hint="eastAsia" w:ascii="宋体" w:hAnsi="宋体" w:eastAsia="宋体" w:cs="宋体"/>
              <w:bCs w:val="0"/>
              <w:i/>
              <w:kern w:val="0"/>
              <w:szCs w:val="21"/>
            </w:rPr>
            <w:fldChar w:fldCharType="separate"/>
          </w:r>
          <w:r>
            <w:rPr>
              <w:rFonts w:hint="eastAsia" w:eastAsia="黑体" w:cstheme="minorBidi"/>
              <w:kern w:val="2"/>
              <w:szCs w:val="21"/>
              <w:lang w:val="en-US" w:eastAsia="zh-CN"/>
            </w:rPr>
            <w:t>4.3鉴别诊断</w:t>
          </w:r>
          <w:r>
            <w:tab/>
          </w:r>
          <w:r>
            <w:fldChar w:fldCharType="begin"/>
          </w:r>
          <w:r>
            <w:instrText xml:space="preserve"> PAGEREF _Toc10523 \h </w:instrText>
          </w:r>
          <w:r>
            <w:fldChar w:fldCharType="separate"/>
          </w:r>
          <w:r>
            <w:t>6</w:t>
          </w:r>
          <w:r>
            <w:fldChar w:fldCharType="end"/>
          </w:r>
          <w:r>
            <w:rPr>
              <w:rFonts w:hint="eastAsia" w:ascii="宋体" w:hAnsi="宋体" w:eastAsia="宋体" w:cs="宋体"/>
              <w:bCs w:val="0"/>
              <w:i/>
              <w:color w:val="0070C0"/>
              <w:kern w:val="0"/>
              <w:szCs w:val="21"/>
            </w:rPr>
            <w:fldChar w:fldCharType="end"/>
          </w:r>
        </w:p>
        <w:p w14:paraId="2D9FA0B9">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_Toc8903 </w:instrText>
          </w:r>
          <w:r>
            <w:rPr>
              <w:rFonts w:hint="eastAsia" w:ascii="宋体" w:hAnsi="宋体" w:eastAsia="宋体" w:cs="宋体"/>
              <w:bCs w:val="0"/>
              <w:i/>
              <w:kern w:val="0"/>
              <w:szCs w:val="21"/>
            </w:rPr>
            <w:fldChar w:fldCharType="separate"/>
          </w:r>
          <w:r>
            <w:rPr>
              <w:rFonts w:hint="eastAsia" w:ascii="Times New Roman" w:hAnsi="Times New Roman" w:eastAsia="黑体" w:cstheme="minorBidi"/>
              <w:kern w:val="2"/>
              <w:szCs w:val="21"/>
            </w:rPr>
            <w:t>5疗效评价</w:t>
          </w:r>
          <w:r>
            <w:tab/>
          </w:r>
          <w:r>
            <w:fldChar w:fldCharType="begin"/>
          </w:r>
          <w:r>
            <w:instrText xml:space="preserve"> PAGEREF _Toc8903 \h </w:instrText>
          </w:r>
          <w:r>
            <w:fldChar w:fldCharType="separate"/>
          </w:r>
          <w:r>
            <w:t>6</w:t>
          </w:r>
          <w:r>
            <w:fldChar w:fldCharType="end"/>
          </w:r>
          <w:r>
            <w:rPr>
              <w:rFonts w:hint="eastAsia" w:ascii="宋体" w:hAnsi="宋体" w:eastAsia="宋体" w:cs="宋体"/>
              <w:bCs w:val="0"/>
              <w:i/>
              <w:color w:val="0070C0"/>
              <w:kern w:val="0"/>
              <w:szCs w:val="21"/>
            </w:rPr>
            <w:fldChar w:fldCharType="end"/>
          </w:r>
        </w:p>
        <w:p w14:paraId="67BDE80C">
          <w:pPr>
            <w:pStyle w:val="17"/>
            <w:tabs>
              <w:tab w:val="right" w:leader="dot" w:pos="8306"/>
              <w:tab w:val="clear" w:pos="8296"/>
            </w:tabs>
            <w:ind w:left="0" w:leftChars="0" w:firstLine="420" w:firstLineChars="200"/>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_Toc17370 </w:instrText>
          </w:r>
          <w:r>
            <w:rPr>
              <w:rFonts w:hint="eastAsia" w:ascii="宋体" w:hAnsi="宋体" w:eastAsia="宋体" w:cs="宋体"/>
              <w:bCs w:val="0"/>
              <w:i/>
              <w:kern w:val="0"/>
              <w:szCs w:val="21"/>
            </w:rPr>
            <w:fldChar w:fldCharType="separate"/>
          </w:r>
          <w:r>
            <w:rPr>
              <w:rFonts w:hint="eastAsia" w:ascii="Times New Roman" w:hAnsi="Times New Roman" w:eastAsia="黑体" w:cstheme="minorBidi"/>
              <w:kern w:val="2"/>
              <w:szCs w:val="21"/>
            </w:rPr>
            <w:t>5.</w:t>
          </w:r>
          <w:r>
            <w:rPr>
              <w:rFonts w:hint="eastAsia" w:ascii="Times New Roman" w:eastAsia="黑体" w:cstheme="minorBidi"/>
              <w:kern w:val="2"/>
              <w:szCs w:val="21"/>
              <w:lang w:val="en-US" w:eastAsia="zh-CN"/>
            </w:rPr>
            <w:t>1</w:t>
          </w:r>
          <w:r>
            <w:rPr>
              <w:rFonts w:hint="eastAsia" w:ascii="Times New Roman" w:hAnsi="Times New Roman" w:eastAsia="黑体" w:cstheme="minorBidi"/>
              <w:kern w:val="2"/>
              <w:szCs w:val="21"/>
              <w:lang w:val="en-US" w:eastAsia="zh-CN"/>
            </w:rPr>
            <w:t>肝经火旺</w:t>
          </w:r>
          <w:r>
            <w:rPr>
              <w:rFonts w:hint="eastAsia" w:ascii="Times New Roman" w:hAnsi="Times New Roman" w:eastAsia="黑体" w:cstheme="minorBidi"/>
              <w:kern w:val="2"/>
              <w:szCs w:val="21"/>
            </w:rPr>
            <w:t>证疗效评价</w:t>
          </w:r>
          <w:r>
            <w:rPr>
              <w:rFonts w:hint="eastAsia" w:ascii="Times New Roman" w:hAnsi="Times New Roman" w:eastAsia="黑体" w:cstheme="minorBidi"/>
              <w:kern w:val="2"/>
              <w:szCs w:val="21"/>
              <w:lang w:val="en-US" w:eastAsia="zh-CN"/>
            </w:rPr>
            <w:t>量表</w:t>
          </w:r>
          <w:r>
            <w:tab/>
          </w:r>
          <w:r>
            <w:fldChar w:fldCharType="begin"/>
          </w:r>
          <w:r>
            <w:instrText xml:space="preserve"> PAGEREF _Toc17370 \h </w:instrText>
          </w:r>
          <w:r>
            <w:fldChar w:fldCharType="separate"/>
          </w:r>
          <w:r>
            <w:t>6</w:t>
          </w:r>
          <w:r>
            <w:fldChar w:fldCharType="end"/>
          </w:r>
          <w:r>
            <w:rPr>
              <w:rFonts w:hint="eastAsia" w:ascii="宋体" w:hAnsi="宋体" w:eastAsia="宋体" w:cs="宋体"/>
              <w:bCs w:val="0"/>
              <w:i/>
              <w:color w:val="0070C0"/>
              <w:kern w:val="0"/>
              <w:szCs w:val="21"/>
            </w:rPr>
            <w:fldChar w:fldCharType="end"/>
          </w:r>
        </w:p>
        <w:p w14:paraId="0733BA56">
          <w:pPr>
            <w:pStyle w:val="17"/>
            <w:tabs>
              <w:tab w:val="right" w:leader="dot" w:pos="8306"/>
              <w:tab w:val="clear" w:pos="8296"/>
            </w:tabs>
            <w:ind w:left="0" w:leftChars="0" w:firstLine="420" w:firstLineChars="200"/>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_Toc14903 </w:instrText>
          </w:r>
          <w:r>
            <w:rPr>
              <w:rFonts w:hint="eastAsia" w:ascii="宋体" w:hAnsi="宋体" w:eastAsia="宋体" w:cs="宋体"/>
              <w:bCs w:val="0"/>
              <w:i/>
              <w:kern w:val="0"/>
              <w:szCs w:val="21"/>
            </w:rPr>
            <w:fldChar w:fldCharType="separate"/>
          </w:r>
          <w:r>
            <w:rPr>
              <w:rFonts w:hint="eastAsia" w:ascii="Times New Roman" w:hAnsi="Times New Roman" w:eastAsia="黑体" w:cstheme="minorBidi"/>
              <w:kern w:val="2"/>
              <w:szCs w:val="21"/>
            </w:rPr>
            <w:t>5.</w:t>
          </w:r>
          <w:r>
            <w:rPr>
              <w:rFonts w:hint="eastAsia" w:eastAsia="黑体" w:cstheme="minorBidi"/>
              <w:kern w:val="2"/>
              <w:szCs w:val="21"/>
              <w:lang w:val="en-US" w:eastAsia="zh-CN"/>
            </w:rPr>
            <w:t>2</w:t>
          </w:r>
          <w:r>
            <w:rPr>
              <w:rFonts w:hint="eastAsia" w:ascii="Times New Roman" w:hAnsi="Times New Roman" w:eastAsia="黑体" w:cstheme="minorBidi"/>
              <w:kern w:val="2"/>
              <w:szCs w:val="21"/>
              <w:lang w:val="en-US" w:eastAsia="zh-CN" w:bidi="ar-SA"/>
            </w:rPr>
            <w:t>肝经火旺证疗效评价时段</w:t>
          </w:r>
          <w:r>
            <w:tab/>
          </w:r>
          <w:r>
            <w:fldChar w:fldCharType="begin"/>
          </w:r>
          <w:r>
            <w:instrText xml:space="preserve"> PAGEREF _Toc14903 \h </w:instrText>
          </w:r>
          <w:r>
            <w:fldChar w:fldCharType="separate"/>
          </w:r>
          <w:r>
            <w:t>7</w:t>
          </w:r>
          <w:r>
            <w:fldChar w:fldCharType="end"/>
          </w:r>
          <w:r>
            <w:rPr>
              <w:rFonts w:hint="eastAsia" w:ascii="宋体" w:hAnsi="宋体" w:eastAsia="宋体" w:cs="宋体"/>
              <w:bCs w:val="0"/>
              <w:i/>
              <w:color w:val="0070C0"/>
              <w:kern w:val="0"/>
              <w:szCs w:val="21"/>
            </w:rPr>
            <w:fldChar w:fldCharType="end"/>
          </w:r>
        </w:p>
        <w:p w14:paraId="45B0188A">
          <w:pPr>
            <w:pStyle w:val="17"/>
            <w:tabs>
              <w:tab w:val="right" w:leader="dot" w:pos="8306"/>
              <w:tab w:val="clear" w:pos="8296"/>
            </w:tabs>
            <w:ind w:left="0" w:leftChars="0" w:firstLine="420" w:firstLineChars="200"/>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_Toc26411 </w:instrText>
          </w:r>
          <w:r>
            <w:rPr>
              <w:rFonts w:hint="eastAsia" w:ascii="宋体" w:hAnsi="宋体" w:eastAsia="宋体" w:cs="宋体"/>
              <w:bCs w:val="0"/>
              <w:i/>
              <w:kern w:val="0"/>
              <w:szCs w:val="21"/>
            </w:rPr>
            <w:fldChar w:fldCharType="separate"/>
          </w:r>
          <w:r>
            <w:rPr>
              <w:rFonts w:hint="eastAsia" w:ascii="Times New Roman" w:hAnsi="Times New Roman" w:eastAsia="黑体" w:cstheme="minorBidi"/>
              <w:kern w:val="2"/>
              <w:szCs w:val="21"/>
              <w:highlight w:val="none"/>
            </w:rPr>
            <w:t>5</w:t>
          </w:r>
          <w:r>
            <w:rPr>
              <w:rFonts w:ascii="Times New Roman" w:hAnsi="Times New Roman" w:eastAsia="黑体" w:cstheme="minorBidi"/>
              <w:kern w:val="2"/>
              <w:szCs w:val="21"/>
              <w:highlight w:val="none"/>
            </w:rPr>
            <w:t>.</w:t>
          </w:r>
          <w:r>
            <w:rPr>
              <w:rFonts w:hint="eastAsia" w:ascii="Times New Roman" w:eastAsia="黑体" w:cstheme="minorBidi"/>
              <w:kern w:val="2"/>
              <w:szCs w:val="21"/>
              <w:highlight w:val="none"/>
              <w:lang w:val="en-US" w:eastAsia="zh-CN"/>
            </w:rPr>
            <w:t>3</w:t>
          </w:r>
          <w:r>
            <w:rPr>
              <w:rFonts w:hint="eastAsia" w:ascii="Times New Roman" w:hAnsi="Times New Roman" w:eastAsia="黑体" w:cstheme="minorBidi"/>
              <w:kern w:val="2"/>
              <w:szCs w:val="21"/>
              <w:highlight w:val="none"/>
              <w:lang w:val="en-US" w:eastAsia="zh-CN"/>
            </w:rPr>
            <w:t>肝经火旺</w:t>
          </w:r>
          <w:r>
            <w:rPr>
              <w:rFonts w:hint="eastAsia" w:ascii="Times New Roman" w:hAnsi="Times New Roman" w:eastAsia="黑体" w:cstheme="minorBidi"/>
              <w:kern w:val="2"/>
              <w:szCs w:val="21"/>
              <w:highlight w:val="none"/>
            </w:rPr>
            <w:t>证疗效评价</w:t>
          </w:r>
          <w:r>
            <w:rPr>
              <w:rFonts w:hint="eastAsia" w:ascii="Times New Roman" w:eastAsia="黑体" w:cstheme="minorBidi"/>
              <w:kern w:val="2"/>
              <w:szCs w:val="21"/>
              <w:highlight w:val="none"/>
              <w:lang w:val="en-US" w:eastAsia="zh-CN"/>
            </w:rPr>
            <w:t>标准</w:t>
          </w:r>
          <w:r>
            <w:tab/>
          </w:r>
          <w:r>
            <w:fldChar w:fldCharType="begin"/>
          </w:r>
          <w:r>
            <w:instrText xml:space="preserve"> PAGEREF _Toc26411 \h </w:instrText>
          </w:r>
          <w:r>
            <w:fldChar w:fldCharType="separate"/>
          </w:r>
          <w:r>
            <w:t>8</w:t>
          </w:r>
          <w:r>
            <w:fldChar w:fldCharType="end"/>
          </w:r>
          <w:r>
            <w:rPr>
              <w:rFonts w:hint="eastAsia" w:ascii="宋体" w:hAnsi="宋体" w:eastAsia="宋体" w:cs="宋体"/>
              <w:bCs w:val="0"/>
              <w:i/>
              <w:color w:val="0070C0"/>
              <w:kern w:val="0"/>
              <w:szCs w:val="21"/>
            </w:rPr>
            <w:fldChar w:fldCharType="end"/>
          </w:r>
        </w:p>
        <w:p w14:paraId="0911EAE2">
          <w:pPr>
            <w:pStyle w:val="16"/>
            <w:tabs>
              <w:tab w:val="right" w:leader="dot" w:pos="8306"/>
            </w:tabs>
          </w:pPr>
          <w:r>
            <w:rPr>
              <w:rFonts w:hint="eastAsia" w:ascii="宋体" w:hAnsi="宋体" w:eastAsia="宋体" w:cs="宋体"/>
              <w:bCs w:val="0"/>
              <w:i/>
              <w:color w:val="0070C0"/>
              <w:kern w:val="0"/>
              <w:szCs w:val="21"/>
            </w:rPr>
            <w:fldChar w:fldCharType="begin"/>
          </w:r>
          <w:r>
            <w:rPr>
              <w:rFonts w:hint="eastAsia" w:ascii="宋体" w:hAnsi="宋体" w:eastAsia="宋体" w:cs="宋体"/>
              <w:bCs w:val="0"/>
              <w:i/>
              <w:kern w:val="0"/>
              <w:szCs w:val="21"/>
            </w:rPr>
            <w:instrText xml:space="preserve"> HYPERLINK \l _Toc5829 </w:instrText>
          </w:r>
          <w:r>
            <w:rPr>
              <w:rFonts w:hint="eastAsia" w:ascii="宋体" w:hAnsi="宋体" w:eastAsia="宋体" w:cs="宋体"/>
              <w:bCs w:val="0"/>
              <w:i/>
              <w:kern w:val="0"/>
              <w:szCs w:val="21"/>
            </w:rPr>
            <w:fldChar w:fldCharType="separate"/>
          </w:r>
          <w:r>
            <w:rPr>
              <w:rFonts w:hint="eastAsia" w:ascii="黑体" w:hAnsi="黑体" w:eastAsia="黑体" w:cs="黑体"/>
              <w:szCs w:val="21"/>
            </w:rPr>
            <w:t>参 考 文 献</w:t>
          </w:r>
          <w:r>
            <w:tab/>
          </w:r>
          <w:r>
            <w:fldChar w:fldCharType="begin"/>
          </w:r>
          <w:r>
            <w:instrText xml:space="preserve"> PAGEREF _Toc5829 \h </w:instrText>
          </w:r>
          <w:r>
            <w:fldChar w:fldCharType="separate"/>
          </w:r>
          <w:r>
            <w:t>9</w:t>
          </w:r>
          <w:r>
            <w:fldChar w:fldCharType="end"/>
          </w:r>
          <w:r>
            <w:rPr>
              <w:rFonts w:hint="eastAsia" w:ascii="宋体" w:hAnsi="宋体" w:eastAsia="宋体" w:cs="宋体"/>
              <w:bCs w:val="0"/>
              <w:i/>
              <w:color w:val="0070C0"/>
              <w:kern w:val="0"/>
              <w:szCs w:val="21"/>
            </w:rPr>
            <w:fldChar w:fldCharType="end"/>
          </w:r>
        </w:p>
        <w:p w14:paraId="2929E83D">
          <w:pPr>
            <w:spacing w:line="360" w:lineRule="exact"/>
            <w:ind w:firstLine="400"/>
            <w:rPr>
              <w:rFonts w:hint="eastAsia" w:ascii="宋体" w:hAnsi="宋体" w:eastAsia="宋体" w:cs="宋体"/>
              <w:i/>
              <w:color w:val="0070C0"/>
              <w:kern w:val="0"/>
              <w:sz w:val="21"/>
              <w:szCs w:val="21"/>
              <w:lang w:val="en-US" w:eastAsia="zh-CN" w:bidi="ar-SA"/>
            </w:rPr>
          </w:pPr>
          <w:r>
            <w:rPr>
              <w:rFonts w:hint="eastAsia" w:ascii="宋体" w:hAnsi="宋体" w:eastAsia="宋体" w:cs="宋体"/>
              <w:bCs w:val="0"/>
              <w:i/>
              <w:color w:val="0070C0"/>
              <w:kern w:val="0"/>
              <w:szCs w:val="21"/>
            </w:rPr>
            <w:fldChar w:fldCharType="end"/>
          </w:r>
        </w:p>
      </w:sdtContent>
    </w:sdt>
    <w:p w14:paraId="3B1B2BC6">
      <w:pPr>
        <w:spacing w:line="360" w:lineRule="exact"/>
        <w:ind w:firstLine="400"/>
        <w:rPr>
          <w:rFonts w:ascii="Times New Roman" w:hAnsi="Times New Roman" w:eastAsia="黑体" w:cs="Times New Roman"/>
          <w:i/>
          <w:color w:val="0070C0"/>
          <w:kern w:val="0"/>
          <w:sz w:val="24"/>
          <w:szCs w:val="21"/>
          <w:lang w:val="en-US" w:eastAsia="zh-CN" w:bidi="ar-SA"/>
        </w:rPr>
      </w:pPr>
    </w:p>
    <w:p w14:paraId="1ED729B3">
      <w:pPr>
        <w:spacing w:line="360" w:lineRule="exact"/>
        <w:ind w:firstLine="480"/>
        <w:rPr>
          <w:rFonts w:ascii="Times New Roman" w:hAnsi="Times New Roman" w:cs="Times New Roman"/>
        </w:rPr>
      </w:pPr>
    </w:p>
    <w:p w14:paraId="62DD04AD">
      <w:pPr>
        <w:spacing w:line="360" w:lineRule="exact"/>
        <w:ind w:firstLine="480"/>
        <w:rPr>
          <w:rFonts w:ascii="Times New Roman" w:hAnsi="Times New Roman" w:cs="Times New Roman"/>
        </w:rPr>
        <w:sectPr>
          <w:endnotePr>
            <w:numFmt w:val="decimal"/>
          </w:endnotePr>
          <w:pgSz w:w="11906" w:h="16838"/>
          <w:pgMar w:top="1440" w:right="1800" w:bottom="1440" w:left="1800" w:header="1418" w:footer="1134" w:gutter="0"/>
          <w:pgBorders>
            <w:top w:val="none" w:sz="0" w:space="0"/>
            <w:left w:val="none" w:sz="0" w:space="0"/>
            <w:bottom w:val="none" w:sz="0" w:space="0"/>
            <w:right w:val="none" w:sz="0" w:space="0"/>
          </w:pgBorders>
          <w:pgNumType w:fmt="upperRoman" w:start="1"/>
          <w:cols w:space="720" w:num="1"/>
          <w:formProt w:val="0"/>
          <w:docGrid w:linePitch="326" w:charSpace="0"/>
        </w:sectPr>
      </w:pPr>
    </w:p>
    <w:p w14:paraId="4396646B">
      <w:pPr>
        <w:pStyle w:val="40"/>
        <w:keepNext w:val="0"/>
        <w:keepLines w:val="0"/>
        <w:pageBreakBefore w:val="0"/>
        <w:widowControl/>
        <w:kinsoku/>
        <w:wordWrap/>
        <w:overflowPunct/>
        <w:topLinePunct w:val="0"/>
        <w:autoSpaceDE/>
        <w:autoSpaceDN/>
        <w:bidi w:val="0"/>
        <w:adjustRightInd/>
        <w:snapToGrid/>
        <w:spacing w:before="0" w:after="0" w:line="360" w:lineRule="exact"/>
        <w:textAlignment w:val="auto"/>
        <w:rPr>
          <w:rFonts w:ascii="Times New Roman" w:hAnsi="Times New Roman"/>
        </w:rPr>
      </w:pPr>
      <w:bookmarkStart w:id="10" w:name="_Toc184384511"/>
      <w:bookmarkStart w:id="11" w:name="_Toc14978"/>
      <w:bookmarkStart w:id="12" w:name="_Toc12526"/>
      <w:bookmarkStart w:id="13" w:name="_Toc23023"/>
      <w:bookmarkStart w:id="14" w:name="_Toc15609"/>
      <w:bookmarkStart w:id="15" w:name="_Toc13086"/>
      <w:r>
        <w:rPr>
          <w:rFonts w:ascii="Times New Roman" w:hAnsi="Times New Roman"/>
        </w:rPr>
        <w:t>前  言</w:t>
      </w:r>
      <w:bookmarkEnd w:id="10"/>
      <w:bookmarkEnd w:id="11"/>
      <w:bookmarkEnd w:id="12"/>
      <w:bookmarkEnd w:id="13"/>
      <w:bookmarkEnd w:id="14"/>
      <w:bookmarkEnd w:id="15"/>
    </w:p>
    <w:p w14:paraId="49C433EC">
      <w:pPr>
        <w:spacing w:line="360" w:lineRule="exact"/>
        <w:ind w:firstLine="480"/>
        <w:rPr>
          <w:rFonts w:ascii="Times New Roman" w:hAnsi="Times New Roman"/>
        </w:rPr>
      </w:pPr>
    </w:p>
    <w:p w14:paraId="420C09A6">
      <w:pPr>
        <w:pStyle w:val="33"/>
        <w:spacing w:line="360" w:lineRule="exact"/>
        <w:ind w:firstLine="420"/>
        <w:rPr>
          <w:rFonts w:hint="eastAsia" w:ascii="Times New Roman" w:hAnsi="Times New Roman"/>
          <w:color w:val="auto"/>
        </w:rPr>
      </w:pPr>
      <w:bookmarkStart w:id="16" w:name="_Toc510534526"/>
      <w:bookmarkStart w:id="17" w:name="_Toc436205034"/>
      <w:bookmarkStart w:id="18" w:name="_Toc509933847"/>
      <w:r>
        <w:rPr>
          <w:rFonts w:hint="eastAsia" w:ascii="Times New Roman" w:hAnsi="Times New Roman"/>
          <w:color w:val="auto"/>
        </w:rPr>
        <w:t>本文件参照</w:t>
      </w:r>
      <w:bookmarkStart w:id="19" w:name="OLE_LINK15"/>
      <w:bookmarkStart w:id="20" w:name="OLE_LINK16"/>
      <w:r>
        <w:rPr>
          <w:rFonts w:hint="eastAsia" w:ascii="Times New Roman" w:hAnsi="Times New Roman"/>
          <w:color w:val="auto"/>
        </w:rPr>
        <w:t>GB/T1.1—2020《标准化工作导则 第1部分：标准化文件的结构和起草规则》</w:t>
      </w:r>
      <w:bookmarkEnd w:id="19"/>
      <w:bookmarkEnd w:id="20"/>
      <w:r>
        <w:rPr>
          <w:rFonts w:hint="eastAsia" w:ascii="Times New Roman" w:hAnsi="Times New Roman"/>
          <w:color w:val="auto"/>
        </w:rPr>
        <w:t>的规定起草。</w:t>
      </w:r>
    </w:p>
    <w:p w14:paraId="077DB47A">
      <w:pPr>
        <w:pStyle w:val="33"/>
        <w:spacing w:line="360" w:lineRule="exact"/>
        <w:ind w:firstLine="420"/>
        <w:rPr>
          <w:rFonts w:hint="eastAsia" w:ascii="Times New Roman" w:hAnsi="Times New Roman"/>
          <w:color w:val="auto"/>
        </w:rPr>
      </w:pPr>
      <w:r>
        <w:rPr>
          <w:rFonts w:hint="eastAsia" w:ascii="Times New Roman" w:hAnsi="Times New Roman"/>
          <w:color w:val="auto"/>
        </w:rPr>
        <w:t>请注意本文件的某些内容可能涉及专利。本文件的发布机构不承担识别专利的责任。</w:t>
      </w:r>
    </w:p>
    <w:p w14:paraId="7C816C15">
      <w:pPr>
        <w:pStyle w:val="33"/>
        <w:spacing w:line="360" w:lineRule="exact"/>
        <w:ind w:firstLine="420"/>
        <w:rPr>
          <w:rFonts w:hint="eastAsia" w:ascii="Times New Roman" w:hAnsi="Times New Roman"/>
          <w:color w:val="auto"/>
        </w:rPr>
      </w:pPr>
      <w:r>
        <w:rPr>
          <w:rFonts w:hint="eastAsia" w:ascii="Times New Roman" w:hAnsi="Times New Roman"/>
          <w:color w:val="auto"/>
        </w:rPr>
        <w:t>本文件由中国中医科学院西苑医院提出。</w:t>
      </w:r>
    </w:p>
    <w:p w14:paraId="0C1C5193">
      <w:pPr>
        <w:pStyle w:val="33"/>
        <w:spacing w:line="360" w:lineRule="exact"/>
        <w:ind w:firstLine="420"/>
        <w:rPr>
          <w:rFonts w:hint="eastAsia" w:ascii="Times New Roman" w:hAnsi="Times New Roman"/>
          <w:color w:val="auto"/>
        </w:rPr>
      </w:pPr>
      <w:r>
        <w:rPr>
          <w:rFonts w:hint="eastAsia" w:ascii="Times New Roman" w:hAnsi="Times New Roman"/>
          <w:color w:val="auto"/>
        </w:rPr>
        <w:t>本文件由中华中医药学会归口。</w:t>
      </w:r>
    </w:p>
    <w:p w14:paraId="166507CA">
      <w:pPr>
        <w:pStyle w:val="33"/>
        <w:spacing w:line="360" w:lineRule="exact"/>
        <w:ind w:firstLine="420"/>
        <w:rPr>
          <w:rFonts w:hint="eastAsia" w:ascii="Times New Roman" w:hAnsi="Times New Roman"/>
          <w:color w:val="auto"/>
          <w:lang w:val="en-US" w:eastAsia="zh-CN"/>
        </w:rPr>
      </w:pPr>
      <w:r>
        <w:rPr>
          <w:rFonts w:hint="eastAsia" w:ascii="Times New Roman" w:hAnsi="Times New Roman"/>
          <w:color w:val="auto"/>
          <w:lang w:val="en-US" w:eastAsia="zh-CN"/>
        </w:rPr>
        <w:t>本文件</w:t>
      </w:r>
      <w:r>
        <w:rPr>
          <w:rFonts w:hint="default" w:ascii="Times New Roman" w:hAnsi="Times New Roman"/>
          <w:color w:val="auto"/>
          <w:lang w:val="en-US" w:eastAsia="zh-CN"/>
        </w:rPr>
        <w:t>主要起草单位：中国中医科学院西苑医院</w:t>
      </w:r>
    </w:p>
    <w:p w14:paraId="09278DF7">
      <w:pPr>
        <w:pStyle w:val="33"/>
        <w:spacing w:line="360" w:lineRule="exact"/>
        <w:ind w:firstLine="420"/>
        <w:rPr>
          <w:rFonts w:hint="eastAsia" w:ascii="Times New Roman" w:hAnsi="Times New Roman"/>
          <w:color w:val="auto"/>
          <w:lang w:val="en-US" w:eastAsia="zh-CN"/>
        </w:rPr>
      </w:pPr>
      <w:r>
        <w:rPr>
          <w:rFonts w:hint="eastAsia" w:ascii="Times New Roman" w:hAnsi="Times New Roman"/>
          <w:color w:val="auto"/>
        </w:rPr>
        <w:t>本文件起草单位：</w:t>
      </w:r>
      <w:r>
        <w:rPr>
          <w:rFonts w:hint="eastAsia" w:ascii="Times New Roman" w:hAnsi="Times New Roman"/>
          <w:color w:val="auto"/>
          <w:lang w:val="en-US" w:eastAsia="zh-CN"/>
        </w:rPr>
        <w:t>中国中医科学院广安门医院、</w:t>
      </w:r>
      <w:r>
        <w:rPr>
          <w:rFonts w:hint="eastAsia" w:ascii="Times New Roman" w:hAnsi="Times New Roman"/>
          <w:color w:val="auto"/>
        </w:rPr>
        <w:t>山东中医药大学附属医院</w:t>
      </w:r>
      <w:r>
        <w:rPr>
          <w:rFonts w:hint="eastAsia" w:ascii="Times New Roman" w:hAnsi="Times New Roman"/>
          <w:color w:val="auto"/>
          <w:lang w:eastAsia="zh-CN"/>
        </w:rPr>
        <w:t>、</w:t>
      </w:r>
      <w:r>
        <w:rPr>
          <w:rFonts w:hint="eastAsia" w:ascii="Times New Roman" w:hAnsi="Times New Roman"/>
          <w:color w:val="auto"/>
        </w:rPr>
        <w:t>湖南中医药大学第一附属医院</w:t>
      </w:r>
      <w:r>
        <w:rPr>
          <w:rFonts w:hint="eastAsia" w:ascii="Times New Roman" w:hAnsi="Times New Roman"/>
          <w:color w:val="auto"/>
          <w:lang w:eastAsia="zh-CN"/>
        </w:rPr>
        <w:t>、</w:t>
      </w:r>
      <w:r>
        <w:rPr>
          <w:rFonts w:hint="eastAsia" w:ascii="Times New Roman" w:hAnsi="Times New Roman"/>
          <w:color w:val="auto"/>
          <w:lang w:val="en-US" w:eastAsia="zh-CN"/>
        </w:rPr>
        <w:t>西安市中医医院、</w:t>
      </w:r>
      <w:r>
        <w:rPr>
          <w:rFonts w:hint="eastAsia" w:ascii="Times New Roman" w:hAnsi="Times New Roman"/>
          <w:color w:val="auto"/>
          <w:lang w:eastAsia="zh-CN"/>
        </w:rPr>
        <w:t>河南中医药大学第一附属医院、南京中医药大学、上海中医药大学曙光医院、北京中医药大学、</w:t>
      </w:r>
      <w:r>
        <w:rPr>
          <w:rFonts w:hint="eastAsia" w:ascii="Times New Roman" w:hAnsi="Times New Roman"/>
          <w:color w:val="auto"/>
          <w:lang w:val="en-US" w:eastAsia="zh-CN"/>
        </w:rPr>
        <w:t>苏州市中医医院</w:t>
      </w:r>
    </w:p>
    <w:p w14:paraId="31A24BB3">
      <w:pPr>
        <w:pStyle w:val="33"/>
        <w:spacing w:line="360" w:lineRule="exact"/>
        <w:ind w:firstLine="420"/>
        <w:rPr>
          <w:rFonts w:hint="eastAsia" w:ascii="Times New Roman" w:hAnsi="Times New Roman"/>
          <w:color w:val="auto"/>
          <w:highlight w:val="none"/>
        </w:rPr>
      </w:pPr>
      <w:r>
        <w:rPr>
          <w:rFonts w:hint="eastAsia" w:ascii="Times New Roman" w:hAnsi="Times New Roman"/>
          <w:color w:val="auto"/>
        </w:rPr>
        <w:t>本文件主要起草人：</w:t>
      </w:r>
      <w:r>
        <w:rPr>
          <w:rFonts w:hint="eastAsia" w:ascii="Times New Roman" w:hAnsi="Times New Roman"/>
          <w:color w:val="auto"/>
          <w:highlight w:val="none"/>
        </w:rPr>
        <w:t>高蕊</w:t>
      </w:r>
    </w:p>
    <w:p w14:paraId="42B6673A">
      <w:pPr>
        <w:pStyle w:val="33"/>
        <w:spacing w:line="360" w:lineRule="exact"/>
        <w:ind w:firstLine="420"/>
        <w:rPr>
          <w:rFonts w:hint="eastAsia" w:ascii="Times New Roman" w:hAnsi="Times New Roman"/>
          <w:color w:val="auto"/>
          <w:highlight w:val="none"/>
        </w:rPr>
      </w:pPr>
      <w:r>
        <w:rPr>
          <w:rFonts w:hint="eastAsia" w:ascii="Times New Roman" w:hAnsi="Times New Roman"/>
          <w:color w:val="auto"/>
        </w:rPr>
        <w:t>本文件其它起草人：</w:t>
      </w:r>
      <w:r>
        <w:rPr>
          <w:rFonts w:hint="eastAsia" w:ascii="Times New Roman" w:hAnsi="Times New Roman"/>
          <w:color w:val="auto"/>
          <w:highlight w:val="none"/>
        </w:rPr>
        <w:t>武丹蕾、郭承伟、喻京生、李建超、符宇</w:t>
      </w:r>
      <w:r>
        <w:rPr>
          <w:rFonts w:hint="eastAsia" w:ascii="Times New Roman"/>
          <w:color w:val="auto"/>
          <w:highlight w:val="none"/>
          <w:lang w:eastAsia="zh-CN"/>
        </w:rPr>
        <w:t>、</w:t>
      </w:r>
      <w:r>
        <w:rPr>
          <w:rFonts w:hint="eastAsia" w:ascii="Times New Roman"/>
          <w:color w:val="auto"/>
          <w:highlight w:val="none"/>
          <w:lang w:val="en-US" w:eastAsia="zh-CN"/>
        </w:rPr>
        <w:t>马晓昌、张大武、</w:t>
      </w:r>
      <w:r>
        <w:rPr>
          <w:rFonts w:hint="eastAsia" w:ascii="Times New Roman"/>
          <w:color w:val="auto"/>
          <w:highlight w:val="none"/>
          <w:lang w:eastAsia="zh-CN"/>
        </w:rPr>
        <w:t>褚利群、申春悌、周婉瑜、元唯安、王天芳、</w:t>
      </w:r>
      <w:r>
        <w:rPr>
          <w:rFonts w:hint="eastAsia" w:ascii="Times New Roman" w:hAnsi="Times New Roman"/>
          <w:color w:val="auto"/>
          <w:highlight w:val="none"/>
        </w:rPr>
        <w:t>王桂杰</w:t>
      </w:r>
      <w:r>
        <w:rPr>
          <w:rFonts w:hint="eastAsia" w:ascii="Times New Roman"/>
          <w:color w:val="auto"/>
          <w:highlight w:val="none"/>
          <w:lang w:eastAsia="zh-CN"/>
        </w:rPr>
        <w:t>、</w:t>
      </w:r>
      <w:r>
        <w:rPr>
          <w:rFonts w:hint="eastAsia" w:ascii="Times New Roman" w:hAnsi="Times New Roman"/>
          <w:lang w:val="en-US" w:eastAsia="zh-CN"/>
        </w:rPr>
        <w:t>张颢龄、</w:t>
      </w:r>
      <w:r>
        <w:rPr>
          <w:rFonts w:hint="eastAsia" w:ascii="Times New Roman" w:hAnsi="Times New Roman"/>
          <w:color w:val="auto"/>
          <w:highlight w:val="none"/>
        </w:rPr>
        <w:t>王建新</w:t>
      </w:r>
      <w:r>
        <w:rPr>
          <w:rFonts w:hint="eastAsia" w:ascii="Times New Roman" w:hAnsi="Times New Roman"/>
          <w:color w:val="auto"/>
          <w:highlight w:val="none"/>
          <w:lang w:eastAsia="zh-CN"/>
        </w:rPr>
        <w:t>、</w:t>
      </w:r>
      <w:r>
        <w:rPr>
          <w:rFonts w:hint="eastAsia" w:ascii="Times New Roman" w:hAnsi="Times New Roman"/>
          <w:color w:val="auto"/>
          <w:highlight w:val="none"/>
        </w:rPr>
        <w:t>赵飞燕、孙明月、张国</w:t>
      </w:r>
      <w:r>
        <w:rPr>
          <w:rFonts w:hint="eastAsia" w:ascii="Times New Roman" w:hAnsi="Times New Roman"/>
          <w:color w:val="auto"/>
          <w:highlight w:val="none"/>
          <w:lang w:val="en-US" w:eastAsia="zh-CN"/>
        </w:rPr>
        <w:t>瑗</w:t>
      </w:r>
      <w:r>
        <w:rPr>
          <w:rFonts w:hint="eastAsia" w:ascii="Times New Roman" w:hAnsi="Times New Roman"/>
          <w:color w:val="auto"/>
          <w:highlight w:val="none"/>
        </w:rPr>
        <w:t>、钱真真、代欣玥</w:t>
      </w:r>
      <w:r>
        <w:rPr>
          <w:rFonts w:hint="eastAsia" w:ascii="Times New Roman"/>
          <w:color w:val="auto"/>
          <w:highlight w:val="none"/>
          <w:lang w:eastAsia="zh-CN"/>
        </w:rPr>
        <w:t>、</w:t>
      </w:r>
      <w:r>
        <w:rPr>
          <w:rFonts w:hint="eastAsia" w:ascii="Times New Roman"/>
          <w:color w:val="auto"/>
          <w:highlight w:val="none"/>
          <w:lang w:val="en-US" w:eastAsia="zh-CN"/>
        </w:rPr>
        <w:t>任毅铭、高娅婷、赵黎明</w:t>
      </w:r>
    </w:p>
    <w:p w14:paraId="120890C3">
      <w:pPr>
        <w:pStyle w:val="33"/>
        <w:spacing w:line="360" w:lineRule="exact"/>
        <w:ind w:firstLine="420"/>
        <w:rPr>
          <w:rFonts w:hint="eastAsia" w:ascii="Times New Roman" w:hAnsi="Times New Roman"/>
          <w:color w:val="auto"/>
        </w:rPr>
      </w:pPr>
    </w:p>
    <w:p w14:paraId="3BDD76F5">
      <w:pPr>
        <w:pStyle w:val="33"/>
        <w:spacing w:line="360" w:lineRule="exact"/>
        <w:ind w:firstLine="420"/>
        <w:rPr>
          <w:rFonts w:ascii="Times New Roman" w:hAnsi="Times New Roman"/>
          <w:szCs w:val="21"/>
        </w:rPr>
      </w:pPr>
    </w:p>
    <w:p w14:paraId="5FB1271E">
      <w:pPr>
        <w:pStyle w:val="33"/>
        <w:spacing w:line="360" w:lineRule="exact"/>
        <w:ind w:firstLine="420"/>
        <w:rPr>
          <w:rFonts w:ascii="Times New Roman" w:hAnsi="Times New Roman" w:eastAsiaTheme="minorEastAsia"/>
          <w:szCs w:val="21"/>
        </w:rPr>
      </w:pPr>
    </w:p>
    <w:p w14:paraId="3A824008">
      <w:pPr>
        <w:pStyle w:val="33"/>
        <w:spacing w:line="360" w:lineRule="exact"/>
        <w:ind w:firstLine="420"/>
        <w:rPr>
          <w:rFonts w:ascii="Times New Roman" w:hAnsi="Times New Roman" w:eastAsiaTheme="minorEastAsia"/>
          <w:sz w:val="32"/>
        </w:rPr>
      </w:pPr>
      <w:r>
        <w:rPr>
          <w:rFonts w:ascii="Times New Roman" w:hAnsi="Times New Roman" w:eastAsiaTheme="minorEastAsia"/>
        </w:rPr>
        <w:br w:type="page"/>
      </w:r>
    </w:p>
    <w:p w14:paraId="31DF42EE">
      <w:pPr>
        <w:pStyle w:val="40"/>
        <w:spacing w:before="0" w:after="0" w:line="360" w:lineRule="exact"/>
        <w:rPr>
          <w:rFonts w:ascii="Times New Roman" w:hAnsi="Times New Roman"/>
          <w:highlight w:val="none"/>
        </w:rPr>
      </w:pPr>
      <w:bookmarkStart w:id="21" w:name="_Toc5742"/>
      <w:bookmarkStart w:id="22" w:name="_Toc184384512"/>
      <w:bookmarkStart w:id="23" w:name="_Toc12902"/>
      <w:bookmarkStart w:id="24" w:name="_Toc16930"/>
      <w:bookmarkStart w:id="25" w:name="_Toc12061"/>
      <w:bookmarkStart w:id="26" w:name="_Toc19921"/>
      <w:r>
        <w:rPr>
          <w:rFonts w:ascii="Times New Roman" w:hAnsi="Times New Roman"/>
          <w:highlight w:val="none"/>
        </w:rPr>
        <w:t>引</w:t>
      </w:r>
      <w:bookmarkStart w:id="27" w:name="BKYY"/>
      <w:r>
        <w:rPr>
          <w:rFonts w:hint="eastAsia" w:ascii="Times New Roman" w:hAnsi="Times New Roman"/>
          <w:highlight w:val="none"/>
        </w:rPr>
        <w:t xml:space="preserve">  </w:t>
      </w:r>
      <w:r>
        <w:rPr>
          <w:rFonts w:ascii="Times New Roman" w:hAnsi="Times New Roman"/>
          <w:highlight w:val="none"/>
        </w:rPr>
        <w:t>言</w:t>
      </w:r>
      <w:bookmarkEnd w:id="16"/>
      <w:bookmarkEnd w:id="17"/>
      <w:bookmarkEnd w:id="18"/>
      <w:bookmarkEnd w:id="21"/>
      <w:bookmarkEnd w:id="22"/>
      <w:bookmarkEnd w:id="23"/>
      <w:bookmarkEnd w:id="24"/>
      <w:bookmarkEnd w:id="25"/>
      <w:bookmarkEnd w:id="26"/>
      <w:bookmarkEnd w:id="27"/>
    </w:p>
    <w:p w14:paraId="7B765E56">
      <w:pPr>
        <w:snapToGrid w:val="0"/>
        <w:spacing w:line="360" w:lineRule="exact"/>
        <w:ind w:firstLine="420" w:firstLineChars="0"/>
        <w:rPr>
          <w:rFonts w:hint="eastAsia" w:ascii="Times New Roman" w:hAnsi="Times New Roman" w:cs="Times New Roman" w:eastAsiaTheme="minorEastAsia"/>
          <w:color w:val="auto"/>
          <w:kern w:val="0"/>
          <w:sz w:val="21"/>
          <w:szCs w:val="21"/>
          <w:lang w:val="en-US" w:eastAsia="zh-CN" w:bidi="ar"/>
        </w:rPr>
      </w:pPr>
    </w:p>
    <w:p w14:paraId="12BD0C0A">
      <w:pPr>
        <w:keepNext w:val="0"/>
        <w:keepLines w:val="0"/>
        <w:pageBreakBefore w:val="0"/>
        <w:wordWrap/>
        <w:overflowPunct/>
        <w:topLinePunct w:val="0"/>
        <w:bidi w:val="0"/>
        <w:snapToGrid w:val="0"/>
        <w:spacing w:line="360" w:lineRule="exact"/>
        <w:ind w:firstLine="420" w:firstLineChars="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
        </w:rPr>
        <w:t>本文件是一部指导和规范肝经火旺证诊断和疗效评价的规范性文件。</w:t>
      </w:r>
      <w:r>
        <w:rPr>
          <w:rFonts w:hint="eastAsia" w:ascii="宋体" w:hAnsi="宋体" w:eastAsia="宋体" w:cs="宋体"/>
          <w:color w:val="auto"/>
          <w:kern w:val="0"/>
          <w:sz w:val="21"/>
          <w:szCs w:val="21"/>
        </w:rPr>
        <w:t xml:space="preserve"> </w:t>
      </w:r>
    </w:p>
    <w:p w14:paraId="321B3C19">
      <w:pPr>
        <w:keepNext w:val="0"/>
        <w:keepLines w:val="0"/>
        <w:pageBreakBefore w:val="0"/>
        <w:widowControl/>
        <w:suppressLineNumbers w:val="0"/>
        <w:wordWrap/>
        <w:overflowPunct/>
        <w:topLinePunct w:val="0"/>
        <w:bidi w:val="0"/>
        <w:snapToGrid w:val="0"/>
        <w:spacing w:line="360" w:lineRule="exact"/>
        <w:ind w:firstLine="420"/>
        <w:jc w:val="left"/>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iCs w:val="0"/>
          <w:color w:val="auto"/>
          <w:kern w:val="0"/>
          <w:sz w:val="21"/>
          <w:szCs w:val="21"/>
          <w:highlight w:val="none"/>
          <w:lang w:val="en-US" w:eastAsia="zh-CN"/>
        </w:rPr>
        <w:t>证候是辨证论治和</w:t>
      </w:r>
      <w:r>
        <w:rPr>
          <w:rFonts w:hint="eastAsia" w:ascii="宋体" w:hAnsi="宋体" w:eastAsia="宋体" w:cs="宋体"/>
          <w:b w:val="0"/>
          <w:bCs w:val="0"/>
          <w:color w:val="auto"/>
          <w:kern w:val="0"/>
          <w:sz w:val="21"/>
          <w:szCs w:val="21"/>
          <w:lang w:val="en-US" w:eastAsia="zh-CN" w:bidi="ar-SA"/>
        </w:rPr>
        <w:t>中医临床</w:t>
      </w:r>
      <w:r>
        <w:rPr>
          <w:rFonts w:hint="eastAsia" w:ascii="宋体" w:hAnsi="宋体" w:eastAsia="宋体" w:cs="宋体"/>
          <w:iCs w:val="0"/>
          <w:color w:val="auto"/>
          <w:kern w:val="0"/>
          <w:sz w:val="21"/>
          <w:szCs w:val="21"/>
          <w:highlight w:val="none"/>
          <w:lang w:val="en-US" w:eastAsia="zh-CN"/>
        </w:rPr>
        <w:t>的核心，是中医诊断和治疗的基础。对证候进行规范化和标准化，有助于准确揭示疾病的本质，对疾病做出正确的证候诊断，</w:t>
      </w:r>
      <w:r>
        <w:rPr>
          <w:rFonts w:hint="eastAsia" w:ascii="宋体" w:hAnsi="宋体" w:eastAsia="宋体" w:cs="宋体"/>
          <w:b w:val="0"/>
          <w:bCs w:val="0"/>
          <w:color w:val="auto"/>
          <w:kern w:val="0"/>
          <w:sz w:val="21"/>
          <w:szCs w:val="21"/>
          <w:lang w:val="en-US" w:eastAsia="zh-CN" w:bidi="ar-SA"/>
        </w:rPr>
        <w:t>其客观化研究和规范有效的疗效评价标准是中医药临床评价的重要前提，也是证候类中药新药研发的有力保障。</w:t>
      </w:r>
    </w:p>
    <w:p w14:paraId="1797CAFA">
      <w:pPr>
        <w:keepNext w:val="0"/>
        <w:keepLines w:val="0"/>
        <w:pageBreakBefore w:val="0"/>
        <w:widowControl/>
        <w:suppressLineNumbers w:val="0"/>
        <w:wordWrap/>
        <w:overflowPunct/>
        <w:topLinePunct w:val="0"/>
        <w:bidi w:val="0"/>
        <w:snapToGrid w:val="0"/>
        <w:spacing w:line="360" w:lineRule="exact"/>
        <w:ind w:firstLine="420"/>
        <w:jc w:val="left"/>
        <w:rPr>
          <w:rFonts w:hint="eastAsia" w:ascii="宋体" w:hAnsi="宋体" w:eastAsia="宋体" w:cs="宋体"/>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肝经火旺证</w:t>
      </w:r>
      <w:r>
        <w:rPr>
          <w:rFonts w:hint="eastAsia" w:ascii="宋体" w:hAnsi="宋体" w:eastAsia="宋体" w:cs="宋体"/>
          <w:color w:val="auto"/>
          <w:kern w:val="0"/>
          <w:sz w:val="21"/>
          <w:szCs w:val="21"/>
        </w:rPr>
        <w:t>是中医常见基本证候之一。医生在临床实践中的证候诊断，大多结合现有标准和个人的临床经验。既往</w:t>
      </w:r>
      <w:r>
        <w:rPr>
          <w:rFonts w:hint="eastAsia" w:ascii="宋体" w:hAnsi="宋体" w:eastAsia="宋体" w:cs="宋体"/>
          <w:color w:val="auto"/>
          <w:kern w:val="0"/>
          <w:sz w:val="21"/>
          <w:szCs w:val="21"/>
          <w:lang w:val="en-US" w:eastAsia="zh-CN"/>
        </w:rPr>
        <w:t>肝经火旺</w:t>
      </w:r>
      <w:r>
        <w:rPr>
          <w:rFonts w:hint="eastAsia" w:ascii="宋体" w:hAnsi="宋体" w:eastAsia="宋体" w:cs="宋体"/>
          <w:color w:val="auto"/>
          <w:kern w:val="0"/>
          <w:sz w:val="21"/>
          <w:szCs w:val="21"/>
        </w:rPr>
        <w:t>证</w:t>
      </w:r>
      <w:r>
        <w:rPr>
          <w:rFonts w:hint="eastAsia" w:ascii="宋体" w:hAnsi="宋体" w:eastAsia="宋体" w:cs="宋体"/>
          <w:iCs w:val="0"/>
          <w:color w:val="auto"/>
          <w:kern w:val="0"/>
          <w:sz w:val="21"/>
          <w:szCs w:val="21"/>
          <w:highlight w:val="none"/>
          <w:lang w:val="en-US" w:eastAsia="zh-CN"/>
        </w:rPr>
        <w:t>诊断标准存在术语定义不规范，一词多义，一义多词，主次症状界定不清晰等情况，严重影响了证候诊断的规范性、一致性及可重复性。临床治疗上，不少医家在辨证论治思想指导下创立出以证候为主治的方药，并显示出独特的优势，此</w:t>
      </w:r>
      <w:r>
        <w:rPr>
          <w:rFonts w:hint="eastAsia" w:ascii="宋体" w:hAnsi="宋体" w:eastAsia="宋体" w:cs="宋体"/>
          <w:color w:val="auto"/>
          <w:kern w:val="0"/>
          <w:sz w:val="21"/>
          <w:szCs w:val="21"/>
          <w:lang w:val="en-US" w:eastAsia="zh-CN" w:bidi="ar-SA"/>
        </w:rPr>
        <w:t>类方剂主要应用于不同疾病的特定证候，是中医“异病同治”思想的体现。如何科学、客观地进行中医证候疗效评价是构建中医药疗效评价体系的一项重要工作。</w:t>
      </w:r>
    </w:p>
    <w:p w14:paraId="5A6417EC">
      <w:pPr>
        <w:pStyle w:val="44"/>
        <w:keepNext w:val="0"/>
        <w:keepLines w:val="0"/>
        <w:pageBreakBefore w:val="0"/>
        <w:kinsoku w:val="0"/>
        <w:wordWrap/>
        <w:overflowPunct/>
        <w:topLinePunct w:val="0"/>
        <w:autoSpaceDE w:val="0"/>
        <w:autoSpaceDN w:val="0"/>
        <w:bidi w:val="0"/>
        <w:adjustRightInd w:val="0"/>
        <w:snapToGrid w:val="0"/>
        <w:spacing w:beforeAutospacing="0" w:afterAutospacing="0" w:line="360" w:lineRule="exact"/>
        <w:ind w:firstLine="480"/>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i w:val="0"/>
          <w:iCs w:val="0"/>
          <w:caps w:val="0"/>
          <w:color w:val="auto"/>
          <w:spacing w:val="0"/>
          <w:kern w:val="0"/>
          <w:sz w:val="21"/>
          <w:szCs w:val="21"/>
          <w:shd w:val="clear" w:fill="auto"/>
        </w:rPr>
        <w:t>然而，当前肝经火旺证的诊断与疗效评价仍面临诸多问题。</w:t>
      </w:r>
      <w:r>
        <w:rPr>
          <w:rFonts w:hint="eastAsia" w:ascii="宋体" w:hAnsi="宋体" w:eastAsia="宋体" w:cs="宋体"/>
          <w:color w:val="auto"/>
          <w:kern w:val="0"/>
          <w:sz w:val="21"/>
          <w:szCs w:val="21"/>
          <w:highlight w:val="none"/>
          <w:lang w:val="en-US" w:eastAsia="zh-CN"/>
        </w:rPr>
        <w:t>在诊断方面，2021年发布的GB/T16751.2-2021《中医临床诊疗术语第2部分：证候》</w:t>
      </w:r>
      <w:r>
        <w:rPr>
          <w:rFonts w:hint="eastAsia" w:ascii="宋体" w:hAnsi="宋体" w:eastAsia="宋体" w:cs="宋体"/>
          <w:color w:val="auto"/>
          <w:kern w:val="0"/>
          <w:sz w:val="21"/>
          <w:szCs w:val="21"/>
          <w:highlight w:val="none"/>
          <w:vertAlign w:val="superscript"/>
          <w:lang w:val="en-US" w:eastAsia="zh-CN"/>
        </w:rPr>
        <w:t>[1]</w:t>
      </w:r>
      <w:r>
        <w:rPr>
          <w:rFonts w:hint="eastAsia" w:ascii="宋体" w:hAnsi="宋体" w:eastAsia="宋体" w:cs="宋体"/>
          <w:color w:val="auto"/>
          <w:kern w:val="0"/>
          <w:sz w:val="21"/>
          <w:szCs w:val="21"/>
          <w:highlight w:val="none"/>
          <w:lang w:val="en-US" w:eastAsia="zh-CN"/>
        </w:rPr>
        <w:t>虽对肝经火旺证做了术语定义和临床表现描述，但尚未明确主次症划分及组合判定标准。临床多依赖个人经验辨证，主观性强，不同医生对同一患者的证候判断差异较大。在疗效评价方面，尚无肝经火旺证疗效评价标准，缺乏统一的评价工具和判定标准</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highlight w:val="none"/>
          <w:lang w:val="en-US" w:eastAsia="zh-CN"/>
        </w:rPr>
        <w:t>传统评价以症状及舌脉改善为核心，主观性强、客观化不足，简单套用现代医学指标又难以体现中医药特色。上述问题的存在，不仅制约了肝经火旺证相关临床研究的规范开展，也直接影响了证候类中药新药的临床定位和疗效判定</w:t>
      </w:r>
      <w:r>
        <w:rPr>
          <w:rFonts w:hint="eastAsia" w:ascii="宋体" w:hAnsi="宋体" w:eastAsia="宋体" w:cs="宋体"/>
          <w:color w:val="auto"/>
          <w:kern w:val="0"/>
          <w:sz w:val="21"/>
          <w:szCs w:val="21"/>
          <w:lang w:val="en-US" w:eastAsia="zh-CN"/>
        </w:rPr>
        <w:t>，</w:t>
      </w:r>
      <w:r>
        <w:rPr>
          <w:rFonts w:hint="eastAsia" w:ascii="宋体" w:hAnsi="宋体" w:eastAsia="宋体" w:cs="宋体"/>
          <w:b w:val="0"/>
          <w:bCs w:val="0"/>
          <w:i w:val="0"/>
          <w:iCs w:val="0"/>
          <w:caps w:val="0"/>
          <w:color w:val="auto"/>
          <w:spacing w:val="0"/>
          <w:kern w:val="0"/>
          <w:sz w:val="21"/>
          <w:szCs w:val="21"/>
          <w:shd w:val="clear" w:fill="auto"/>
        </w:rPr>
        <w:t>尤其限制了以“异病同治”为理论基础的中药复方在多种疾病中的疗效评价与比较</w:t>
      </w:r>
      <w:r>
        <w:rPr>
          <w:rFonts w:hint="eastAsia" w:ascii="宋体" w:hAnsi="宋体" w:eastAsia="宋体" w:cs="宋体"/>
          <w:color w:val="auto"/>
          <w:kern w:val="0"/>
          <w:sz w:val="21"/>
          <w:szCs w:val="21"/>
          <w:highlight w:val="none"/>
          <w:lang w:val="en-US" w:eastAsia="zh-CN"/>
        </w:rPr>
        <w:t>。因此，制定一部满足临床科研和新药研发需要的肝经火旺证诊断</w:t>
      </w:r>
      <w:r>
        <w:rPr>
          <w:rFonts w:hint="eastAsia" w:ascii="宋体" w:hAnsi="宋体" w:eastAsia="宋体" w:cs="宋体"/>
          <w:color w:val="auto"/>
          <w:kern w:val="0"/>
          <w:sz w:val="21"/>
          <w:szCs w:val="21"/>
          <w:lang w:val="en-US" w:eastAsia="zh-CN"/>
        </w:rPr>
        <w:t>与</w:t>
      </w:r>
      <w:r>
        <w:rPr>
          <w:rFonts w:hint="eastAsia" w:ascii="宋体" w:hAnsi="宋体" w:eastAsia="宋体" w:cs="宋体"/>
          <w:color w:val="auto"/>
          <w:kern w:val="0"/>
          <w:sz w:val="21"/>
          <w:szCs w:val="21"/>
          <w:highlight w:val="none"/>
          <w:lang w:val="en-US" w:eastAsia="zh-CN"/>
        </w:rPr>
        <w:t>疗效评价规范，具有重要的现实意义和紧迫性。</w:t>
      </w:r>
    </w:p>
    <w:p w14:paraId="759462C8">
      <w:pPr>
        <w:keepNext w:val="0"/>
        <w:keepLines w:val="0"/>
        <w:pageBreakBefore w:val="0"/>
        <w:widowControl/>
        <w:suppressLineNumbers w:val="0"/>
        <w:wordWrap/>
        <w:overflowPunct/>
        <w:topLinePunct w:val="0"/>
        <w:bidi w:val="0"/>
        <w:spacing w:line="360" w:lineRule="exact"/>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本团队参考《中医证候诊断标准研制指南》</w:t>
      </w:r>
      <w:r>
        <w:rPr>
          <w:rFonts w:hint="eastAsia" w:ascii="宋体" w:hAnsi="宋体" w:eastAsia="宋体" w:cs="宋体"/>
          <w:color w:val="auto"/>
          <w:kern w:val="0"/>
          <w:sz w:val="21"/>
          <w:szCs w:val="21"/>
          <w:vertAlign w:val="superscript"/>
          <w:lang w:val="en-US" w:eastAsia="zh-CN"/>
        </w:rPr>
        <w:t>[2]</w:t>
      </w:r>
      <w:r>
        <w:rPr>
          <w:rFonts w:hint="eastAsia" w:ascii="宋体" w:hAnsi="宋体" w:eastAsia="宋体" w:cs="宋体"/>
          <w:color w:val="auto"/>
          <w:kern w:val="0"/>
          <w:sz w:val="21"/>
          <w:szCs w:val="21"/>
          <w:lang w:eastAsia="zh-CN"/>
        </w:rPr>
        <w:t>、《中医证候疗效评价量表研制指南》</w:t>
      </w:r>
      <w:r>
        <w:rPr>
          <w:rFonts w:hint="eastAsia" w:ascii="宋体" w:hAnsi="宋体" w:eastAsia="宋体" w:cs="宋体"/>
          <w:color w:val="auto"/>
          <w:kern w:val="0"/>
          <w:sz w:val="21"/>
          <w:szCs w:val="21"/>
          <w:vertAlign w:val="superscript"/>
          <w:lang w:val="en-US" w:eastAsia="zh-CN"/>
        </w:rPr>
        <w:t>[3]</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中医病证诊断与疗效评价规范制修订通则》</w:t>
      </w:r>
      <w:r>
        <w:rPr>
          <w:rFonts w:hint="eastAsia" w:ascii="宋体" w:hAnsi="宋体" w:eastAsia="宋体" w:cs="宋体"/>
          <w:color w:val="auto"/>
          <w:kern w:val="0"/>
          <w:sz w:val="21"/>
          <w:szCs w:val="21"/>
          <w:vertAlign w:val="superscript"/>
          <w:lang w:val="en-US" w:eastAsia="zh-CN"/>
        </w:rPr>
        <w:t>[4]</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中医药临床试验核心指标集研制技术规范》</w:t>
      </w:r>
      <w:r>
        <w:rPr>
          <w:rFonts w:hint="eastAsia" w:ascii="宋体" w:hAnsi="宋体" w:eastAsia="宋体" w:cs="宋体"/>
          <w:color w:val="auto"/>
          <w:kern w:val="0"/>
          <w:sz w:val="21"/>
          <w:szCs w:val="21"/>
          <w:vertAlign w:val="superscript"/>
          <w:lang w:val="en-US" w:eastAsia="zh-CN"/>
        </w:rPr>
        <w:t>[5]</w:t>
      </w:r>
      <w:r>
        <w:rPr>
          <w:rFonts w:hint="eastAsia" w:ascii="宋体" w:hAnsi="宋体" w:eastAsia="宋体" w:cs="宋体"/>
          <w:color w:val="auto"/>
          <w:kern w:val="0"/>
          <w:sz w:val="21"/>
          <w:szCs w:val="21"/>
        </w:rPr>
        <w:t>的相关要求</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遵循</w:t>
      </w:r>
      <w:r>
        <w:rPr>
          <w:rFonts w:hint="eastAsia" w:ascii="宋体" w:hAnsi="宋体" w:eastAsia="宋体" w:cs="宋体"/>
          <w:color w:val="auto"/>
          <w:kern w:val="0"/>
          <w:sz w:val="21"/>
          <w:szCs w:val="21"/>
        </w:rPr>
        <w:t>“主客观指标结合</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医患共评结合</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定性定量研究方法结合”</w:t>
      </w:r>
      <w:r>
        <w:rPr>
          <w:rFonts w:hint="eastAsia" w:ascii="宋体" w:hAnsi="宋体" w:eastAsia="宋体" w:cs="宋体"/>
          <w:color w:val="auto"/>
          <w:kern w:val="0"/>
          <w:sz w:val="21"/>
          <w:szCs w:val="21"/>
          <w:lang w:val="en-US" w:eastAsia="zh-CN"/>
        </w:rPr>
        <w:t>的原则</w:t>
      </w:r>
      <w:r>
        <w:rPr>
          <w:rFonts w:hint="eastAsia" w:ascii="宋体" w:hAnsi="宋体" w:eastAsia="宋体" w:cs="宋体"/>
          <w:color w:val="auto"/>
          <w:kern w:val="0"/>
          <w:sz w:val="21"/>
          <w:szCs w:val="21"/>
        </w:rPr>
        <w:t>，构建</w:t>
      </w:r>
      <w:r>
        <w:rPr>
          <w:rFonts w:hint="eastAsia" w:ascii="宋体" w:hAnsi="宋体" w:eastAsia="宋体" w:cs="宋体"/>
          <w:color w:val="auto"/>
          <w:kern w:val="0"/>
          <w:sz w:val="21"/>
          <w:szCs w:val="21"/>
          <w:lang w:eastAsia="zh-CN"/>
        </w:rPr>
        <w:t>肝经火旺</w:t>
      </w:r>
      <w:r>
        <w:rPr>
          <w:rFonts w:hint="eastAsia" w:ascii="宋体" w:hAnsi="宋体" w:eastAsia="宋体" w:cs="宋体"/>
          <w:color w:val="auto"/>
          <w:kern w:val="0"/>
          <w:sz w:val="21"/>
          <w:szCs w:val="21"/>
        </w:rPr>
        <w:t>证</w:t>
      </w:r>
      <w:r>
        <w:rPr>
          <w:rFonts w:hint="eastAsia" w:ascii="宋体" w:hAnsi="宋体" w:eastAsia="宋体" w:cs="宋体"/>
          <w:color w:val="auto"/>
          <w:kern w:val="0"/>
          <w:sz w:val="21"/>
          <w:szCs w:val="21"/>
          <w:lang w:val="en-US" w:eastAsia="zh-CN"/>
        </w:rPr>
        <w:t>诊断和</w:t>
      </w:r>
      <w:r>
        <w:rPr>
          <w:rFonts w:hint="eastAsia" w:ascii="宋体" w:hAnsi="宋体" w:eastAsia="宋体" w:cs="宋体"/>
          <w:color w:val="auto"/>
          <w:kern w:val="0"/>
          <w:sz w:val="21"/>
          <w:szCs w:val="21"/>
        </w:rPr>
        <w:t>疗效评价</w:t>
      </w:r>
      <w:r>
        <w:rPr>
          <w:rFonts w:hint="eastAsia" w:ascii="宋体" w:hAnsi="宋体" w:eastAsia="宋体" w:cs="宋体"/>
          <w:color w:val="auto"/>
          <w:kern w:val="0"/>
          <w:sz w:val="21"/>
          <w:szCs w:val="21"/>
          <w:lang w:val="en-US" w:eastAsia="zh-CN"/>
        </w:rPr>
        <w:t>量表</w:t>
      </w:r>
      <w:r>
        <w:rPr>
          <w:rFonts w:hint="eastAsia" w:ascii="宋体" w:hAnsi="宋体" w:eastAsia="宋体" w:cs="宋体"/>
          <w:color w:val="auto"/>
          <w:kern w:val="0"/>
          <w:sz w:val="21"/>
          <w:szCs w:val="21"/>
        </w:rPr>
        <w:t>，并对量表进行临床验证，旨在建立</w:t>
      </w:r>
      <w:r>
        <w:rPr>
          <w:rFonts w:hint="eastAsia" w:ascii="宋体" w:hAnsi="宋体" w:eastAsia="宋体" w:cs="宋体"/>
          <w:color w:val="auto"/>
          <w:kern w:val="0"/>
          <w:sz w:val="21"/>
          <w:szCs w:val="21"/>
          <w:lang w:val="en-US" w:eastAsia="zh-CN"/>
        </w:rPr>
        <w:t>用于支撑中医药临床科研和新药研发</w:t>
      </w:r>
      <w:r>
        <w:rPr>
          <w:rFonts w:hint="eastAsia" w:ascii="宋体" w:hAnsi="宋体" w:eastAsia="宋体" w:cs="宋体"/>
          <w:color w:val="auto"/>
          <w:kern w:val="0"/>
          <w:sz w:val="21"/>
          <w:szCs w:val="21"/>
        </w:rPr>
        <w:t>的</w:t>
      </w:r>
      <w:r>
        <w:rPr>
          <w:rFonts w:hint="eastAsia" w:ascii="宋体" w:hAnsi="宋体" w:eastAsia="宋体" w:cs="宋体"/>
          <w:color w:val="auto"/>
          <w:kern w:val="0"/>
          <w:sz w:val="21"/>
          <w:szCs w:val="21"/>
          <w:lang w:eastAsia="zh-CN"/>
        </w:rPr>
        <w:t>肝经火旺</w:t>
      </w:r>
      <w:r>
        <w:rPr>
          <w:rFonts w:hint="eastAsia" w:ascii="宋体" w:hAnsi="宋体" w:eastAsia="宋体" w:cs="宋体"/>
          <w:color w:val="auto"/>
          <w:kern w:val="0"/>
          <w:sz w:val="21"/>
          <w:szCs w:val="21"/>
        </w:rPr>
        <w:t>证</w:t>
      </w:r>
      <w:r>
        <w:rPr>
          <w:rFonts w:hint="eastAsia" w:ascii="宋体" w:hAnsi="宋体" w:eastAsia="宋体" w:cs="宋体"/>
          <w:color w:val="auto"/>
          <w:kern w:val="0"/>
          <w:sz w:val="21"/>
          <w:szCs w:val="21"/>
          <w:lang w:val="en-US" w:eastAsia="zh-CN"/>
        </w:rPr>
        <w:t>诊断和</w:t>
      </w:r>
      <w:r>
        <w:rPr>
          <w:rFonts w:hint="eastAsia" w:ascii="宋体" w:hAnsi="宋体" w:eastAsia="宋体" w:cs="宋体"/>
          <w:color w:val="auto"/>
          <w:kern w:val="0"/>
          <w:sz w:val="21"/>
          <w:szCs w:val="21"/>
        </w:rPr>
        <w:t>疗效评价</w:t>
      </w:r>
      <w:r>
        <w:rPr>
          <w:rFonts w:hint="eastAsia" w:ascii="宋体" w:hAnsi="宋体" w:eastAsia="宋体" w:cs="宋体"/>
          <w:color w:val="auto"/>
          <w:kern w:val="0"/>
          <w:sz w:val="21"/>
          <w:szCs w:val="21"/>
          <w:lang w:val="en-US" w:eastAsia="zh-CN"/>
        </w:rPr>
        <w:t>规范</w:t>
      </w:r>
      <w:r>
        <w:rPr>
          <w:rFonts w:hint="eastAsia" w:ascii="宋体" w:hAnsi="宋体" w:eastAsia="宋体" w:cs="宋体"/>
          <w:color w:val="auto"/>
          <w:kern w:val="0"/>
          <w:sz w:val="21"/>
          <w:szCs w:val="21"/>
        </w:rPr>
        <w:t>。</w:t>
      </w:r>
    </w:p>
    <w:p w14:paraId="67AD6992">
      <w:pPr>
        <w:widowControl/>
        <w:snapToGrid w:val="0"/>
        <w:spacing w:line="360" w:lineRule="exact"/>
        <w:ind w:firstLine="420" w:firstLineChars="0"/>
        <w:jc w:val="left"/>
        <w:rPr>
          <w:rFonts w:hint="eastAsia" w:ascii="Times New Roman" w:hAnsi="Times New Roman" w:cs="Times New Roman" w:eastAsiaTheme="minorEastAsia"/>
          <w:color w:val="auto"/>
          <w:kern w:val="0"/>
          <w:sz w:val="21"/>
          <w:szCs w:val="21"/>
        </w:rPr>
      </w:pPr>
    </w:p>
    <w:p w14:paraId="17B434ED">
      <w:pPr>
        <w:widowControl/>
        <w:snapToGrid w:val="0"/>
        <w:spacing w:line="360" w:lineRule="exact"/>
        <w:ind w:firstLine="420" w:firstLineChars="0"/>
        <w:jc w:val="left"/>
        <w:rPr>
          <w:rFonts w:hint="eastAsia" w:ascii="Times New Roman" w:hAnsi="Times New Roman" w:cs="Times New Roman" w:eastAsiaTheme="minorEastAsia"/>
          <w:color w:val="auto"/>
          <w:kern w:val="0"/>
          <w:sz w:val="21"/>
          <w:szCs w:val="21"/>
        </w:rPr>
      </w:pPr>
    </w:p>
    <w:p w14:paraId="685142D0">
      <w:pPr>
        <w:widowControl/>
        <w:snapToGrid w:val="0"/>
        <w:spacing w:line="360" w:lineRule="exact"/>
        <w:ind w:firstLine="420" w:firstLineChars="0"/>
        <w:jc w:val="left"/>
        <w:rPr>
          <w:rFonts w:hint="eastAsia" w:ascii="Times New Roman" w:hAnsi="Times New Roman" w:cs="Times New Roman" w:eastAsiaTheme="minorEastAsia"/>
          <w:color w:val="auto"/>
          <w:kern w:val="0"/>
          <w:sz w:val="21"/>
          <w:szCs w:val="21"/>
        </w:rPr>
      </w:pPr>
    </w:p>
    <w:p w14:paraId="71DE2C7A">
      <w:pPr>
        <w:widowControl/>
        <w:snapToGrid w:val="0"/>
        <w:spacing w:line="360" w:lineRule="exact"/>
        <w:ind w:firstLine="420" w:firstLineChars="0"/>
        <w:jc w:val="left"/>
        <w:rPr>
          <w:rFonts w:hint="eastAsia" w:ascii="Times New Roman" w:hAnsi="Times New Roman" w:cs="Times New Roman" w:eastAsiaTheme="minorEastAsia"/>
          <w:color w:val="auto"/>
          <w:kern w:val="0"/>
          <w:sz w:val="21"/>
          <w:szCs w:val="21"/>
        </w:rPr>
      </w:pPr>
    </w:p>
    <w:p w14:paraId="084FEBCF">
      <w:pPr>
        <w:widowControl/>
        <w:snapToGrid w:val="0"/>
        <w:spacing w:line="360" w:lineRule="exact"/>
        <w:ind w:firstLine="420" w:firstLineChars="0"/>
        <w:jc w:val="left"/>
        <w:rPr>
          <w:rFonts w:hint="eastAsia" w:ascii="Times New Roman" w:hAnsi="Times New Roman" w:cs="Times New Roman" w:eastAsiaTheme="minorEastAsia"/>
          <w:color w:val="auto"/>
          <w:kern w:val="0"/>
          <w:sz w:val="21"/>
          <w:szCs w:val="21"/>
        </w:rPr>
      </w:pPr>
    </w:p>
    <w:p w14:paraId="25B07EA4">
      <w:pPr>
        <w:spacing w:line="360" w:lineRule="exact"/>
        <w:rPr>
          <w:rFonts w:hint="eastAsia" w:ascii="Times New Roman" w:hAnsi="Times New Roman" w:eastAsia="宋体" w:cs="Cambria"/>
          <w:b w:val="0"/>
          <w:bCs w:val="0"/>
          <w:kern w:val="2"/>
          <w:sz w:val="21"/>
          <w:szCs w:val="21"/>
          <w:lang w:val="en-US" w:eastAsia="zh-CN" w:bidi="ar-SA"/>
        </w:rPr>
      </w:pPr>
      <w:r>
        <w:rPr>
          <w:rFonts w:hint="eastAsia" w:ascii="Times New Roman" w:hAnsi="Times New Roman" w:cs="Times New Roman" w:eastAsiaTheme="minorEastAsia"/>
          <w:color w:val="auto"/>
          <w:kern w:val="0"/>
          <w:sz w:val="21"/>
          <w:szCs w:val="21"/>
        </w:rPr>
        <w:br w:type="page"/>
      </w:r>
    </w:p>
    <w:p w14:paraId="7283A38B">
      <w:pPr>
        <w:pStyle w:val="37"/>
        <w:keepNext w:val="0"/>
        <w:keepLines w:val="0"/>
        <w:pageBreakBefore w:val="0"/>
        <w:widowControl/>
        <w:kinsoku/>
        <w:wordWrap/>
        <w:overflowPunct/>
        <w:topLinePunct w:val="0"/>
        <w:autoSpaceDE/>
        <w:autoSpaceDN/>
        <w:bidi w:val="0"/>
        <w:adjustRightInd/>
        <w:snapToGrid/>
        <w:spacing w:before="0" w:after="0" w:line="360" w:lineRule="exact"/>
        <w:ind w:left="0" w:leftChars="0" w:right="1298" w:rightChars="541" w:firstLine="0" w:firstLineChars="0"/>
        <w:jc w:val="center"/>
        <w:textAlignment w:val="auto"/>
        <w:outlineLvl w:val="9"/>
        <w:rPr>
          <w:rFonts w:ascii="Times New Roman" w:hAnsi="Times New Roman"/>
          <w:szCs w:val="32"/>
        </w:rPr>
      </w:pPr>
      <w:bookmarkStart w:id="28" w:name="_Toc459704603"/>
      <w:bookmarkStart w:id="29" w:name="_Toc509933849"/>
      <w:bookmarkStart w:id="30" w:name="_Toc510534528"/>
      <w:bookmarkStart w:id="31" w:name="_Toc459720143"/>
      <w:bookmarkStart w:id="32" w:name="_Toc459724774"/>
      <w:r>
        <w:rPr>
          <w:rFonts w:hint="eastAsia" w:ascii="Times New Roman" w:hAnsi="Times New Roman"/>
        </w:rPr>
        <w:t>肝经火旺证诊断与疗效评价规范</w:t>
      </w:r>
    </w:p>
    <w:bookmarkEnd w:id="28"/>
    <w:bookmarkEnd w:id="29"/>
    <w:bookmarkEnd w:id="30"/>
    <w:bookmarkEnd w:id="31"/>
    <w:bookmarkEnd w:id="32"/>
    <w:p w14:paraId="63421B4A">
      <w:pPr>
        <w:pStyle w:val="32"/>
        <w:keepNext w:val="0"/>
        <w:keepLines w:val="0"/>
        <w:pageBreakBefore w:val="0"/>
        <w:widowControl/>
        <w:numPr>
          <w:ilvl w:val="0"/>
          <w:numId w:val="4"/>
        </w:numPr>
        <w:kinsoku/>
        <w:wordWrap/>
        <w:overflowPunct/>
        <w:topLinePunct w:val="0"/>
        <w:autoSpaceDE/>
        <w:autoSpaceDN/>
        <w:bidi w:val="0"/>
        <w:adjustRightInd/>
        <w:snapToGrid/>
        <w:spacing w:before="240" w:beforeLines="100" w:after="240" w:afterLines="100" w:line="240" w:lineRule="auto"/>
        <w:textAlignment w:val="auto"/>
        <w:outlineLvl w:val="0"/>
        <w:rPr>
          <w:rFonts w:ascii="Times New Roman"/>
        </w:rPr>
      </w:pPr>
      <w:bookmarkStart w:id="33" w:name="_Toc2979"/>
      <w:bookmarkStart w:id="34" w:name="_Toc3394"/>
      <w:bookmarkStart w:id="35" w:name="_Toc15330"/>
      <w:bookmarkStart w:id="36" w:name="_Toc20293"/>
      <w:bookmarkStart w:id="37" w:name="_Toc31311"/>
      <w:bookmarkStart w:id="38" w:name="_Toc459720144"/>
      <w:bookmarkStart w:id="39" w:name="_Toc459724775"/>
      <w:bookmarkStart w:id="40" w:name="_Toc459704604"/>
      <w:bookmarkStart w:id="41" w:name="_Toc183607131"/>
      <w:bookmarkStart w:id="42" w:name="_Toc184384520"/>
      <w:r>
        <w:rPr>
          <w:rFonts w:ascii="Times New Roman"/>
        </w:rPr>
        <w:t>范围</w:t>
      </w:r>
      <w:bookmarkEnd w:id="33"/>
      <w:bookmarkEnd w:id="34"/>
      <w:bookmarkEnd w:id="35"/>
      <w:bookmarkEnd w:id="36"/>
      <w:bookmarkEnd w:id="37"/>
    </w:p>
    <w:p w14:paraId="0FC78E3D">
      <w:pPr>
        <w:spacing w:line="360" w:lineRule="exact"/>
        <w:ind w:firstLine="420" w:firstLineChars="200"/>
        <w:rPr>
          <w:rFonts w:hint="eastAsia" w:ascii="Times New Roman" w:hAnsi="Times New Roman"/>
          <w:sz w:val="21"/>
          <w:szCs w:val="21"/>
          <w:lang w:eastAsia="zh-CN"/>
        </w:rPr>
      </w:pPr>
      <w:r>
        <w:rPr>
          <w:rFonts w:hint="eastAsia" w:ascii="Times New Roman" w:hAnsi="Times New Roman"/>
          <w:sz w:val="21"/>
          <w:szCs w:val="21"/>
        </w:rPr>
        <w:t>本</w:t>
      </w:r>
      <w:r>
        <w:rPr>
          <w:rFonts w:hint="eastAsia" w:ascii="Times New Roman" w:hAnsi="Times New Roman"/>
          <w:sz w:val="21"/>
          <w:szCs w:val="21"/>
          <w:lang w:val="en-US" w:eastAsia="zh-CN"/>
        </w:rPr>
        <w:t>文件规定</w:t>
      </w:r>
      <w:r>
        <w:rPr>
          <w:rFonts w:hint="eastAsia" w:ascii="Times New Roman" w:hAnsi="Times New Roman"/>
          <w:sz w:val="21"/>
          <w:szCs w:val="21"/>
        </w:rPr>
        <w:t>了</w:t>
      </w:r>
      <w:r>
        <w:rPr>
          <w:rFonts w:hint="eastAsia" w:ascii="Times New Roman" w:hAnsi="Times New Roman"/>
          <w:sz w:val="21"/>
          <w:szCs w:val="21"/>
          <w:lang w:val="en-US" w:eastAsia="zh-CN"/>
        </w:rPr>
        <w:t>肝经火旺</w:t>
      </w:r>
      <w:r>
        <w:rPr>
          <w:rFonts w:hint="eastAsia" w:ascii="Times New Roman" w:hAnsi="Times New Roman"/>
          <w:sz w:val="21"/>
          <w:szCs w:val="21"/>
        </w:rPr>
        <w:t>证诊断</w:t>
      </w:r>
      <w:r>
        <w:rPr>
          <w:rFonts w:hint="eastAsia"/>
          <w:sz w:val="21"/>
          <w:szCs w:val="21"/>
          <w:lang w:val="en-US" w:eastAsia="zh-CN"/>
        </w:rPr>
        <w:t>与</w:t>
      </w:r>
      <w:r>
        <w:rPr>
          <w:rFonts w:hint="eastAsia" w:ascii="Times New Roman" w:hAnsi="Times New Roman"/>
          <w:sz w:val="21"/>
          <w:szCs w:val="21"/>
        </w:rPr>
        <w:t>疗效评价</w:t>
      </w:r>
      <w:r>
        <w:rPr>
          <w:rFonts w:hint="eastAsia"/>
          <w:sz w:val="21"/>
          <w:szCs w:val="21"/>
          <w:lang w:val="en-US" w:eastAsia="zh-CN"/>
        </w:rPr>
        <w:t>等相关要求</w:t>
      </w:r>
      <w:r>
        <w:rPr>
          <w:rFonts w:hint="eastAsia" w:ascii="Times New Roman" w:hAnsi="Times New Roman"/>
          <w:sz w:val="21"/>
          <w:szCs w:val="21"/>
          <w:lang w:eastAsia="zh-CN"/>
        </w:rPr>
        <w:t>。</w:t>
      </w:r>
    </w:p>
    <w:p w14:paraId="1408FEE8">
      <w:pPr>
        <w:spacing w:line="360" w:lineRule="exact"/>
        <w:ind w:firstLine="0" w:firstLineChars="0"/>
        <w:rPr>
          <w:rFonts w:hint="eastAsia" w:ascii="Times New Roman" w:hAnsi="Times New Roman"/>
          <w:sz w:val="21"/>
          <w:szCs w:val="21"/>
        </w:rPr>
      </w:pPr>
      <w:r>
        <w:rPr>
          <w:rFonts w:hint="eastAsia"/>
          <w:sz w:val="21"/>
          <w:szCs w:val="21"/>
          <w:highlight w:val="none"/>
          <w:lang w:val="en-US" w:eastAsia="zh-CN"/>
        </w:rPr>
        <w:t xml:space="preserve">   </w:t>
      </w:r>
      <w:r>
        <w:rPr>
          <w:rFonts w:hint="eastAsia"/>
          <w:sz w:val="21"/>
          <w:szCs w:val="21"/>
          <w:lang w:val="en-US" w:eastAsia="zh-CN"/>
        </w:rPr>
        <w:t xml:space="preserve"> </w:t>
      </w:r>
      <w:r>
        <w:rPr>
          <w:rFonts w:hint="eastAsia" w:ascii="Times New Roman" w:hAnsi="Times New Roman"/>
          <w:sz w:val="21"/>
          <w:szCs w:val="21"/>
        </w:rPr>
        <w:t>本</w:t>
      </w:r>
      <w:r>
        <w:rPr>
          <w:rFonts w:hint="eastAsia" w:ascii="Times New Roman" w:hAnsi="Times New Roman"/>
          <w:sz w:val="21"/>
          <w:szCs w:val="21"/>
          <w:lang w:val="en-US" w:eastAsia="zh-CN"/>
        </w:rPr>
        <w:t>文件</w:t>
      </w:r>
      <w:r>
        <w:rPr>
          <w:rFonts w:hint="eastAsia" w:ascii="Times New Roman" w:hAnsi="Times New Roman"/>
          <w:sz w:val="21"/>
          <w:szCs w:val="21"/>
        </w:rPr>
        <w:t>适用于全国各级医疗机构</w:t>
      </w:r>
      <w:r>
        <w:rPr>
          <w:rFonts w:hint="eastAsia" w:ascii="Times New Roman" w:hAnsi="Times New Roman"/>
          <w:sz w:val="21"/>
          <w:szCs w:val="21"/>
          <w:lang w:val="en-US" w:eastAsia="zh-CN"/>
        </w:rPr>
        <w:t>、科研院所和企业专业人员临床科</w:t>
      </w:r>
      <w:r>
        <w:rPr>
          <w:rFonts w:hint="eastAsia" w:ascii="Times New Roman" w:hAnsi="Times New Roman"/>
          <w:sz w:val="21"/>
          <w:szCs w:val="21"/>
        </w:rPr>
        <w:t>研</w:t>
      </w:r>
      <w:r>
        <w:rPr>
          <w:rFonts w:hint="eastAsia"/>
          <w:sz w:val="21"/>
          <w:szCs w:val="21"/>
          <w:lang w:val="en-US" w:eastAsia="zh-CN"/>
        </w:rPr>
        <w:t>和新药研发</w:t>
      </w:r>
      <w:r>
        <w:rPr>
          <w:rFonts w:hint="eastAsia" w:ascii="Times New Roman" w:hAnsi="Times New Roman"/>
          <w:sz w:val="21"/>
          <w:szCs w:val="21"/>
        </w:rPr>
        <w:t>中</w:t>
      </w:r>
      <w:r>
        <w:rPr>
          <w:rFonts w:hint="eastAsia" w:ascii="Times New Roman" w:hAnsi="Times New Roman"/>
          <w:sz w:val="21"/>
          <w:szCs w:val="21"/>
          <w:lang w:val="en-US" w:eastAsia="zh-CN"/>
        </w:rPr>
        <w:t>肝经火旺证</w:t>
      </w:r>
      <w:r>
        <w:rPr>
          <w:rFonts w:hint="eastAsia" w:ascii="Times New Roman" w:hAnsi="Times New Roman"/>
          <w:sz w:val="21"/>
          <w:szCs w:val="21"/>
        </w:rPr>
        <w:t>诊断</w:t>
      </w:r>
      <w:r>
        <w:rPr>
          <w:rFonts w:hint="eastAsia" w:ascii="Times New Roman" w:hAnsi="Times New Roman"/>
          <w:sz w:val="21"/>
          <w:szCs w:val="21"/>
          <w:lang w:val="en-US" w:eastAsia="zh-CN"/>
        </w:rPr>
        <w:t>和</w:t>
      </w:r>
      <w:r>
        <w:rPr>
          <w:rFonts w:hint="eastAsia" w:ascii="Times New Roman" w:hAnsi="Times New Roman"/>
          <w:sz w:val="21"/>
          <w:szCs w:val="21"/>
        </w:rPr>
        <w:t>疗效评价。</w:t>
      </w:r>
    </w:p>
    <w:bookmarkEnd w:id="38"/>
    <w:bookmarkEnd w:id="39"/>
    <w:bookmarkEnd w:id="40"/>
    <w:p w14:paraId="654AAB9B">
      <w:pPr>
        <w:pStyle w:val="32"/>
        <w:keepNext w:val="0"/>
        <w:keepLines w:val="0"/>
        <w:pageBreakBefore w:val="0"/>
        <w:widowControl/>
        <w:numPr>
          <w:ilvl w:val="0"/>
          <w:numId w:val="4"/>
        </w:numPr>
        <w:kinsoku/>
        <w:wordWrap/>
        <w:overflowPunct/>
        <w:topLinePunct w:val="0"/>
        <w:autoSpaceDE/>
        <w:autoSpaceDN/>
        <w:bidi w:val="0"/>
        <w:adjustRightInd/>
        <w:snapToGrid/>
        <w:spacing w:before="240" w:beforeLines="100" w:after="240" w:afterLines="100" w:line="240" w:lineRule="auto"/>
        <w:textAlignment w:val="auto"/>
        <w:outlineLvl w:val="0"/>
        <w:rPr>
          <w:rFonts w:ascii="Times New Roman"/>
        </w:rPr>
      </w:pPr>
      <w:bookmarkStart w:id="43" w:name="_Toc459704605"/>
      <w:bookmarkEnd w:id="43"/>
      <w:bookmarkStart w:id="44" w:name="_Toc19237"/>
      <w:bookmarkStart w:id="45" w:name="_Toc18368"/>
      <w:bookmarkStart w:id="46" w:name="_Toc20854"/>
      <w:bookmarkStart w:id="47" w:name="_Toc19049"/>
      <w:bookmarkStart w:id="48" w:name="_Toc509933850"/>
      <w:bookmarkStart w:id="49" w:name="_Toc23321"/>
      <w:bookmarkStart w:id="50" w:name="_Toc510534529"/>
      <w:r>
        <w:rPr>
          <w:rFonts w:ascii="Times New Roman"/>
        </w:rPr>
        <w:t>规范性引用文件</w:t>
      </w:r>
      <w:bookmarkEnd w:id="44"/>
      <w:bookmarkEnd w:id="45"/>
      <w:bookmarkEnd w:id="46"/>
      <w:bookmarkEnd w:id="47"/>
      <w:bookmarkEnd w:id="48"/>
      <w:bookmarkEnd w:id="49"/>
      <w:bookmarkEnd w:id="50"/>
    </w:p>
    <w:p w14:paraId="6E6473DB">
      <w:pPr>
        <w:spacing w:line="360" w:lineRule="exact"/>
        <w:ind w:firstLine="420"/>
        <w:rPr>
          <w:rFonts w:hint="eastAsia" w:ascii="Times New Roman" w:hAnsi="Times New Roman"/>
          <w:sz w:val="21"/>
          <w:szCs w:val="21"/>
          <w:lang w:eastAsia="zh-CN"/>
        </w:rPr>
      </w:pPr>
      <w:r>
        <w:rPr>
          <w:rFonts w:hint="eastAsia" w:ascii="Times New Roman" w:hAnsi="Times New Roman"/>
          <w:sz w:val="21"/>
          <w:szCs w:val="21"/>
          <w:lang w:eastAsia="zh-CN"/>
        </w:rPr>
        <w:t>下列文件中的内容通过文中的规范性引用而构成本文件必不可少的条款。其中，注日期的引用文件，仅该日期对应的版本适用于本文件；不注日期的引用文件，其最新版本</w:t>
      </w:r>
      <w:r>
        <w:rPr>
          <w:rFonts w:hint="eastAsia"/>
          <w:sz w:val="21"/>
          <w:szCs w:val="21"/>
          <w:lang w:eastAsia="zh-CN"/>
        </w:rPr>
        <w:t>（</w:t>
      </w:r>
      <w:r>
        <w:rPr>
          <w:rFonts w:hint="eastAsia" w:ascii="Times New Roman" w:hAnsi="Times New Roman"/>
          <w:sz w:val="21"/>
          <w:szCs w:val="21"/>
          <w:lang w:eastAsia="zh-CN"/>
        </w:rPr>
        <w:t>包括所有的修改单</w:t>
      </w:r>
      <w:r>
        <w:rPr>
          <w:rFonts w:hint="eastAsia"/>
          <w:sz w:val="21"/>
          <w:szCs w:val="21"/>
          <w:lang w:eastAsia="zh-CN"/>
        </w:rPr>
        <w:t>）</w:t>
      </w:r>
      <w:r>
        <w:rPr>
          <w:rFonts w:hint="eastAsia" w:ascii="Times New Roman" w:hAnsi="Times New Roman"/>
          <w:sz w:val="21"/>
          <w:szCs w:val="21"/>
          <w:lang w:eastAsia="zh-CN"/>
        </w:rPr>
        <w:t>适用于本文件。</w:t>
      </w:r>
    </w:p>
    <w:p w14:paraId="00B63016">
      <w:pPr>
        <w:spacing w:line="360" w:lineRule="exact"/>
        <w:ind w:left="0" w:leftChars="0" w:firstLine="420" w:firstLineChars="0"/>
        <w:rPr>
          <w:rFonts w:hint="eastAsia" w:ascii="Times New Roman" w:hAnsi="Times New Roman"/>
          <w:sz w:val="21"/>
          <w:szCs w:val="21"/>
          <w:lang w:eastAsia="zh-CN"/>
        </w:rPr>
      </w:pPr>
      <w:r>
        <w:rPr>
          <w:rFonts w:hint="eastAsia" w:ascii="Times New Roman" w:hAnsi="Times New Roman"/>
          <w:sz w:val="21"/>
          <w:szCs w:val="21"/>
          <w:lang w:eastAsia="zh-CN"/>
        </w:rPr>
        <w:t>T/CACM 1637-2025《中医证候疗效评价技术规范》</w:t>
      </w:r>
    </w:p>
    <w:p w14:paraId="120767D2">
      <w:pPr>
        <w:pStyle w:val="32"/>
        <w:keepNext w:val="0"/>
        <w:keepLines w:val="0"/>
        <w:pageBreakBefore w:val="0"/>
        <w:widowControl/>
        <w:numPr>
          <w:ilvl w:val="0"/>
          <w:numId w:val="4"/>
        </w:numPr>
        <w:kinsoku/>
        <w:wordWrap/>
        <w:overflowPunct/>
        <w:topLinePunct w:val="0"/>
        <w:autoSpaceDE/>
        <w:autoSpaceDN/>
        <w:bidi w:val="0"/>
        <w:adjustRightInd/>
        <w:snapToGrid/>
        <w:spacing w:before="240" w:beforeLines="100" w:after="240" w:afterLines="100" w:line="240" w:lineRule="auto"/>
        <w:textAlignment w:val="auto"/>
        <w:outlineLvl w:val="0"/>
        <w:rPr>
          <w:rFonts w:ascii="Times New Roman"/>
        </w:rPr>
      </w:pPr>
      <w:bookmarkStart w:id="51" w:name="_Toc2091"/>
      <w:bookmarkStart w:id="52" w:name="_Toc9211"/>
      <w:bookmarkStart w:id="53" w:name="_Toc14469"/>
      <w:bookmarkStart w:id="54" w:name="_Toc10134"/>
      <w:bookmarkStart w:id="55" w:name="_Toc11452"/>
      <w:bookmarkStart w:id="56" w:name="_Toc510534530"/>
      <w:bookmarkStart w:id="57" w:name="_Toc509933851"/>
      <w:bookmarkStart w:id="58" w:name="_Toc436205037"/>
      <w:bookmarkStart w:id="59" w:name="_Hlk92788667"/>
      <w:r>
        <w:rPr>
          <w:rFonts w:hint="eastAsia" w:ascii="Times New Roman"/>
        </w:rPr>
        <w:t>术语和定义</w:t>
      </w:r>
      <w:bookmarkEnd w:id="51"/>
      <w:bookmarkEnd w:id="52"/>
      <w:bookmarkEnd w:id="53"/>
      <w:bookmarkEnd w:id="54"/>
      <w:bookmarkEnd w:id="55"/>
      <w:bookmarkEnd w:id="56"/>
      <w:bookmarkEnd w:id="57"/>
      <w:bookmarkEnd w:id="58"/>
    </w:p>
    <w:p w14:paraId="2C4AB906">
      <w:pPr>
        <w:pStyle w:val="33"/>
        <w:spacing w:line="360" w:lineRule="exact"/>
        <w:ind w:firstLine="420"/>
        <w:rPr>
          <w:rFonts w:hint="eastAsia"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下列术语和定义适用于本文件。</w:t>
      </w:r>
    </w:p>
    <w:bookmarkEnd w:id="59"/>
    <w:p w14:paraId="3689D160">
      <w:pPr>
        <w:pStyle w:val="33"/>
        <w:spacing w:line="360" w:lineRule="exact"/>
        <w:ind w:firstLine="0" w:firstLineChars="0"/>
        <w:rPr>
          <w:rFonts w:hint="eastAsia" w:ascii="Times New Roman" w:hAnsi="Times New Roman" w:eastAsia="黑体" w:cs="黑体"/>
          <w:color w:val="000000" w:themeColor="text1"/>
          <w:szCs w:val="21"/>
          <w:highlight w:val="none"/>
          <w:lang w:bidi="ar"/>
          <w14:textFill>
            <w14:solidFill>
              <w14:schemeClr w14:val="tx1"/>
            </w14:solidFill>
          </w14:textFill>
        </w:rPr>
      </w:pPr>
      <w:bookmarkStart w:id="60" w:name="_Toc182169675"/>
      <w:r>
        <w:rPr>
          <w:rFonts w:hint="eastAsia" w:ascii="Times New Roman" w:hAnsi="Times New Roman" w:eastAsia="黑体" w:cs="黑体"/>
          <w:color w:val="000000" w:themeColor="text1"/>
          <w:szCs w:val="21"/>
          <w:highlight w:val="none"/>
          <w:lang w:bidi="ar"/>
          <w14:textFill>
            <w14:solidFill>
              <w14:schemeClr w14:val="tx1"/>
            </w14:solidFill>
          </w14:textFill>
        </w:rPr>
        <w:t>3.1</w:t>
      </w:r>
    </w:p>
    <w:p w14:paraId="4EA6E312">
      <w:pPr>
        <w:pStyle w:val="33"/>
        <w:spacing w:line="360" w:lineRule="exact"/>
        <w:ind w:firstLine="420"/>
        <w:rPr>
          <w:rFonts w:hint="eastAsia" w:ascii="Times New Roman" w:hAnsi="Times New Roman" w:eastAsia="黑体"/>
          <w:color w:val="000000" w:themeColor="text1"/>
          <w:sz w:val="21"/>
          <w:szCs w:val="21"/>
          <w14:textFill>
            <w14:solidFill>
              <w14:schemeClr w14:val="tx1"/>
            </w14:solidFill>
          </w14:textFill>
        </w:rPr>
      </w:pPr>
      <w:r>
        <w:rPr>
          <w:rFonts w:hint="eastAsia" w:ascii="Times New Roman" w:hAnsi="Times New Roman" w:eastAsia="黑体"/>
          <w:color w:val="000000" w:themeColor="text1"/>
          <w:sz w:val="21"/>
          <w:szCs w:val="21"/>
          <w:lang w:eastAsia="zh-CN"/>
          <w14:textFill>
            <w14:solidFill>
              <w14:schemeClr w14:val="tx1"/>
            </w14:solidFill>
          </w14:textFill>
        </w:rPr>
        <w:t>肝经火旺</w:t>
      </w:r>
      <w:r>
        <w:rPr>
          <w:rFonts w:hint="eastAsia" w:ascii="Times New Roman" w:hAnsi="Times New Roman" w:eastAsia="黑体"/>
          <w:color w:val="000000" w:themeColor="text1"/>
          <w:sz w:val="21"/>
          <w:szCs w:val="21"/>
          <w14:textFill>
            <w14:solidFill>
              <w14:schemeClr w14:val="tx1"/>
            </w14:solidFill>
          </w14:textFill>
        </w:rPr>
        <w:t>证</w:t>
      </w:r>
      <w:r>
        <w:rPr>
          <w:rFonts w:hint="eastAsia" w:ascii="Times New Roman" w:eastAsia="黑体"/>
          <w:color w:val="000000" w:themeColor="text1"/>
          <w:sz w:val="21"/>
          <w:szCs w:val="21"/>
          <w:lang w:val="en-US" w:eastAsia="zh-CN"/>
          <w14:textFill>
            <w14:solidFill>
              <w14:schemeClr w14:val="tx1"/>
            </w14:solidFill>
          </w14:textFill>
        </w:rPr>
        <w:t xml:space="preserve"> </w:t>
      </w:r>
      <w:bookmarkEnd w:id="60"/>
      <w:r>
        <w:rPr>
          <w:rFonts w:hint="eastAsia" w:ascii="Times New Roman" w:hAnsi="Times New Roman" w:eastAsia="黑体"/>
          <w:color w:val="000000" w:themeColor="text1"/>
          <w:sz w:val="21"/>
          <w:szCs w:val="21"/>
          <w14:textFill>
            <w14:solidFill>
              <w14:schemeClr w14:val="tx1"/>
            </w14:solidFill>
          </w14:textFill>
        </w:rPr>
        <w:t xml:space="preserve">pattern of </w:t>
      </w:r>
      <w:r>
        <w:rPr>
          <w:rFonts w:hint="eastAsia" w:ascii="Times New Roman" w:hAnsi="Times New Roman" w:eastAsia="黑体"/>
          <w:color w:val="000000" w:themeColor="text1"/>
          <w:sz w:val="21"/>
          <w:szCs w:val="21"/>
          <w:lang w:val="en-US" w:eastAsia="zh-CN"/>
          <w14:textFill>
            <w14:solidFill>
              <w14:schemeClr w14:val="tx1"/>
            </w14:solidFill>
          </w14:textFill>
        </w:rPr>
        <w:t>effulgent fire in the liver meridian</w:t>
      </w:r>
      <w:r>
        <w:rPr>
          <w:rFonts w:hint="eastAsia" w:ascii="Times New Roman" w:hAnsi="Times New Roman" w:eastAsia="黑体"/>
          <w:color w:val="000000" w:themeColor="text1"/>
          <w:sz w:val="21"/>
          <w:szCs w:val="21"/>
          <w14:textFill>
            <w14:solidFill>
              <w14:schemeClr w14:val="tx1"/>
            </w14:solidFill>
          </w14:textFill>
        </w:rPr>
        <w:t xml:space="preserve"> </w:t>
      </w:r>
    </w:p>
    <w:p w14:paraId="54187D29">
      <w:pPr>
        <w:keepNext w:val="0"/>
        <w:keepLines w:val="0"/>
        <w:pageBreakBefore w:val="0"/>
        <w:widowControl/>
        <w:suppressLineNumbers w:val="0"/>
        <w:kinsoku/>
        <w:wordWrap/>
        <w:overflowPunct/>
        <w:topLinePunct w:val="0"/>
        <w:bidi w:val="0"/>
        <w:adjustRightInd/>
        <w:spacing w:line="360" w:lineRule="exact"/>
        <w:ind w:firstLine="420"/>
        <w:jc w:val="left"/>
        <w:textAlignment w:val="auto"/>
        <w:rPr>
          <w:rFonts w:hint="eastAsia" w:ascii="Times New Roman" w:hAnsi="Times New Roman" w:eastAsiaTheme="minorEastAsia" w:cstheme="minorBidi"/>
          <w:kern w:val="2"/>
          <w:sz w:val="21"/>
          <w:szCs w:val="21"/>
          <w:lang w:val="en-US" w:eastAsia="zh-CN" w:bidi="ar"/>
        </w:rPr>
      </w:pPr>
      <w:r>
        <w:rPr>
          <w:rFonts w:hint="eastAsia" w:ascii="Times New Roman" w:hAnsi="Times New Roman" w:eastAsiaTheme="minorEastAsia" w:cstheme="minorBidi"/>
          <w:kern w:val="2"/>
          <w:sz w:val="21"/>
          <w:szCs w:val="21"/>
          <w:lang w:val="en-US" w:eastAsia="zh-CN" w:bidi="ar"/>
        </w:rPr>
        <w:t>因火热炽盛，壅阻肝经所致。临床以胁肋灼痛，口苦，咽干，急躁、易怒，目赤肿痛，或颞侧头痛，牵引口角，或头面烘热、潮红，或成簇疱疹、剧烈疼痛，舌质红，舌苔黄，脉弦数等为特征的证候。</w:t>
      </w:r>
    </w:p>
    <w:p w14:paraId="0052E618">
      <w:pPr>
        <w:pStyle w:val="33"/>
        <w:keepNext w:val="0"/>
        <w:keepLines w:val="0"/>
        <w:pageBreakBefore w:val="0"/>
        <w:tabs>
          <w:tab w:val="center" w:pos="4201"/>
          <w:tab w:val="right" w:leader="dot" w:pos="9298"/>
        </w:tabs>
        <w:kinsoku/>
        <w:wordWrap/>
        <w:overflowPunct/>
        <w:topLinePunct w:val="0"/>
        <w:bidi w:val="0"/>
        <w:adjustRightInd/>
        <w:spacing w:line="360" w:lineRule="exact"/>
        <w:textAlignment w:val="auto"/>
        <w:rPr>
          <w:rFonts w:ascii="Times New Roman"/>
          <w:color w:val="000000" w:themeColor="text1"/>
          <w:sz w:val="18"/>
          <w:szCs w:val="18"/>
          <w14:textFill>
            <w14:solidFill>
              <w14:schemeClr w14:val="tx1"/>
            </w14:solidFill>
          </w14:textFill>
        </w:rPr>
      </w:pPr>
      <w:bookmarkStart w:id="61" w:name="_Hlk168514545"/>
      <w:r>
        <w:rPr>
          <w:rFonts w:ascii="Times New Roman"/>
          <w:color w:val="000000" w:themeColor="text1"/>
          <w:sz w:val="18"/>
          <w:szCs w:val="18"/>
          <w14:textFill>
            <w14:solidFill>
              <w14:schemeClr w14:val="tx1"/>
            </w14:solidFill>
          </w14:textFill>
        </w:rPr>
        <w:t>[</w:t>
      </w:r>
      <w:r>
        <w:rPr>
          <w:rFonts w:hint="eastAsia" w:ascii="黑体" w:hAnsi="黑体" w:eastAsia="黑体" w:cs="黑体"/>
          <w:b w:val="0"/>
          <w:bCs w:val="0"/>
          <w:color w:val="000000" w:themeColor="text1"/>
          <w:sz w:val="18"/>
          <w:szCs w:val="18"/>
          <w:highlight w:val="none"/>
          <w14:textFill>
            <w14:solidFill>
              <w14:schemeClr w14:val="tx1"/>
            </w14:solidFill>
          </w14:textFill>
        </w:rPr>
        <w:t>来源</w:t>
      </w:r>
      <w:r>
        <w:rPr>
          <w:rFonts w:hint="eastAsia" w:ascii="黑体" w:hAnsi="黑体" w:eastAsia="黑体" w:cs="黑体"/>
          <w:color w:val="000000" w:themeColor="text1"/>
          <w:sz w:val="18"/>
          <w:szCs w:val="18"/>
          <w:highlight w:val="none"/>
          <w14:textFill>
            <w14:solidFill>
              <w14:schemeClr w14:val="tx1"/>
            </w14:solidFill>
          </w14:textFill>
        </w:rPr>
        <w:t>：</w:t>
      </w:r>
      <w:r>
        <w:rPr>
          <w:rFonts w:hint="eastAsia" w:ascii="Times New Roman"/>
          <w:color w:val="000000" w:themeColor="text1"/>
          <w:kern w:val="2"/>
          <w:sz w:val="18"/>
          <w:szCs w:val="18"/>
          <w14:textFill>
            <w14:solidFill>
              <w14:schemeClr w14:val="tx1"/>
            </w14:solidFill>
          </w14:textFill>
        </w:rPr>
        <w:t>GB/T 16</w:t>
      </w:r>
      <w:r>
        <w:rPr>
          <w:rFonts w:hint="eastAsia" w:ascii="Times New Roman" w:hAnsi="Times New Roman" w:cs="Times New Roman"/>
          <w:color w:val="000000" w:themeColor="text1"/>
          <w:kern w:val="2"/>
          <w:sz w:val="18"/>
          <w:szCs w:val="18"/>
          <w14:textFill>
            <w14:solidFill>
              <w14:schemeClr w14:val="tx1"/>
            </w14:solidFill>
          </w14:textFill>
        </w:rPr>
        <w:t>751.2-2021</w:t>
      </w:r>
      <w:r>
        <w:rPr>
          <w:rFonts w:hint="eastAsia" w:ascii="Times New Roman" w:hAnsi="Times New Roman" w:cs="Times New Roman"/>
          <w:color w:val="000000" w:themeColor="text1"/>
          <w:kern w:val="2"/>
          <w:sz w:val="18"/>
          <w:szCs w:val="18"/>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18"/>
          <w:szCs w:val="18"/>
          <w14:textFill>
            <w14:solidFill>
              <w14:schemeClr w14:val="tx1"/>
            </w14:solidFill>
          </w14:textFill>
        </w:rPr>
        <w:t>6</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18"/>
          <w:szCs w:val="18"/>
          <w14:textFill>
            <w14:solidFill>
              <w14:schemeClr w14:val="tx1"/>
            </w14:solidFill>
          </w14:textFill>
        </w:rPr>
        <w:t>2.1.5.5.1</w:t>
      </w:r>
      <w:r>
        <w:rPr>
          <w:rFonts w:ascii="Times New Roman"/>
          <w:color w:val="000000" w:themeColor="text1"/>
          <w:sz w:val="18"/>
          <w:szCs w:val="18"/>
          <w14:textFill>
            <w14:solidFill>
              <w14:schemeClr w14:val="tx1"/>
            </w14:solidFill>
          </w14:textFill>
        </w:rPr>
        <w:t>]</w:t>
      </w:r>
    </w:p>
    <w:p w14:paraId="0CA62883">
      <w:pPr>
        <w:pStyle w:val="33"/>
        <w:keepNext w:val="0"/>
        <w:keepLines w:val="0"/>
        <w:pageBreakBefore w:val="0"/>
        <w:tabs>
          <w:tab w:val="center" w:pos="4201"/>
          <w:tab w:val="right" w:leader="dot" w:pos="9298"/>
        </w:tabs>
        <w:kinsoku/>
        <w:wordWrap/>
        <w:overflowPunct/>
        <w:topLinePunct w:val="0"/>
        <w:bidi w:val="0"/>
        <w:adjustRightInd/>
        <w:spacing w:line="360" w:lineRule="exact"/>
        <w:textAlignment w:val="auto"/>
        <w:rPr>
          <w:rFonts w:hint="eastAsia" w:ascii="Times New Roman"/>
          <w:color w:val="000000" w:themeColor="text1"/>
          <w:sz w:val="18"/>
          <w:szCs w:val="18"/>
          <w:lang w:eastAsia="zh-CN"/>
          <w14:textFill>
            <w14:solidFill>
              <w14:schemeClr w14:val="tx1"/>
            </w14:solidFill>
          </w14:textFill>
        </w:rPr>
      </w:pPr>
      <w:r>
        <w:rPr>
          <w:rFonts w:hint="eastAsia" w:ascii="黑体" w:hAnsi="黑体" w:eastAsia="黑体" w:cs="黑体"/>
          <w:color w:val="000000" w:themeColor="text1"/>
          <w:sz w:val="18"/>
          <w:szCs w:val="18"/>
          <w:lang w:eastAsia="zh-CN"/>
          <w14:textFill>
            <w14:solidFill>
              <w14:schemeClr w14:val="tx1"/>
            </w14:solidFill>
          </w14:textFill>
        </w:rPr>
        <w:t>注：</w:t>
      </w:r>
      <w:r>
        <w:rPr>
          <w:rFonts w:hint="eastAsia" w:ascii="Times New Roman"/>
          <w:color w:val="000000" w:themeColor="text1"/>
          <w:sz w:val="18"/>
          <w:szCs w:val="18"/>
          <w:lang w:eastAsia="zh-CN"/>
          <w14:textFill>
            <w14:solidFill>
              <w14:schemeClr w14:val="tx1"/>
            </w14:solidFill>
          </w14:textFill>
        </w:rPr>
        <w:t>本证在GB/T16751.2一2021中又称“肝经热盛证”“肝经火盛证”，三者含义相同，</w:t>
      </w:r>
      <w:r>
        <w:rPr>
          <w:rFonts w:hint="eastAsia" w:ascii="Times New Roman"/>
          <w:color w:val="000000" w:themeColor="text1"/>
          <w:sz w:val="18"/>
          <w:szCs w:val="18"/>
          <w:lang w:val="en-US" w:eastAsia="zh-CN"/>
          <w14:textFill>
            <w14:solidFill>
              <w14:schemeClr w14:val="tx1"/>
            </w14:solidFill>
          </w14:textFill>
        </w:rPr>
        <w:t>因此在涉及</w:t>
      </w:r>
      <w:r>
        <w:rPr>
          <w:rFonts w:hint="eastAsia" w:ascii="Times New Roman"/>
          <w:color w:val="000000" w:themeColor="text1"/>
          <w:sz w:val="18"/>
          <w:szCs w:val="18"/>
          <w:lang w:eastAsia="zh-CN"/>
          <w14:textFill>
            <w14:solidFill>
              <w14:schemeClr w14:val="tx1"/>
            </w14:solidFill>
          </w14:textFill>
        </w:rPr>
        <w:t>肝经热盛证</w:t>
      </w:r>
      <w:r>
        <w:rPr>
          <w:rFonts w:hint="eastAsia" w:ascii="Times New Roman"/>
          <w:color w:val="000000" w:themeColor="text1"/>
          <w:sz w:val="18"/>
          <w:szCs w:val="18"/>
          <w:lang w:val="en-US" w:eastAsia="zh-CN"/>
          <w14:textFill>
            <w14:solidFill>
              <w14:schemeClr w14:val="tx1"/>
            </w14:solidFill>
          </w14:textFill>
        </w:rPr>
        <w:t>和</w:t>
      </w:r>
      <w:r>
        <w:rPr>
          <w:rFonts w:hint="eastAsia" w:ascii="Times New Roman"/>
          <w:color w:val="000000" w:themeColor="text1"/>
          <w:sz w:val="18"/>
          <w:szCs w:val="18"/>
          <w:lang w:eastAsia="zh-CN"/>
          <w14:textFill>
            <w14:solidFill>
              <w14:schemeClr w14:val="tx1"/>
            </w14:solidFill>
          </w14:textFill>
        </w:rPr>
        <w:t>肝经火盛证</w:t>
      </w:r>
      <w:r>
        <w:rPr>
          <w:rFonts w:hint="eastAsia" w:ascii="Times New Roman"/>
          <w:color w:val="000000" w:themeColor="text1"/>
          <w:sz w:val="18"/>
          <w:szCs w:val="18"/>
          <w:lang w:val="en-US" w:eastAsia="zh-CN"/>
          <w14:textFill>
            <w14:solidFill>
              <w14:schemeClr w14:val="tx1"/>
            </w14:solidFill>
          </w14:textFill>
        </w:rPr>
        <w:t>的诊断和疗效评价时，也可以参考本规范</w:t>
      </w:r>
      <w:r>
        <w:rPr>
          <w:rFonts w:hint="eastAsia" w:ascii="Times New Roman"/>
          <w:color w:val="000000" w:themeColor="text1"/>
          <w:sz w:val="18"/>
          <w:szCs w:val="18"/>
          <w:lang w:eastAsia="zh-CN"/>
          <w14:textFill>
            <w14:solidFill>
              <w14:schemeClr w14:val="tx1"/>
            </w14:solidFill>
          </w14:textFill>
        </w:rPr>
        <w:t>。</w:t>
      </w:r>
    </w:p>
    <w:p w14:paraId="0D687288">
      <w:pPr>
        <w:pStyle w:val="33"/>
        <w:spacing w:line="360" w:lineRule="exact"/>
        <w:ind w:firstLine="0" w:firstLineChars="0"/>
        <w:rPr>
          <w:rFonts w:hint="eastAsia" w:ascii="Times New Roman" w:hAnsi="Times New Roman" w:eastAsia="黑体" w:cs="黑体"/>
          <w:color w:val="000000" w:themeColor="text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szCs w:val="21"/>
          <w:highlight w:val="none"/>
          <w:lang w:bidi="ar"/>
          <w14:textFill>
            <w14:solidFill>
              <w14:schemeClr w14:val="tx1"/>
            </w14:solidFill>
          </w14:textFill>
        </w:rPr>
        <w:t>3.</w:t>
      </w:r>
      <w:r>
        <w:rPr>
          <w:rFonts w:hint="eastAsia" w:ascii="Times New Roman" w:hAnsi="Times New Roman" w:eastAsia="黑体" w:cs="黑体"/>
          <w:color w:val="000000" w:themeColor="text1"/>
          <w:szCs w:val="21"/>
          <w:highlight w:val="none"/>
          <w:lang w:val="en-US" w:eastAsia="zh-CN" w:bidi="ar"/>
          <w14:textFill>
            <w14:solidFill>
              <w14:schemeClr w14:val="tx1"/>
            </w14:solidFill>
          </w14:textFill>
        </w:rPr>
        <w:t>2</w:t>
      </w:r>
    </w:p>
    <w:p w14:paraId="45ED2C5E">
      <w:pPr>
        <w:pStyle w:val="33"/>
        <w:spacing w:line="360" w:lineRule="exact"/>
        <w:ind w:firstLine="420" w:firstLineChars="200"/>
        <w:rPr>
          <w:rFonts w:hint="eastAsia" w:ascii="Times New Roman" w:hAnsi="Times New Roman" w:eastAsia="黑体" w:cs="Arial"/>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黑体" w:cs="黑体"/>
          <w:color w:val="000000" w:themeColor="text1"/>
          <w:kern w:val="0"/>
          <w:sz w:val="21"/>
          <w:szCs w:val="21"/>
          <w:lang w:val="en-US" w:eastAsia="zh-CN" w:bidi="ar"/>
          <w14:textFill>
            <w14:solidFill>
              <w14:schemeClr w14:val="tx1"/>
            </w14:solidFill>
          </w14:textFill>
        </w:rPr>
        <w:t>目赤肿痛</w:t>
      </w:r>
      <w:r>
        <w:rPr>
          <w:rFonts w:hint="eastAsia" w:ascii="Times New Roman" w:hAnsi="Times New Roman" w:eastAsia="黑体" w:cs="Arial"/>
          <w:color w:val="000000" w:themeColor="text1"/>
          <w:kern w:val="0"/>
          <w:sz w:val="21"/>
          <w:szCs w:val="21"/>
          <w:highlight w:val="none"/>
          <w:lang w:val="en-US" w:eastAsia="zh-CN" w:bidi="ar-SA"/>
          <w14:textFill>
            <w14:solidFill>
              <w14:schemeClr w14:val="tx1"/>
            </w14:solidFill>
          </w14:textFill>
        </w:rPr>
        <w:t xml:space="preserve"> </w:t>
      </w:r>
      <w:r>
        <w:rPr>
          <w:rFonts w:hint="eastAsia" w:ascii="Times New Roman" w:hAnsi="Times New Roman" w:eastAsia="黑体" w:cs="Arial"/>
          <w:i w:val="0"/>
          <w:iCs w:val="0"/>
          <w:caps w:val="0"/>
          <w:color w:val="000000" w:themeColor="text1"/>
          <w:spacing w:val="0"/>
          <w:sz w:val="21"/>
          <w:szCs w:val="21"/>
          <w:highlight w:val="none"/>
          <w:shd w:val="clear"/>
          <w14:textFill>
            <w14:solidFill>
              <w14:schemeClr w14:val="tx1"/>
            </w14:solidFill>
          </w14:textFill>
        </w:rPr>
        <w:t>reddened, swollen and painful eye</w:t>
      </w:r>
    </w:p>
    <w:p w14:paraId="4D2A9553">
      <w:pPr>
        <w:keepNext w:val="0"/>
        <w:keepLines w:val="0"/>
        <w:pageBreakBefore w:val="0"/>
        <w:widowControl/>
        <w:suppressLineNumbers w:val="0"/>
        <w:kinsoku/>
        <w:wordWrap/>
        <w:overflowPunct/>
        <w:topLinePunct w:val="0"/>
        <w:bidi w:val="0"/>
        <w:adjustRightInd/>
        <w:spacing w:line="360" w:lineRule="exact"/>
        <w:jc w:val="left"/>
        <w:textAlignment w:val="auto"/>
        <w:rPr>
          <w:rStyle w:val="24"/>
          <w:rFonts w:hint="eastAsia" w:ascii="Times New Roman" w:hAnsi="Times New Roman" w:eastAsia="宋体" w:cs="宋体"/>
          <w:b w:val="0"/>
          <w:bCs w:val="0"/>
          <w:i w:val="0"/>
          <w:iCs w:val="0"/>
          <w:caps w:val="0"/>
          <w:color w:val="000000" w:themeColor="text1"/>
          <w:spacing w:val="0"/>
          <w:sz w:val="21"/>
          <w:szCs w:val="21"/>
          <w:shd w:val="clear" w:fill="FFFFFF"/>
          <w:lang w:eastAsia="zh-CN"/>
          <w14:textFill>
            <w14:solidFill>
              <w14:schemeClr w14:val="tx1"/>
            </w14:solidFill>
          </w14:textFill>
        </w:rPr>
      </w:pPr>
      <w:bookmarkStart w:id="62" w:name="_Toc182169678"/>
      <w:r>
        <w:rPr>
          <w:rFonts w:hint="eastAsia" w:ascii="Times New Roman" w:hAnsi="Times New Roman" w:eastAsia="宋体" w:cs="宋体"/>
          <w:color w:val="000000" w:themeColor="text1"/>
          <w:kern w:val="0"/>
          <w:sz w:val="21"/>
          <w:szCs w:val="21"/>
          <w:lang w:val="en-US" w:eastAsia="zh-CN" w:bidi="ar"/>
          <w14:textFill>
            <w14:solidFill>
              <w14:schemeClr w14:val="tx1"/>
            </w14:solidFill>
          </w14:textFill>
        </w:rPr>
        <w:t>多因外感风热时邪或肝胆火盛，火热之邪循经上扰，以致经脉闭阻，血壅气滞，骤然发生目赤肿痛</w:t>
      </w:r>
      <w:r>
        <w:rPr>
          <w:rFonts w:hint="eastAsia" w:ascii="Times New Roman" w:hAnsi="Times New Roman" w:eastAsia="宋体" w:cs="宋体"/>
          <w:b w:val="0"/>
          <w:bCs w:val="0"/>
          <w:i w:val="0"/>
          <w:iCs w:val="0"/>
          <w:caps w:val="0"/>
          <w:color w:val="000000" w:themeColor="text1"/>
          <w:spacing w:val="0"/>
          <w:kern w:val="0"/>
          <w:sz w:val="21"/>
          <w:szCs w:val="21"/>
          <w:shd w:val="clear"/>
          <w:lang w:bidi="ar"/>
          <w14:textFill>
            <w14:solidFill>
              <w14:schemeClr w14:val="tx1"/>
            </w14:solidFill>
          </w14:textFill>
        </w:rPr>
        <w:t>、羞明、</w:t>
      </w:r>
      <w:r>
        <w:rPr>
          <w:rFonts w:hint="eastAsia" w:ascii="Times New Roman" w:hAnsi="Times New Roman" w:eastAsia="宋体" w:cs="宋体"/>
          <w:b w:val="0"/>
          <w:bCs w:val="0"/>
          <w:i w:val="0"/>
          <w:iCs w:val="0"/>
          <w:caps w:val="0"/>
          <w:color w:val="000000" w:themeColor="text1"/>
          <w:spacing w:val="0"/>
          <w:kern w:val="0"/>
          <w:sz w:val="21"/>
          <w:szCs w:val="21"/>
          <w:shd w:val="clear"/>
          <w:lang w:val="en-US" w:eastAsia="zh-CN" w:bidi="ar"/>
          <w14:textFill>
            <w14:solidFill>
              <w14:schemeClr w14:val="tx1"/>
            </w14:solidFill>
          </w14:textFill>
        </w:rPr>
        <w:t>流泪，眵多</w:t>
      </w:r>
      <w:r>
        <w:rPr>
          <w:rStyle w:val="24"/>
          <w:rFonts w:hint="eastAsia" w:eastAsia="宋体" w:cs="宋体"/>
          <w:b w:val="0"/>
          <w:bCs w:val="0"/>
          <w:i w:val="0"/>
          <w:iCs w:val="0"/>
          <w:caps w:val="0"/>
          <w:color w:val="000000" w:themeColor="text1"/>
          <w:spacing w:val="0"/>
          <w:sz w:val="21"/>
          <w:szCs w:val="21"/>
          <w:shd w:val="clear" w:fill="FFFFFF"/>
          <w:vertAlign w:val="superscript"/>
          <w:lang w:val="en-US" w:eastAsia="zh-CN"/>
          <w14:textFill>
            <w14:solidFill>
              <w14:schemeClr w14:val="tx1"/>
            </w14:solidFill>
          </w14:textFill>
        </w:rPr>
        <w:t>[6]</w:t>
      </w:r>
      <w:r>
        <w:rPr>
          <w:rStyle w:val="24"/>
          <w:rFonts w:hint="eastAsia" w:ascii="Times New Roman" w:hAnsi="Times New Roman" w:eastAsia="宋体" w:cs="宋体"/>
          <w:b w:val="0"/>
          <w:bCs w:val="0"/>
          <w:i w:val="0"/>
          <w:iCs w:val="0"/>
          <w:caps w:val="0"/>
          <w:color w:val="000000" w:themeColor="text1"/>
          <w:spacing w:val="0"/>
          <w:sz w:val="21"/>
          <w:szCs w:val="21"/>
          <w:shd w:val="clear" w:fill="FFFFFF"/>
          <w:lang w:eastAsia="zh-CN"/>
          <w14:textFill>
            <w14:solidFill>
              <w14:schemeClr w14:val="tx1"/>
            </w14:solidFill>
          </w14:textFill>
        </w:rPr>
        <w:t>。</w:t>
      </w:r>
    </w:p>
    <w:p w14:paraId="01B5F5E8">
      <w:pPr>
        <w:keepNext w:val="0"/>
        <w:keepLines w:val="0"/>
        <w:pageBreakBefore w:val="0"/>
        <w:widowControl/>
        <w:suppressLineNumbers w:val="0"/>
        <w:kinsoku/>
        <w:wordWrap/>
        <w:overflowPunct/>
        <w:topLinePunct w:val="0"/>
        <w:bidi w:val="0"/>
        <w:adjustRightInd/>
        <w:spacing w:line="360" w:lineRule="exact"/>
        <w:ind w:left="0" w:leftChars="0" w:firstLine="0" w:firstLineChars="0"/>
        <w:jc w:val="left"/>
        <w:textAlignment w:val="auto"/>
        <w:rPr>
          <w:rFonts w:hint="default" w:eastAsia="黑体" w:cs="黑体"/>
          <w:b w:val="0"/>
          <w:bCs w:val="0"/>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t>3.</w:t>
      </w:r>
      <w:r>
        <w:rPr>
          <w:rFonts w:hint="eastAsia" w:eastAsia="黑体" w:cs="黑体"/>
          <w:b w:val="0"/>
          <w:bCs w:val="0"/>
          <w:color w:val="000000" w:themeColor="text1"/>
          <w:kern w:val="0"/>
          <w:sz w:val="21"/>
          <w:szCs w:val="21"/>
          <w:highlight w:val="none"/>
          <w:lang w:val="en-US" w:eastAsia="zh-CN" w:bidi="ar"/>
          <w14:textFill>
            <w14:solidFill>
              <w14:schemeClr w14:val="tx1"/>
            </w14:solidFill>
          </w14:textFill>
        </w:rPr>
        <w:t>3</w:t>
      </w:r>
    </w:p>
    <w:p w14:paraId="1157B435">
      <w:pPr>
        <w:keepNext w:val="0"/>
        <w:keepLines w:val="0"/>
        <w:pageBreakBefore w:val="0"/>
        <w:widowControl/>
        <w:suppressLineNumbers w:val="0"/>
        <w:kinsoku/>
        <w:wordWrap/>
        <w:overflowPunct/>
        <w:topLinePunct w:val="0"/>
        <w:bidi w:val="0"/>
        <w:adjustRightInd/>
        <w:spacing w:line="360" w:lineRule="exact"/>
        <w:ind w:left="0" w:leftChars="0" w:firstLine="420" w:firstLineChars="200"/>
        <w:jc w:val="left"/>
        <w:textAlignment w:val="auto"/>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t xml:space="preserve">胁胀 hypochondrium </w:t>
      </w: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distension</w:t>
      </w:r>
    </w:p>
    <w:p w14:paraId="376A711D">
      <w:pPr>
        <w:keepNext w:val="0"/>
        <w:keepLines w:val="0"/>
        <w:pageBreakBefore w:val="0"/>
        <w:widowControl/>
        <w:suppressLineNumbers w:val="0"/>
        <w:kinsoku/>
        <w:wordWrap/>
        <w:overflowPunct/>
        <w:topLinePunct w:val="0"/>
        <w:bidi w:val="0"/>
        <w:adjustRightInd/>
        <w:spacing w:line="360" w:lineRule="exact"/>
        <w:ind w:firstLine="422"/>
        <w:jc w:val="left"/>
        <w:textAlignment w:val="auto"/>
        <w:rPr>
          <w:rFonts w:hint="eastAsia" w:ascii="Times New Roman" w:hAnsi="Times New Roman" w:eastAsia="宋体" w:cs="宋体"/>
          <w:b w:val="0"/>
          <w:bCs w:val="0"/>
          <w:i w:val="0"/>
          <w:iCs w:val="0"/>
          <w:caps w:val="0"/>
          <w:color w:val="000000" w:themeColor="text1"/>
          <w:spacing w:val="0"/>
          <w:sz w:val="21"/>
          <w:szCs w:val="21"/>
          <w:highlight w:val="none"/>
          <w:shd w:val="clear" w:fill="FFFFFF"/>
          <w14:textFill>
            <w14:solidFill>
              <w14:schemeClr w14:val="tx1"/>
            </w14:solidFill>
          </w14:textFill>
        </w:rPr>
      </w:pPr>
      <w:r>
        <w:rPr>
          <w:rFonts w:hint="eastAsia" w:ascii="Times New Roman" w:hAnsi="Times New Roman"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一侧或两侧胁肋部胀满不适</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w:t>
      </w:r>
    </w:p>
    <w:p w14:paraId="7CE888DF">
      <w:pPr>
        <w:keepNext w:val="0"/>
        <w:keepLines w:val="0"/>
        <w:pageBreakBefore w:val="0"/>
        <w:kinsoku/>
        <w:wordWrap/>
        <w:overflowPunct/>
        <w:topLinePunct w:val="0"/>
        <w:bidi w:val="0"/>
        <w:adjustRightInd/>
        <w:snapToGrid w:val="0"/>
        <w:spacing w:line="360" w:lineRule="exact"/>
        <w:ind w:left="0" w:leftChars="0" w:firstLine="0" w:firstLineChars="0"/>
        <w:jc w:val="left"/>
        <w:textAlignment w:val="auto"/>
        <w:rPr>
          <w:rFonts w:hint="default"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4</w:t>
      </w:r>
    </w:p>
    <w:p w14:paraId="74C90346">
      <w:pPr>
        <w:keepNext w:val="0"/>
        <w:keepLines w:val="0"/>
        <w:pageBreakBefore w:val="0"/>
        <w:kinsoku/>
        <w:wordWrap/>
        <w:overflowPunct/>
        <w:topLinePunct w:val="0"/>
        <w:bidi w:val="0"/>
        <w:adjustRightInd/>
        <w:snapToGrid w:val="0"/>
        <w:spacing w:line="360" w:lineRule="exact"/>
        <w:ind w:left="0" w:leftChars="0" w:firstLine="420" w:firstLineChars="200"/>
        <w:jc w:val="left"/>
        <w:textAlignment w:val="auto"/>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胁痛</w:t>
      </w:r>
      <w:r>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t xml:space="preserve"> </w:t>
      </w:r>
      <w:r>
        <w:rPr>
          <w:rFonts w:hint="eastAsia" w:ascii="Times New Roman" w:hAnsi="Times New Roman" w:eastAsia="黑体" w:cs="Arial"/>
          <w:color w:val="000000" w:themeColor="text1"/>
          <w:kern w:val="0"/>
          <w:sz w:val="21"/>
          <w:szCs w:val="21"/>
          <w:highlight w:val="none"/>
          <w14:textFill>
            <w14:solidFill>
              <w14:schemeClr w14:val="tx1"/>
            </w14:solidFill>
          </w14:textFill>
        </w:rPr>
        <w:t>hypochondriac pain</w:t>
      </w:r>
    </w:p>
    <w:p w14:paraId="31DFC876">
      <w:pPr>
        <w:keepNext w:val="0"/>
        <w:keepLines w:val="0"/>
        <w:pageBreakBefore w:val="0"/>
        <w:kinsoku/>
        <w:wordWrap/>
        <w:overflowPunct/>
        <w:topLinePunct w:val="0"/>
        <w:bidi w:val="0"/>
        <w:adjustRightInd/>
        <w:spacing w:line="360" w:lineRule="exact"/>
        <w:ind w:firstLine="422"/>
        <w:jc w:val="left"/>
        <w:textAlignment w:val="auto"/>
        <w:rPr>
          <w:rFonts w:hint="eastAsia" w:ascii="Times New Roman" w:hAnsi="Times New Roman" w:eastAsia="宋体" w:cs="宋体"/>
          <w:b w:val="0"/>
          <w:bCs w:val="0"/>
          <w:color w:val="000000" w:themeColor="text1"/>
          <w:kern w:val="0"/>
          <w:sz w:val="21"/>
          <w:szCs w:val="21"/>
          <w:highlight w:val="none"/>
          <w:lang w:bidi="ar"/>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bidi="ar"/>
          <w14:textFill>
            <w14:solidFill>
              <w14:schemeClr w14:val="tx1"/>
            </w14:solidFill>
          </w14:textFill>
        </w:rPr>
        <w:t>临床以自觉一侧或两侧胁肋部疼痛，或切按则痛等为特征的症状。</w:t>
      </w:r>
    </w:p>
    <w:p w14:paraId="6AFF42D5">
      <w:pPr>
        <w:pStyle w:val="44"/>
        <w:keepNext w:val="0"/>
        <w:keepLines w:val="0"/>
        <w:pageBreakBefore w:val="0"/>
        <w:numPr>
          <w:ilvl w:val="-1"/>
          <w:numId w:val="0"/>
        </w:numPr>
        <w:kinsoku/>
        <w:wordWrap/>
        <w:overflowPunct/>
        <w:topLinePunct w:val="0"/>
        <w:bidi w:val="0"/>
        <w:adjustRightInd/>
        <w:spacing w:line="360" w:lineRule="exact"/>
        <w:ind w:firstLine="360" w:firstLineChars="200"/>
        <w:textAlignment w:val="auto"/>
        <w:rPr>
          <w:rFonts w:ascii="Times New Roman"/>
          <w:color w:val="000000" w:themeColor="text1"/>
          <w:sz w:val="18"/>
          <w:szCs w:val="18"/>
          <w14:textFill>
            <w14:solidFill>
              <w14:schemeClr w14:val="tx1"/>
            </w14:solidFill>
          </w14:textFill>
        </w:rPr>
      </w:pPr>
      <w:r>
        <w:rPr>
          <w:rFonts w:ascii="Times New Roman"/>
          <w:color w:val="000000" w:themeColor="text1"/>
          <w:sz w:val="18"/>
          <w:szCs w:val="18"/>
          <w14:textFill>
            <w14:solidFill>
              <w14:schemeClr w14:val="tx1"/>
            </w14:solidFill>
          </w14:textFill>
        </w:rPr>
        <w:t>[</w:t>
      </w:r>
      <w:r>
        <w:rPr>
          <w:rFonts w:hint="eastAsia" w:ascii="黑体" w:hAnsi="黑体" w:eastAsia="黑体" w:cs="黑体"/>
          <w:color w:val="000000" w:themeColor="text1"/>
          <w:sz w:val="18"/>
          <w:szCs w:val="18"/>
          <w14:textFill>
            <w14:solidFill>
              <w14:schemeClr w14:val="tx1"/>
            </w14:solidFill>
          </w14:textFill>
        </w:rPr>
        <w:t>来源：</w:t>
      </w:r>
      <w:r>
        <w:rPr>
          <w:rFonts w:hint="eastAsia" w:ascii="Times New Roman" w:hAnsi="Times New Roman"/>
          <w:color w:val="000000" w:themeColor="text1"/>
          <w:sz w:val="18"/>
          <w:szCs w:val="18"/>
          <w14:textFill>
            <w14:solidFill>
              <w14:schemeClr w14:val="tx1"/>
            </w14:solidFill>
          </w14:textFill>
        </w:rPr>
        <w:t>GB/T 16751.1-2023</w:t>
      </w:r>
      <w:r>
        <w:rPr>
          <w:rFonts w:hint="eastAsia" w:ascii="Times New Roman" w:hAnsi="Times New Roman"/>
          <w:color w:val="000000" w:themeColor="text1"/>
          <w:sz w:val="18"/>
          <w:szCs w:val="18"/>
          <w:lang w:eastAsia="zh-CN"/>
          <w14:textFill>
            <w14:solidFill>
              <w14:schemeClr w14:val="tx1"/>
            </w14:solidFill>
          </w14:textFill>
        </w:rPr>
        <w:t>，</w:t>
      </w:r>
      <w:r>
        <w:rPr>
          <w:rFonts w:hint="eastAsia" w:ascii="Times New Roman" w:hAnsi="Times New Roman" w:eastAsiaTheme="minorEastAsia" w:cstheme="minorBidi"/>
          <w:color w:val="000000" w:themeColor="text1"/>
          <w:kern w:val="2"/>
          <w:sz w:val="18"/>
          <w:szCs w:val="18"/>
          <w14:textFill>
            <w14:solidFill>
              <w14:schemeClr w14:val="tx1"/>
            </w14:solidFill>
          </w14:textFill>
        </w:rPr>
        <w:t>18.33</w:t>
      </w:r>
      <w:r>
        <w:rPr>
          <w:rFonts w:ascii="Times New Roman"/>
          <w:color w:val="000000" w:themeColor="text1"/>
          <w:sz w:val="18"/>
          <w:szCs w:val="18"/>
          <w14:textFill>
            <w14:solidFill>
              <w14:schemeClr w14:val="tx1"/>
            </w14:solidFill>
          </w14:textFill>
        </w:rPr>
        <w:t>]</w:t>
      </w:r>
    </w:p>
    <w:p w14:paraId="3772DABF">
      <w:pPr>
        <w:keepNext w:val="0"/>
        <w:keepLines w:val="0"/>
        <w:pageBreakBefore w:val="0"/>
        <w:kinsoku/>
        <w:wordWrap/>
        <w:overflowPunct/>
        <w:topLinePunct w:val="0"/>
        <w:bidi w:val="0"/>
        <w:adjustRightInd/>
        <w:snapToGrid w:val="0"/>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3</w:t>
      </w: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w:t>
      </w:r>
      <w:r>
        <w:rPr>
          <w:rFonts w:hint="eastAsia" w:eastAsia="黑体" w:cs="黑体"/>
          <w:color w:val="000000" w:themeColor="text1"/>
          <w:kern w:val="0"/>
          <w:sz w:val="21"/>
          <w:szCs w:val="21"/>
          <w:highlight w:val="none"/>
          <w:lang w:val="en-US" w:eastAsia="zh-CN" w:bidi="ar"/>
          <w14:textFill>
            <w14:solidFill>
              <w14:schemeClr w14:val="tx1"/>
            </w14:solidFill>
          </w14:textFill>
        </w:rPr>
        <w:t>5</w:t>
      </w:r>
    </w:p>
    <w:p w14:paraId="3C0267CD">
      <w:pPr>
        <w:keepNext w:val="0"/>
        <w:keepLines w:val="0"/>
        <w:pageBreakBefore w:val="0"/>
        <w:kinsoku/>
        <w:wordWrap/>
        <w:overflowPunct/>
        <w:topLinePunct w:val="0"/>
        <w:bidi w:val="0"/>
        <w:adjustRightInd/>
        <w:snapToGrid w:val="0"/>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 xml:space="preserve">烦躁 </w:t>
      </w:r>
      <w:r>
        <w:rPr>
          <w:rFonts w:hint="eastAsia" w:ascii="Times New Roman" w:hAnsi="Times New Roman" w:eastAsia="黑体" w:cs="Arial"/>
          <w:color w:val="000000" w:themeColor="text1"/>
          <w:kern w:val="0"/>
          <w:sz w:val="21"/>
          <w:szCs w:val="21"/>
          <w:highlight w:val="none"/>
          <w14:textFill>
            <w14:solidFill>
              <w14:schemeClr w14:val="tx1"/>
            </w14:solidFill>
          </w14:textFill>
        </w:rPr>
        <w:t>dysphoria</w:t>
      </w:r>
    </w:p>
    <w:bookmarkEnd w:id="62"/>
    <w:p w14:paraId="2F9BB829">
      <w:pPr>
        <w:keepNext w:val="0"/>
        <w:keepLines w:val="0"/>
        <w:pageBreakBefore w:val="0"/>
        <w:kinsoku/>
        <w:wordWrap/>
        <w:overflowPunct/>
        <w:topLinePunct w:val="0"/>
        <w:bidi w:val="0"/>
        <w:adjustRightInd/>
        <w:snapToGrid w:val="0"/>
        <w:spacing w:line="360" w:lineRule="exact"/>
        <w:ind w:firstLine="422"/>
        <w:jc w:val="left"/>
        <w:textAlignment w:val="auto"/>
        <w:rPr>
          <w:rFonts w:hint="eastAsia" w:ascii="Times New Roman" w:hAnsi="Times New Roman" w:eastAsia="宋体" w:cs="宋体"/>
          <w:b w:val="0"/>
          <w:bCs w:val="0"/>
          <w:color w:val="000000" w:themeColor="text1"/>
          <w:kern w:val="0"/>
          <w:sz w:val="21"/>
          <w:szCs w:val="21"/>
          <w:highlight w:val="none"/>
          <w:lang w:bidi="ar"/>
          <w14:textFill>
            <w14:solidFill>
              <w14:schemeClr w14:val="tx1"/>
            </w14:solidFill>
          </w14:textFill>
        </w:rPr>
      </w:pPr>
      <w:bookmarkStart w:id="63" w:name="_Toc182169679"/>
      <w:r>
        <w:rPr>
          <w:rFonts w:hint="eastAsia" w:ascii="Times New Roman" w:hAnsi="Times New Roman" w:eastAsia="宋体" w:cs="宋体"/>
          <w:b w:val="0"/>
          <w:bCs w:val="0"/>
          <w:color w:val="000000" w:themeColor="text1"/>
          <w:kern w:val="0"/>
          <w:sz w:val="21"/>
          <w:szCs w:val="21"/>
          <w:highlight w:val="none"/>
          <w:lang w:bidi="ar"/>
          <w14:textFill>
            <w14:solidFill>
              <w14:schemeClr w14:val="tx1"/>
            </w14:solidFill>
          </w14:textFill>
        </w:rPr>
        <w:t>临床以自觉心中烦闷，急躁易怒，坐卧不宁，无所适从，甚则行为举止躁动不安等为</w:t>
      </w:r>
      <w:r>
        <w:rPr>
          <w:rFonts w:hint="eastAsia" w:eastAsia="宋体" w:cs="宋体"/>
          <w:b w:val="0"/>
          <w:bCs w:val="0"/>
          <w:color w:val="000000" w:themeColor="text1"/>
          <w:kern w:val="0"/>
          <w:sz w:val="21"/>
          <w:szCs w:val="21"/>
          <w:highlight w:val="none"/>
          <w:lang w:val="en-US" w:eastAsia="zh-CN" w:bidi="ar"/>
          <w14:textFill>
            <w14:solidFill>
              <w14:schemeClr w14:val="tx1"/>
            </w14:solidFill>
          </w14:textFill>
        </w:rPr>
        <w:t>特征</w:t>
      </w:r>
      <w:r>
        <w:rPr>
          <w:rFonts w:hint="eastAsia" w:ascii="Times New Roman" w:hAnsi="Times New Roman" w:eastAsia="宋体" w:cs="宋体"/>
          <w:b w:val="0"/>
          <w:bCs w:val="0"/>
          <w:color w:val="000000" w:themeColor="text1"/>
          <w:kern w:val="0"/>
          <w:sz w:val="21"/>
          <w:szCs w:val="21"/>
          <w:highlight w:val="none"/>
          <w:lang w:bidi="ar"/>
          <w14:textFill>
            <w14:solidFill>
              <w14:schemeClr w14:val="tx1"/>
            </w14:solidFill>
          </w14:textFill>
        </w:rPr>
        <w:t>的症状。</w:t>
      </w:r>
    </w:p>
    <w:p w14:paraId="22E009D9">
      <w:pPr>
        <w:pStyle w:val="44"/>
        <w:keepNext w:val="0"/>
        <w:keepLines w:val="0"/>
        <w:pageBreakBefore w:val="0"/>
        <w:numPr>
          <w:ilvl w:val="-1"/>
          <w:numId w:val="0"/>
        </w:numPr>
        <w:kinsoku/>
        <w:wordWrap/>
        <w:overflowPunct/>
        <w:topLinePunct w:val="0"/>
        <w:bidi w:val="0"/>
        <w:adjustRightInd/>
        <w:spacing w:line="360" w:lineRule="exact"/>
        <w:ind w:firstLine="360" w:firstLineChars="200"/>
        <w:textAlignment w:val="auto"/>
        <w:rPr>
          <w:rFonts w:hint="eastAsia" w:ascii="Times New Roman" w:hAnsi="Times New Roman" w:eastAsia="宋体" w:cs="宋体"/>
          <w:b w:val="0"/>
          <w:bCs w:val="0"/>
          <w:color w:val="000000" w:themeColor="text1"/>
          <w:kern w:val="0"/>
          <w:sz w:val="18"/>
          <w:szCs w:val="18"/>
          <w:highlight w:val="none"/>
          <w:lang w:bidi="ar"/>
          <w14:textFill>
            <w14:solidFill>
              <w14:schemeClr w14:val="tx1"/>
            </w14:solidFill>
          </w14:textFill>
        </w:rPr>
      </w:pPr>
      <w:r>
        <w:rPr>
          <w:rFonts w:ascii="Times New Roman"/>
          <w:color w:val="000000" w:themeColor="text1"/>
          <w:sz w:val="18"/>
          <w:szCs w:val="18"/>
          <w14:textFill>
            <w14:solidFill>
              <w14:schemeClr w14:val="tx1"/>
            </w14:solidFill>
          </w14:textFill>
        </w:rPr>
        <w:t>[</w:t>
      </w:r>
      <w:r>
        <w:rPr>
          <w:rFonts w:hint="eastAsia" w:ascii="黑体" w:hAnsi="黑体" w:eastAsia="黑体" w:cs="黑体"/>
          <w:color w:val="000000" w:themeColor="text1"/>
          <w:sz w:val="18"/>
          <w:szCs w:val="18"/>
          <w14:textFill>
            <w14:solidFill>
              <w14:schemeClr w14:val="tx1"/>
            </w14:solidFill>
          </w14:textFill>
        </w:rPr>
        <w:t>来源</w:t>
      </w:r>
      <w:r>
        <w:rPr>
          <w:rFonts w:asci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G</w:t>
      </w:r>
      <w:r>
        <w:rPr>
          <w:rFonts w:hint="eastAsia" w:ascii="Times New Roman" w:hAnsi="Times New Roman" w:eastAsia="宋体" w:cs="Times New Roman"/>
          <w:color w:val="000000" w:themeColor="text1"/>
          <w:sz w:val="18"/>
          <w:szCs w:val="18"/>
          <w14:textFill>
            <w14:solidFill>
              <w14:schemeClr w14:val="tx1"/>
            </w14:solidFill>
          </w14:textFill>
        </w:rPr>
        <w:t>B/T 16751.1-2023</w:t>
      </w:r>
      <w:r>
        <w:rPr>
          <w:rFonts w:hint="eastAsia" w:ascii="Times New Roman" w:hAnsi="Times New Roman" w:eastAsia="宋体" w:cs="Times New Roman"/>
          <w:color w:val="000000" w:themeColor="text1"/>
          <w:sz w:val="18"/>
          <w:szCs w:val="18"/>
          <w:lang w:eastAsia="zh-CN"/>
          <w14:textFill>
            <w14:solidFill>
              <w14:schemeClr w14:val="tx1"/>
            </w14:solidFill>
          </w14:textFill>
        </w:rPr>
        <w:t>，</w:t>
      </w:r>
      <w:r>
        <w:rPr>
          <w:rFonts w:hint="eastAsia" w:ascii="Times New Roman" w:hAnsi="Times New Roman" w:eastAsia="宋体" w:cs="Times New Roman"/>
          <w:color w:val="000000" w:themeColor="text1"/>
          <w:kern w:val="2"/>
          <w:sz w:val="18"/>
          <w:szCs w:val="18"/>
          <w14:textFill>
            <w14:solidFill>
              <w14:schemeClr w14:val="tx1"/>
            </w14:solidFill>
          </w14:textFill>
        </w:rPr>
        <w:t>18.10</w:t>
      </w:r>
      <w:r>
        <w:rPr>
          <w:rFonts w:ascii="Times New Roman"/>
          <w:color w:val="000000" w:themeColor="text1"/>
          <w:sz w:val="18"/>
          <w:szCs w:val="18"/>
          <w14:textFill>
            <w14:solidFill>
              <w14:schemeClr w14:val="tx1"/>
            </w14:solidFill>
          </w14:textFill>
        </w:rPr>
        <w:t>]</w:t>
      </w:r>
    </w:p>
    <w:p w14:paraId="2B040E15">
      <w:pPr>
        <w:keepNext w:val="0"/>
        <w:keepLines w:val="0"/>
        <w:pageBreakBefore w:val="0"/>
        <w:kinsoku/>
        <w:wordWrap/>
        <w:overflowPunct/>
        <w:topLinePunct w:val="0"/>
        <w:bidi w:val="0"/>
        <w:adjustRightInd/>
        <w:snapToGrid w:val="0"/>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6</w:t>
      </w:r>
    </w:p>
    <w:p w14:paraId="429EA473">
      <w:pPr>
        <w:keepNext w:val="0"/>
        <w:keepLines w:val="0"/>
        <w:pageBreakBefore w:val="0"/>
        <w:kinsoku/>
        <w:wordWrap/>
        <w:overflowPunct/>
        <w:topLinePunct w:val="0"/>
        <w:bidi w:val="0"/>
        <w:adjustRightInd/>
        <w:snapToGrid w:val="0"/>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易怒</w:t>
      </w:r>
      <w:bookmarkEnd w:id="63"/>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 xml:space="preserve"> </w:t>
      </w:r>
      <w:r>
        <w:rPr>
          <w:rFonts w:hint="eastAsia" w:ascii="Times New Roman" w:hAnsi="Times New Roman" w:eastAsia="黑体" w:cs="黑体"/>
          <w:i w:val="0"/>
          <w:iCs w:val="0"/>
          <w:caps w:val="0"/>
          <w:color w:val="000000" w:themeColor="text1"/>
          <w:spacing w:val="0"/>
          <w:sz w:val="21"/>
          <w:szCs w:val="21"/>
          <w:highlight w:val="none"/>
          <w:shd w:val="clear" w:fill="FFFFFF"/>
          <w14:textFill>
            <w14:solidFill>
              <w14:schemeClr w14:val="tx1"/>
            </w14:solidFill>
          </w14:textFill>
        </w:rPr>
        <w:t>irritability</w:t>
      </w:r>
    </w:p>
    <w:p w14:paraId="187AE3BD">
      <w:pPr>
        <w:keepNext w:val="0"/>
        <w:keepLines w:val="0"/>
        <w:pageBreakBefore w:val="0"/>
        <w:kinsoku/>
        <w:wordWrap/>
        <w:overflowPunct/>
        <w:topLinePunct w:val="0"/>
        <w:bidi w:val="0"/>
        <w:adjustRightInd/>
        <w:snapToGrid w:val="0"/>
        <w:spacing w:line="360" w:lineRule="exact"/>
        <w:ind w:firstLine="420" w:firstLineChars="200"/>
        <w:jc w:val="left"/>
        <w:textAlignment w:val="auto"/>
        <w:rPr>
          <w:rFonts w:hint="eastAsia" w:ascii="Times New Roman" w:hAnsi="Times New Roman" w:eastAsia="宋体" w:cs="宋体"/>
          <w:b w:val="0"/>
          <w:bCs w:val="0"/>
          <w:i w:val="0"/>
          <w:iCs w:val="0"/>
          <w:caps w:val="0"/>
          <w:color w:val="000000" w:themeColor="text1"/>
          <w:spacing w:val="0"/>
          <w:sz w:val="21"/>
          <w:szCs w:val="21"/>
          <w:highlight w:val="none"/>
          <w:shd w:val="clear" w:fill="FFFFFF"/>
          <w14:textFill>
            <w14:solidFill>
              <w14:schemeClr w14:val="tx1"/>
            </w14:solidFill>
          </w14:textFill>
        </w:rPr>
      </w:pPr>
      <w:r>
        <w:rPr>
          <w:rFonts w:hint="eastAsia" w:ascii="Times New Roman" w:hAnsi="Times New Roman"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无故发怒，或易于发怒，情绪急躁不能自制</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w:t>
      </w:r>
    </w:p>
    <w:p w14:paraId="63B2E7FB">
      <w:pPr>
        <w:pStyle w:val="44"/>
        <w:keepNext w:val="0"/>
        <w:keepLines w:val="0"/>
        <w:pageBreakBefore w:val="0"/>
        <w:numPr>
          <w:ilvl w:val="-1"/>
          <w:numId w:val="0"/>
        </w:numPr>
        <w:kinsoku/>
        <w:wordWrap/>
        <w:overflowPunct/>
        <w:topLinePunct w:val="0"/>
        <w:bidi w:val="0"/>
        <w:adjustRightInd/>
        <w:spacing w:line="360" w:lineRule="exac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7</w:t>
      </w:r>
    </w:p>
    <w:p w14:paraId="207FA4AC">
      <w:pPr>
        <w:pStyle w:val="44"/>
        <w:keepNext w:val="0"/>
        <w:keepLines w:val="0"/>
        <w:pageBreakBefore w:val="0"/>
        <w:numPr>
          <w:ilvl w:val="-1"/>
          <w:numId w:val="0"/>
        </w:numPr>
        <w:kinsoku/>
        <w:wordWrap/>
        <w:overflowPunct/>
        <w:topLinePunct w:val="0"/>
        <w:bidi w:val="0"/>
        <w:adjustRightInd/>
        <w:spacing w:line="360" w:lineRule="exact"/>
        <w:ind w:firstLine="420" w:firstLineChars="200"/>
        <w:textAlignment w:val="auto"/>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 xml:space="preserve">口干 </w:t>
      </w: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dry mouth</w:t>
      </w:r>
    </w:p>
    <w:p w14:paraId="42A357AF">
      <w:pPr>
        <w:keepNext w:val="0"/>
        <w:keepLines w:val="0"/>
        <w:pageBreakBefore w:val="0"/>
        <w:kinsoku/>
        <w:wordWrap/>
        <w:overflowPunct/>
        <w:topLinePunct w:val="0"/>
        <w:bidi w:val="0"/>
        <w:adjustRightInd/>
        <w:snapToGrid w:val="0"/>
        <w:spacing w:line="360" w:lineRule="exact"/>
        <w:ind w:firstLine="422"/>
        <w:jc w:val="left"/>
        <w:textAlignment w:val="auto"/>
        <w:rPr>
          <w:rFonts w:hint="eastAsia" w:ascii="Times New Roman" w:hAnsi="Times New Roman" w:eastAsia="宋体" w:cs="宋体"/>
          <w:i w:val="0"/>
          <w:iCs w:val="0"/>
          <w:caps w:val="0"/>
          <w:color w:val="000000" w:themeColor="text1"/>
          <w:spacing w:val="0"/>
          <w:kern w:val="0"/>
          <w:sz w:val="21"/>
          <w:szCs w:val="21"/>
          <w:highlight w:val="none"/>
          <w:shd w:val="clear" w:fill="FFFFFF"/>
          <w:lang w:bidi="ar"/>
          <w14:textFill>
            <w14:solidFill>
              <w14:schemeClr w14:val="tx1"/>
            </w14:solidFill>
          </w14:textFill>
        </w:rPr>
      </w:pPr>
      <w:bookmarkStart w:id="64" w:name="_Toc182169677"/>
      <w:r>
        <w:rPr>
          <w:rFonts w:hint="eastAsia" w:ascii="Times New Roman" w:hAnsi="Times New Roman" w:eastAsia="宋体" w:cs="宋体"/>
          <w:i w:val="0"/>
          <w:iCs w:val="0"/>
          <w:caps w:val="0"/>
          <w:color w:val="000000" w:themeColor="text1"/>
          <w:spacing w:val="0"/>
          <w:kern w:val="0"/>
          <w:sz w:val="21"/>
          <w:szCs w:val="21"/>
          <w:highlight w:val="none"/>
          <w:shd w:val="clear" w:fill="FFFFFF"/>
          <w:lang w:bidi="ar"/>
          <w14:textFill>
            <w14:solidFill>
              <w14:schemeClr w14:val="tx1"/>
            </w14:solidFill>
          </w14:textFill>
        </w:rPr>
        <w:t>口中津液不足，自觉干燥，或欲饮水，或不欲饮水</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i w:val="0"/>
          <w:iCs w:val="0"/>
          <w:caps w:val="0"/>
          <w:color w:val="000000" w:themeColor="text1"/>
          <w:spacing w:val="0"/>
          <w:kern w:val="0"/>
          <w:sz w:val="21"/>
          <w:szCs w:val="21"/>
          <w:highlight w:val="none"/>
          <w:shd w:val="clear" w:fill="FFFFFF"/>
          <w:lang w:bidi="ar"/>
          <w14:textFill>
            <w14:solidFill>
              <w14:schemeClr w14:val="tx1"/>
            </w14:solidFill>
          </w14:textFill>
        </w:rPr>
        <w:t>。</w:t>
      </w:r>
    </w:p>
    <w:p w14:paraId="2B3C99B8">
      <w:pPr>
        <w:keepNext w:val="0"/>
        <w:keepLines w:val="0"/>
        <w:pageBreakBefore w:val="0"/>
        <w:kinsoku/>
        <w:wordWrap/>
        <w:overflowPunct/>
        <w:topLinePunct w:val="0"/>
        <w:bidi w:val="0"/>
        <w:adjustRightInd/>
        <w:snapToGrid w:val="0"/>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8</w:t>
      </w:r>
    </w:p>
    <w:p w14:paraId="633145D1">
      <w:pPr>
        <w:keepNext w:val="0"/>
        <w:keepLines w:val="0"/>
        <w:pageBreakBefore w:val="0"/>
        <w:kinsoku/>
        <w:wordWrap/>
        <w:overflowPunct/>
        <w:topLinePunct w:val="0"/>
        <w:bidi w:val="0"/>
        <w:adjustRightInd/>
        <w:snapToGrid w:val="0"/>
        <w:spacing w:line="360" w:lineRule="exact"/>
        <w:ind w:left="0" w:leftChars="0" w:firstLine="420" w:firstLineChars="200"/>
        <w:jc w:val="left"/>
        <w:textAlignment w:val="auto"/>
        <w:rPr>
          <w:rFonts w:hint="eastAsia" w:ascii="Times New Roman" w:hAnsi="Times New Roman" w:eastAsia="宋体" w:cs="宋体"/>
          <w:i w:val="0"/>
          <w:iCs w:val="0"/>
          <w:caps w:val="0"/>
          <w:color w:val="000000" w:themeColor="text1"/>
          <w:spacing w:val="0"/>
          <w:kern w:val="0"/>
          <w:sz w:val="21"/>
          <w:szCs w:val="21"/>
          <w:highlight w:val="none"/>
          <w:shd w:val="clear" w:fill="FFFFFF"/>
          <w:lang w:val="en-US" w:eastAsia="zh-CN" w:bidi="ar"/>
          <w14:textFill>
            <w14:solidFill>
              <w14:schemeClr w14:val="tx1"/>
            </w14:solidFill>
          </w14:textFill>
        </w:rPr>
      </w:pPr>
      <w:r>
        <w:rPr>
          <w:rFonts w:hint="eastAsia" w:ascii="Times New Roman" w:hAnsi="Times New Roman" w:eastAsia="黑体" w:cs="黑体"/>
          <w:b w:val="0"/>
          <w:bCs w:val="0"/>
          <w:i w:val="0"/>
          <w:iCs w:val="0"/>
          <w:caps w:val="0"/>
          <w:color w:val="000000" w:themeColor="text1"/>
          <w:spacing w:val="0"/>
          <w:kern w:val="0"/>
          <w:sz w:val="21"/>
          <w:szCs w:val="21"/>
          <w:highlight w:val="none"/>
          <w:shd w:val="clear" w:fill="FFFFFF"/>
          <w:lang w:val="en-US" w:eastAsia="zh-CN" w:bidi="ar"/>
          <w14:textFill>
            <w14:solidFill>
              <w14:schemeClr w14:val="tx1"/>
            </w14:solidFill>
          </w14:textFill>
        </w:rPr>
        <w:t xml:space="preserve">口渴 </w:t>
      </w:r>
      <w:r>
        <w:rPr>
          <w:rFonts w:ascii="Times New Roman" w:hAnsi="Times New Roman" w:eastAsia="Segoe UI" w:cs="Segoe UI"/>
          <w:i w:val="0"/>
          <w:iCs w:val="0"/>
          <w:caps w:val="0"/>
          <w:color w:val="000000" w:themeColor="text1"/>
          <w:spacing w:val="0"/>
          <w:sz w:val="21"/>
          <w:szCs w:val="21"/>
          <w:highlight w:val="none"/>
          <w:shd w:val="clear" w:fill="FFFFFF"/>
          <w14:textFill>
            <w14:solidFill>
              <w14:schemeClr w14:val="tx1"/>
            </w14:solidFill>
          </w14:textFill>
        </w:rPr>
        <w:t> </w:t>
      </w:r>
      <w:r>
        <w:rPr>
          <w:rFonts w:hint="default" w:ascii="Times New Roman" w:hAnsi="Times New Roman" w:eastAsia="黑体" w:cs="黑体"/>
          <w:i w:val="0"/>
          <w:iCs w:val="0"/>
          <w:caps w:val="0"/>
          <w:color w:val="000000" w:themeColor="text1"/>
          <w:spacing w:val="0"/>
          <w:kern w:val="0"/>
          <w:sz w:val="21"/>
          <w:szCs w:val="21"/>
          <w:highlight w:val="none"/>
          <w:shd w:val="clear" w:fill="FFFFFF"/>
          <w:lang w:bidi="ar"/>
          <w14:textFill>
            <w14:solidFill>
              <w14:schemeClr w14:val="tx1"/>
            </w14:solidFill>
          </w14:textFill>
        </w:rPr>
        <w:t>thirst</w:t>
      </w:r>
    </w:p>
    <w:p w14:paraId="3F86AB76">
      <w:pPr>
        <w:keepNext w:val="0"/>
        <w:keepLines w:val="0"/>
        <w:pageBreakBefore w:val="0"/>
        <w:widowControl/>
        <w:suppressLineNumbers w:val="0"/>
        <w:kinsoku/>
        <w:wordWrap/>
        <w:overflowPunct/>
        <w:topLinePunct w:val="0"/>
        <w:bidi w:val="0"/>
        <w:adjustRightInd/>
        <w:spacing w:line="360" w:lineRule="exact"/>
        <w:jc w:val="left"/>
        <w:textAlignment w:val="auto"/>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自觉口中干渴不适</w:t>
      </w:r>
      <w:r>
        <w:rPr>
          <w:rFonts w:hint="eastAsia" w:eastAsia="宋体" w:cs="宋体"/>
          <w:color w:val="000000" w:themeColor="text1"/>
          <w:kern w:val="0"/>
          <w:sz w:val="21"/>
          <w:szCs w:val="21"/>
          <w:highlight w:val="none"/>
          <w:vertAlign w:val="superscript"/>
          <w:lang w:val="en-US" w:eastAsia="zh-CN" w:bidi="ar"/>
          <w14:textFill>
            <w14:solidFill>
              <w14:schemeClr w14:val="tx1"/>
            </w14:solidFill>
          </w14:textFill>
        </w:rPr>
        <w:t>[8]</w:t>
      </w: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w:t>
      </w:r>
    </w:p>
    <w:p w14:paraId="60F8153F">
      <w:pPr>
        <w:keepNext w:val="0"/>
        <w:keepLines w:val="0"/>
        <w:pageBreakBefore w:val="0"/>
        <w:kinsoku/>
        <w:wordWrap/>
        <w:overflowPunct/>
        <w:topLinePunct w:val="0"/>
        <w:bidi w:val="0"/>
        <w:adjustRightInd/>
        <w:snapToGrid w:val="0"/>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9</w:t>
      </w:r>
    </w:p>
    <w:p w14:paraId="64CBF7DF">
      <w:pPr>
        <w:keepNext w:val="0"/>
        <w:keepLines w:val="0"/>
        <w:pageBreakBefore w:val="0"/>
        <w:kinsoku/>
        <w:wordWrap/>
        <w:overflowPunct/>
        <w:topLinePunct w:val="0"/>
        <w:bidi w:val="0"/>
        <w:adjustRightInd/>
        <w:snapToGrid w:val="0"/>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口苦</w:t>
      </w: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 xml:space="preserve"> </w:t>
      </w:r>
      <w:bookmarkEnd w:id="64"/>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bitter taste</w:t>
      </w:r>
    </w:p>
    <w:p w14:paraId="0A4190B3">
      <w:pPr>
        <w:keepNext w:val="0"/>
        <w:keepLines w:val="0"/>
        <w:pageBreakBefore w:val="0"/>
        <w:widowControl/>
        <w:kinsoku/>
        <w:wordWrap/>
        <w:overflowPunct/>
        <w:topLinePunct w:val="0"/>
        <w:bidi w:val="0"/>
        <w:adjustRightInd/>
        <w:spacing w:line="360" w:lineRule="exact"/>
        <w:jc w:val="left"/>
        <w:textAlignment w:val="auto"/>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t>自觉口中有苦味</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t>。</w:t>
      </w:r>
    </w:p>
    <w:bookmarkEnd w:id="61"/>
    <w:p w14:paraId="234CA503">
      <w:pPr>
        <w:keepNext w:val="0"/>
        <w:keepLines w:val="0"/>
        <w:pageBreakBefore w:val="0"/>
        <w:widowControl/>
        <w:suppressLineNumbers w:val="0"/>
        <w:kinsoku/>
        <w:wordWrap/>
        <w:overflowPunct/>
        <w:topLinePunct w:val="0"/>
        <w:bidi w:val="0"/>
        <w:adjustRightInd/>
        <w:spacing w:line="360" w:lineRule="exact"/>
        <w:ind w:left="0" w:leftChars="0" w:firstLine="0" w:firstLineChars="0"/>
        <w:jc w:val="left"/>
        <w:textAlignment w:val="auto"/>
        <w:rPr>
          <w:rFonts w:hint="eastAsia" w:eastAsia="黑体" w:cs="黑体"/>
          <w:b w:val="0"/>
          <w:bCs w:val="0"/>
          <w:color w:val="000000" w:themeColor="text1"/>
          <w:kern w:val="0"/>
          <w:sz w:val="21"/>
          <w:szCs w:val="21"/>
          <w:highlight w:val="none"/>
          <w:lang w:val="en-US" w:eastAsia="zh-CN" w:bidi="ar"/>
          <w14:textFill>
            <w14:solidFill>
              <w14:schemeClr w14:val="tx1"/>
            </w14:solidFill>
          </w14:textFill>
        </w:rPr>
      </w:pPr>
      <w:bookmarkStart w:id="65" w:name="_Toc182169683"/>
      <w:r>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t>3.1</w:t>
      </w:r>
      <w:r>
        <w:rPr>
          <w:rFonts w:hint="eastAsia" w:eastAsia="黑体" w:cs="黑体"/>
          <w:b w:val="0"/>
          <w:bCs w:val="0"/>
          <w:color w:val="000000" w:themeColor="text1"/>
          <w:kern w:val="0"/>
          <w:sz w:val="21"/>
          <w:szCs w:val="21"/>
          <w:highlight w:val="none"/>
          <w:lang w:val="en-US" w:eastAsia="zh-CN" w:bidi="ar"/>
          <w14:textFill>
            <w14:solidFill>
              <w14:schemeClr w14:val="tx1"/>
            </w14:solidFill>
          </w14:textFill>
        </w:rPr>
        <w:t>0</w:t>
      </w:r>
    </w:p>
    <w:p w14:paraId="37736902">
      <w:pPr>
        <w:keepNext w:val="0"/>
        <w:keepLines w:val="0"/>
        <w:pageBreakBefore w:val="0"/>
        <w:widowControl/>
        <w:suppressLineNumbers w:val="0"/>
        <w:kinsoku/>
        <w:wordWrap/>
        <w:overflowPunct/>
        <w:topLinePunct w:val="0"/>
        <w:bidi w:val="0"/>
        <w:adjustRightInd/>
        <w:spacing w:line="360" w:lineRule="exact"/>
        <w:ind w:left="0" w:leftChars="0" w:firstLine="420" w:firstLineChars="200"/>
        <w:jc w:val="left"/>
        <w:textAlignment w:val="auto"/>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val="en-US" w:eastAsia="zh-CN" w:bidi="ar"/>
          <w14:textFill>
            <w14:solidFill>
              <w14:schemeClr w14:val="tx1"/>
            </w14:solidFill>
          </w14:textFill>
        </w:rPr>
        <w:t xml:space="preserve">咽干 </w:t>
      </w:r>
      <w:r>
        <w:rPr>
          <w:rStyle w:val="24"/>
          <w:rFonts w:hint="eastAsia" w:ascii="Times New Roman" w:hAnsi="Times New Roman" w:eastAsia="黑体" w:cs="黑体"/>
          <w:b w:val="0"/>
          <w:bCs w:val="0"/>
          <w:i w:val="0"/>
          <w:iCs w:val="0"/>
          <w:caps w:val="0"/>
          <w:color w:val="000000" w:themeColor="text1"/>
          <w:spacing w:val="0"/>
          <w:sz w:val="21"/>
          <w:szCs w:val="21"/>
          <w:highlight w:val="none"/>
          <w:shd w:val="clear" w:fill="FFFFFF"/>
          <w14:textFill>
            <w14:solidFill>
              <w14:schemeClr w14:val="tx1"/>
            </w14:solidFill>
          </w14:textFill>
        </w:rPr>
        <w:t>dry throat</w:t>
      </w:r>
    </w:p>
    <w:p w14:paraId="548BC774">
      <w:pPr>
        <w:keepNext w:val="0"/>
        <w:keepLines w:val="0"/>
        <w:pageBreakBefore w:val="0"/>
        <w:widowControl/>
        <w:suppressLineNumbers w:val="0"/>
        <w:kinsoku/>
        <w:wordWrap/>
        <w:overflowPunct/>
        <w:topLinePunct w:val="0"/>
        <w:bidi w:val="0"/>
        <w:adjustRightInd/>
        <w:spacing w:line="360" w:lineRule="exact"/>
        <w:jc w:val="left"/>
        <w:textAlignment w:val="auto"/>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咽部干燥或干涩，甚或吞咽不适</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w:t>
      </w:r>
    </w:p>
    <w:p w14:paraId="5B1C923E">
      <w:pPr>
        <w:keepNext w:val="0"/>
        <w:keepLines w:val="0"/>
        <w:pageBreakBefore w:val="0"/>
        <w:widowControl/>
        <w:suppressLineNumbers w:val="0"/>
        <w:kinsoku/>
        <w:wordWrap/>
        <w:overflowPunct/>
        <w:topLinePunct w:val="0"/>
        <w:bidi w:val="0"/>
        <w:adjustRightInd/>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3.1</w:t>
      </w:r>
      <w:r>
        <w:rPr>
          <w:rFonts w:hint="eastAsia" w:eastAsia="黑体" w:cs="黑体"/>
          <w:color w:val="000000" w:themeColor="text1"/>
          <w:kern w:val="0"/>
          <w:sz w:val="21"/>
          <w:szCs w:val="21"/>
          <w:highlight w:val="none"/>
          <w:lang w:val="en-US" w:eastAsia="zh-CN" w:bidi="ar"/>
          <w14:textFill>
            <w14:solidFill>
              <w14:schemeClr w14:val="tx1"/>
            </w14:solidFill>
          </w14:textFill>
        </w:rPr>
        <w:t>1</w:t>
      </w:r>
    </w:p>
    <w:p w14:paraId="64D07A96">
      <w:pPr>
        <w:keepNext w:val="0"/>
        <w:keepLines w:val="0"/>
        <w:pageBreakBefore w:val="0"/>
        <w:widowControl/>
        <w:suppressLineNumbers w:val="0"/>
        <w:kinsoku/>
        <w:wordWrap/>
        <w:overflowPunct/>
        <w:topLinePunct w:val="0"/>
        <w:bidi w:val="0"/>
        <w:adjustRightInd/>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 xml:space="preserve">大便干 </w:t>
      </w:r>
      <w:r>
        <w:rPr>
          <w:rFonts w:ascii="Times New Roman" w:hAnsi="Times New Roman" w:eastAsia="Segoe UI" w:cs="Segoe UI"/>
          <w:i w:val="0"/>
          <w:iCs w:val="0"/>
          <w:caps w:val="0"/>
          <w:color w:val="000000" w:themeColor="text1"/>
          <w:spacing w:val="0"/>
          <w:sz w:val="21"/>
          <w:szCs w:val="21"/>
          <w:highlight w:val="none"/>
          <w:shd w:val="clear" w:fill="FFFFFF"/>
          <w14:textFill>
            <w14:solidFill>
              <w14:schemeClr w14:val="tx1"/>
            </w14:solidFill>
          </w14:textFill>
        </w:rPr>
        <w:t>dried stool</w:t>
      </w:r>
    </w:p>
    <w:p w14:paraId="178E89B8">
      <w:pPr>
        <w:keepNext w:val="0"/>
        <w:keepLines w:val="0"/>
        <w:pageBreakBefore w:val="0"/>
        <w:widowControl/>
        <w:suppressLineNumbers w:val="0"/>
        <w:kinsoku/>
        <w:wordWrap/>
        <w:overflowPunct/>
        <w:topLinePunct w:val="0"/>
        <w:bidi w:val="0"/>
        <w:adjustRightInd/>
        <w:spacing w:line="360" w:lineRule="exact"/>
        <w:jc w:val="left"/>
        <w:textAlignment w:val="auto"/>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大便水分减少，燥结难解</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w:t>
      </w:r>
    </w:p>
    <w:p w14:paraId="6DF65938">
      <w:pPr>
        <w:keepNext w:val="0"/>
        <w:keepLines w:val="0"/>
        <w:pageBreakBefore w:val="0"/>
        <w:kinsoku/>
        <w:wordWrap/>
        <w:overflowPunct/>
        <w:topLinePunct w:val="0"/>
        <w:bidi w:val="0"/>
        <w:adjustRightInd/>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14:textFill>
            <w14:solidFill>
              <w14:schemeClr w14:val="tx1"/>
            </w14:solidFill>
          </w14:textFill>
        </w:rPr>
        <w:t>3.1</w:t>
      </w:r>
      <w:r>
        <w:rPr>
          <w:rFonts w:hint="eastAsia" w:eastAsia="黑体" w:cs="黑体"/>
          <w:color w:val="000000" w:themeColor="text1"/>
          <w:kern w:val="0"/>
          <w:sz w:val="21"/>
          <w:szCs w:val="21"/>
          <w:highlight w:val="none"/>
          <w:lang w:val="en-US" w:eastAsia="zh-CN"/>
          <w14:textFill>
            <w14:solidFill>
              <w14:schemeClr w14:val="tx1"/>
            </w14:solidFill>
          </w14:textFill>
        </w:rPr>
        <w:t>2</w:t>
      </w:r>
    </w:p>
    <w:p w14:paraId="7BF2DC1B">
      <w:pPr>
        <w:keepNext w:val="0"/>
        <w:keepLines w:val="0"/>
        <w:pageBreakBefore w:val="0"/>
        <w:kinsoku/>
        <w:wordWrap/>
        <w:overflowPunct/>
        <w:topLinePunct w:val="0"/>
        <w:bidi w:val="0"/>
        <w:adjustRightInd/>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14:textFill>
            <w14:solidFill>
              <w14:schemeClr w14:val="tx1"/>
            </w14:solidFill>
          </w14:textFill>
        </w:rPr>
        <w:t xml:space="preserve">小便黄 </w:t>
      </w:r>
      <w:r>
        <w:rPr>
          <w:rFonts w:hint="eastAsia"/>
          <w:sz w:val="21"/>
          <w:szCs w:val="21"/>
        </w:rPr>
        <w:t>d</w:t>
      </w:r>
      <w:r>
        <w:rPr>
          <w:sz w:val="21"/>
          <w:szCs w:val="21"/>
        </w:rPr>
        <w:t>ar</w:t>
      </w:r>
      <w:r>
        <w:rPr>
          <w:rFonts w:hint="eastAsia"/>
          <w:sz w:val="21"/>
          <w:szCs w:val="21"/>
          <w:lang w:val="en-US" w:eastAsia="zh-CN"/>
        </w:rPr>
        <w:t>k</w:t>
      </w:r>
      <w:r>
        <w:rPr>
          <w:rFonts w:ascii="Times New Roman" w:hAnsi="Times New Roman" w:eastAsia="Segoe UI" w:cs="Segoe UI"/>
          <w:i w:val="0"/>
          <w:iCs w:val="0"/>
          <w:caps w:val="0"/>
          <w:color w:val="000000" w:themeColor="text1"/>
          <w:spacing w:val="0"/>
          <w:sz w:val="21"/>
          <w:szCs w:val="21"/>
          <w:highlight w:val="none"/>
          <w:shd w:val="clear" w:fill="FFFFFF"/>
          <w14:textFill>
            <w14:solidFill>
              <w14:schemeClr w14:val="tx1"/>
            </w14:solidFill>
          </w14:textFill>
        </w:rPr>
        <w:t xml:space="preserve"> urine</w:t>
      </w:r>
    </w:p>
    <w:p w14:paraId="29E31E5A">
      <w:pPr>
        <w:keepNext w:val="0"/>
        <w:keepLines w:val="0"/>
        <w:pageBreakBefore w:val="0"/>
        <w:widowControl/>
        <w:suppressLineNumbers w:val="0"/>
        <w:kinsoku/>
        <w:wordWrap/>
        <w:overflowPunct/>
        <w:topLinePunct w:val="0"/>
        <w:bidi w:val="0"/>
        <w:adjustRightInd/>
        <w:spacing w:line="360" w:lineRule="exact"/>
        <w:jc w:val="left"/>
        <w:textAlignment w:val="auto"/>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尿液颜色呈黄色</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w:t>
      </w:r>
    </w:p>
    <w:p w14:paraId="237F4AA7">
      <w:pPr>
        <w:keepNext w:val="0"/>
        <w:keepLines w:val="0"/>
        <w:pageBreakBefore w:val="0"/>
        <w:kinsoku/>
        <w:wordWrap/>
        <w:overflowPunct/>
        <w:topLinePunct w:val="0"/>
        <w:bidi w:val="0"/>
        <w:adjustRightInd/>
        <w:spacing w:line="360" w:lineRule="exact"/>
        <w:ind w:left="0" w:leftChars="0" w:firstLine="0" w:firstLineChars="0"/>
        <w:jc w:val="left"/>
        <w:textAlignment w:val="auto"/>
        <w:rPr>
          <w:rFonts w:hint="eastAsia"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13</w:t>
      </w:r>
    </w:p>
    <w:p w14:paraId="4AC2E2E8">
      <w:pPr>
        <w:keepNext w:val="0"/>
        <w:keepLines w:val="0"/>
        <w:pageBreakBefore w:val="0"/>
        <w:kinsoku/>
        <w:wordWrap/>
        <w:overflowPunct/>
        <w:topLinePunct w:val="0"/>
        <w:bidi w:val="0"/>
        <w:adjustRightInd/>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舌红</w:t>
      </w:r>
      <w:bookmarkEnd w:id="65"/>
      <w:r>
        <w:rPr>
          <w:rFonts w:hint="eastAsia" w:ascii="Times New Roman" w:hAnsi="Times New Roman" w:eastAsia="黑体" w:cs="黑体"/>
          <w:color w:val="000000" w:themeColor="text1"/>
          <w:kern w:val="0"/>
          <w:sz w:val="21"/>
          <w:szCs w:val="21"/>
          <w:highlight w:val="none"/>
          <w:vertAlign w:val="superscript"/>
          <w:lang w:val="en-US" w:eastAsia="zh-CN" w:bidi="ar"/>
          <w14:textFill>
            <w14:solidFill>
              <w14:schemeClr w14:val="tx1"/>
            </w14:solidFill>
          </w14:textFill>
        </w:rPr>
        <w:t xml:space="preserve"> </w:t>
      </w: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red tongue</w:t>
      </w:r>
    </w:p>
    <w:p w14:paraId="6430F4B5">
      <w:pPr>
        <w:keepNext w:val="0"/>
        <w:keepLines w:val="0"/>
        <w:pageBreakBefore w:val="0"/>
        <w:kinsoku/>
        <w:wordWrap/>
        <w:overflowPunct/>
        <w:topLinePunct w:val="0"/>
        <w:bidi w:val="0"/>
        <w:adjustRightInd/>
        <w:spacing w:line="360" w:lineRule="exact"/>
        <w:ind w:firstLine="422"/>
        <w:jc w:val="left"/>
        <w:textAlignment w:val="auto"/>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pPr>
      <w:bookmarkStart w:id="66" w:name="_Toc182169684"/>
      <w:r>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t>舌色较正常舌色红，呈鲜红色</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t>。</w:t>
      </w:r>
    </w:p>
    <w:p w14:paraId="74BBDFFF">
      <w:pPr>
        <w:keepNext w:val="0"/>
        <w:keepLines w:val="0"/>
        <w:pageBreakBefore w:val="0"/>
        <w:kinsoku/>
        <w:wordWrap/>
        <w:overflowPunct/>
        <w:topLinePunct w:val="0"/>
        <w:bidi w:val="0"/>
        <w:adjustRightInd/>
        <w:spacing w:line="360" w:lineRule="exact"/>
        <w:ind w:left="0" w:leftChars="0" w:firstLine="0" w:firstLineChars="0"/>
        <w:jc w:val="left"/>
        <w:textAlignment w:val="auto"/>
        <w:rPr>
          <w:rFonts w:hint="default"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14</w:t>
      </w:r>
    </w:p>
    <w:p w14:paraId="3CE95997">
      <w:pPr>
        <w:keepNext w:val="0"/>
        <w:keepLines w:val="0"/>
        <w:pageBreakBefore w:val="0"/>
        <w:kinsoku/>
        <w:wordWrap/>
        <w:overflowPunct/>
        <w:topLinePunct w:val="0"/>
        <w:bidi w:val="0"/>
        <w:adjustRightInd/>
        <w:spacing w:line="360" w:lineRule="exact"/>
        <w:ind w:left="0" w:leftChars="0" w:firstLine="420" w:firstLineChars="200"/>
        <w:jc w:val="left"/>
        <w:textAlignment w:val="auto"/>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 xml:space="preserve">苔黄 </w:t>
      </w:r>
      <w:bookmarkEnd w:id="66"/>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yellow tongue coating</w:t>
      </w:r>
    </w:p>
    <w:p w14:paraId="685D0550">
      <w:pPr>
        <w:keepNext w:val="0"/>
        <w:keepLines w:val="0"/>
        <w:pageBreakBefore w:val="0"/>
        <w:kinsoku/>
        <w:wordWrap/>
        <w:overflowPunct/>
        <w:topLinePunct w:val="0"/>
        <w:bidi w:val="0"/>
        <w:adjustRightInd/>
        <w:spacing w:line="360" w:lineRule="exact"/>
        <w:ind w:firstLine="422"/>
        <w:jc w:val="left"/>
        <w:textAlignment w:val="auto"/>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pPr>
      <w:bookmarkStart w:id="67" w:name="_Toc182169685"/>
      <w:r>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t>舌苔色黄</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bidi="ar"/>
          <w14:textFill>
            <w14:solidFill>
              <w14:schemeClr w14:val="tx1"/>
            </w14:solidFill>
          </w14:textFill>
        </w:rPr>
        <w:t>。</w:t>
      </w:r>
    </w:p>
    <w:p w14:paraId="7D032EFC">
      <w:pPr>
        <w:keepNext w:val="0"/>
        <w:keepLines w:val="0"/>
        <w:pageBreakBefore w:val="0"/>
        <w:kinsoku/>
        <w:wordWrap/>
        <w:overflowPunct/>
        <w:topLinePunct w:val="0"/>
        <w:bidi w:val="0"/>
        <w:adjustRightInd/>
        <w:spacing w:line="360" w:lineRule="exact"/>
        <w:ind w:left="0" w:leftChars="0" w:firstLine="0" w:firstLineChars="0"/>
        <w:jc w:val="left"/>
        <w:textAlignment w:val="auto"/>
        <w:rPr>
          <w:rFonts w:hint="default" w:eastAsia="黑体" w:cs="黑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3.</w:t>
      </w:r>
      <w:r>
        <w:rPr>
          <w:rFonts w:hint="eastAsia" w:eastAsia="黑体" w:cs="黑体"/>
          <w:color w:val="000000" w:themeColor="text1"/>
          <w:kern w:val="0"/>
          <w:sz w:val="21"/>
          <w:szCs w:val="21"/>
          <w:highlight w:val="none"/>
          <w:lang w:val="en-US" w:eastAsia="zh-CN" w:bidi="ar"/>
          <w14:textFill>
            <w14:solidFill>
              <w14:schemeClr w14:val="tx1"/>
            </w14:solidFill>
          </w14:textFill>
        </w:rPr>
        <w:t>15</w:t>
      </w:r>
    </w:p>
    <w:p w14:paraId="4B90C802">
      <w:pPr>
        <w:pStyle w:val="8"/>
        <w:spacing w:line="360" w:lineRule="exact"/>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pP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 xml:space="preserve">脉弦数 </w:t>
      </w:r>
      <w:bookmarkEnd w:id="67"/>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wiry</w:t>
      </w:r>
      <w:r>
        <w:rPr>
          <w:rFonts w:hint="eastAsia" w:ascii="Times New Roman" w:hAnsi="Times New Roman" w:eastAsia="黑体" w:cs="黑体"/>
          <w:color w:val="000000" w:themeColor="text1"/>
          <w:kern w:val="0"/>
          <w:sz w:val="21"/>
          <w:szCs w:val="21"/>
          <w:highlight w:val="none"/>
          <w:lang w:val="en-US" w:eastAsia="zh-CN" w:bidi="ar"/>
          <w14:textFill>
            <w14:solidFill>
              <w14:schemeClr w14:val="tx1"/>
            </w14:solidFill>
          </w14:textFill>
        </w:rPr>
        <w:t xml:space="preserve"> </w:t>
      </w:r>
      <w:r>
        <w:rPr>
          <w:rFonts w:hint="eastAsia" w:ascii="Times New Roman" w:hAnsi="Times New Roman" w:eastAsia="黑体" w:cs="黑体"/>
          <w:color w:val="000000" w:themeColor="text1"/>
          <w:kern w:val="0"/>
          <w:sz w:val="21"/>
          <w:szCs w:val="21"/>
          <w:highlight w:val="none"/>
          <w:lang w:bidi="ar"/>
          <w14:textFill>
            <w14:solidFill>
              <w14:schemeClr w14:val="tx1"/>
            </w14:solidFill>
          </w14:textFill>
        </w:rPr>
        <w:t>rapid pulse</w:t>
      </w:r>
    </w:p>
    <w:p w14:paraId="4330CE93">
      <w:pPr>
        <w:keepNext w:val="0"/>
        <w:keepLines w:val="0"/>
        <w:pageBreakBefore w:val="0"/>
        <w:kinsoku/>
        <w:wordWrap/>
        <w:overflowPunct/>
        <w:topLinePunct w:val="0"/>
        <w:bidi w:val="0"/>
        <w:adjustRightInd/>
        <w:spacing w:line="360" w:lineRule="exact"/>
        <w:ind w:firstLine="422"/>
        <w:jc w:val="left"/>
        <w:textAlignment w:val="auto"/>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脉来形直体长，搏动稳重且弛张度较大，脉来急促，一息五到六至</w:t>
      </w:r>
      <w:r>
        <w:rPr>
          <w:rFonts w:hint="eastAsia" w:eastAsia="宋体" w:cs="宋体"/>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每分钟90次以上</w:t>
      </w:r>
      <w:r>
        <w:rPr>
          <w:rFonts w:hint="eastAsia" w:eastAsia="宋体" w:cs="宋体"/>
          <w:color w:val="000000" w:themeColor="text1"/>
          <w:kern w:val="0"/>
          <w:sz w:val="21"/>
          <w:szCs w:val="21"/>
          <w:highlight w:val="none"/>
          <w:lang w:val="en-US" w:eastAsia="zh-CN" w:bidi="ar"/>
          <w14:textFill>
            <w14:solidFill>
              <w14:schemeClr w14:val="tx1"/>
            </w14:solidFill>
          </w14:textFill>
        </w:rPr>
        <w:t>）</w:t>
      </w:r>
      <w:r>
        <w:rPr>
          <w:rFonts w:hint="eastAsia" w:eastAsia="宋体" w:cs="宋体"/>
          <w:b w:val="0"/>
          <w:bCs w:val="0"/>
          <w:i w:val="0"/>
          <w:iCs w:val="0"/>
          <w:caps w:val="0"/>
          <w:color w:val="000000" w:themeColor="text1"/>
          <w:spacing w:val="0"/>
          <w:sz w:val="21"/>
          <w:szCs w:val="21"/>
          <w:highlight w:val="none"/>
          <w:shd w:val="clear" w:fill="FFFFFF"/>
          <w:vertAlign w:val="superscript"/>
          <w:lang w:val="en-US" w:eastAsia="zh-CN"/>
          <w14:textFill>
            <w14:solidFill>
              <w14:schemeClr w14:val="tx1"/>
            </w14:solidFill>
          </w14:textFill>
        </w:rPr>
        <w:t>[7]</w:t>
      </w:r>
      <w:r>
        <w:rPr>
          <w:rFonts w:hint="eastAsia" w:ascii="Times New Roman" w:hAnsi="Times New Roman" w:eastAsia="宋体" w:cs="宋体"/>
          <w:color w:val="000000" w:themeColor="text1"/>
          <w:kern w:val="0"/>
          <w:sz w:val="21"/>
          <w:szCs w:val="21"/>
          <w:highlight w:val="none"/>
          <w:lang w:val="en-US" w:eastAsia="zh-CN" w:bidi="ar"/>
          <w14:textFill>
            <w14:solidFill>
              <w14:schemeClr w14:val="tx1"/>
            </w14:solidFill>
          </w14:textFill>
        </w:rPr>
        <w:t>。</w:t>
      </w:r>
    </w:p>
    <w:p w14:paraId="7A8EB838">
      <w:pPr>
        <w:pStyle w:val="32"/>
        <w:keepNext w:val="0"/>
        <w:keepLines w:val="0"/>
        <w:pageBreakBefore w:val="0"/>
        <w:widowControl/>
        <w:numPr>
          <w:ilvl w:val="0"/>
          <w:numId w:val="0"/>
        </w:numPr>
        <w:kinsoku/>
        <w:wordWrap/>
        <w:overflowPunct/>
        <w:topLinePunct w:val="0"/>
        <w:autoSpaceDE/>
        <w:autoSpaceDN/>
        <w:bidi w:val="0"/>
        <w:adjustRightInd/>
        <w:snapToGrid/>
        <w:spacing w:before="240" w:beforeLines="100" w:after="240" w:afterLines="100" w:line="240" w:lineRule="auto"/>
        <w:textAlignment w:val="auto"/>
        <w:outlineLvl w:val="0"/>
        <w:rPr>
          <w:rFonts w:ascii="Times New Roman" w:hAnsi="Times New Roman"/>
          <w:color w:val="auto"/>
          <w:szCs w:val="21"/>
        </w:rPr>
      </w:pPr>
      <w:bookmarkStart w:id="68" w:name="_Toc29114"/>
      <w:bookmarkStart w:id="69" w:name="_Toc23913"/>
      <w:bookmarkStart w:id="70" w:name="_Toc18497"/>
      <w:bookmarkStart w:id="71" w:name="_Toc20395"/>
      <w:bookmarkStart w:id="72" w:name="_Toc6608"/>
      <w:r>
        <w:rPr>
          <w:rFonts w:hint="eastAsia" w:ascii="Times New Roman" w:hAnsi="Times New Roman"/>
          <w:color w:val="auto"/>
          <w:szCs w:val="21"/>
        </w:rPr>
        <w:t>4诊断</w:t>
      </w:r>
      <w:bookmarkEnd w:id="68"/>
      <w:bookmarkEnd w:id="69"/>
      <w:bookmarkEnd w:id="70"/>
      <w:bookmarkEnd w:id="71"/>
      <w:bookmarkEnd w:id="72"/>
    </w:p>
    <w:p w14:paraId="503E3474">
      <w:pPr>
        <w:pStyle w:val="33"/>
        <w:keepNext w:val="0"/>
        <w:keepLines w:val="0"/>
        <w:pageBreakBefore w:val="0"/>
        <w:widowControl/>
        <w:tabs>
          <w:tab w:val="center" w:pos="4201"/>
          <w:tab w:val="right" w:leader="dot" w:pos="9298"/>
        </w:tabs>
        <w:kinsoku/>
        <w:wordWrap/>
        <w:overflowPunct/>
        <w:topLinePunct w:val="0"/>
        <w:autoSpaceDE/>
        <w:autoSpaceDN/>
        <w:bidi w:val="0"/>
        <w:adjustRightInd/>
        <w:snapToGrid w:val="0"/>
        <w:spacing w:before="157" w:beforeLines="50" w:after="157" w:afterLines="50" w:line="360" w:lineRule="exact"/>
        <w:ind w:firstLine="0" w:firstLineChars="0"/>
        <w:textAlignment w:val="auto"/>
        <w:outlineLvl w:val="1"/>
        <w:rPr>
          <w:rFonts w:hint="eastAsia" w:ascii="Times New Roman" w:eastAsia="黑体" w:cstheme="minorBidi"/>
          <w:color w:val="auto"/>
          <w:kern w:val="2"/>
          <w:szCs w:val="21"/>
          <w:lang w:val="en-US" w:eastAsia="zh-CN"/>
        </w:rPr>
      </w:pPr>
      <w:bookmarkStart w:id="73" w:name="_Toc8439"/>
      <w:bookmarkStart w:id="74" w:name="_Toc10255"/>
      <w:bookmarkStart w:id="75" w:name="_Toc5406"/>
      <w:bookmarkStart w:id="76" w:name="_Toc4859"/>
      <w:bookmarkStart w:id="77" w:name="_Toc31172"/>
      <w:r>
        <w:rPr>
          <w:rFonts w:hint="eastAsia" w:ascii="Times New Roman" w:hAnsi="Times New Roman" w:eastAsia="黑体" w:cstheme="minorBidi"/>
          <w:color w:val="auto"/>
          <w:kern w:val="2"/>
          <w:szCs w:val="21"/>
        </w:rPr>
        <w:t>4.1</w:t>
      </w:r>
      <w:r>
        <w:rPr>
          <w:rFonts w:hint="eastAsia" w:ascii="Times New Roman" w:hAnsi="Times New Roman" w:eastAsia="黑体" w:cstheme="minorBidi"/>
          <w:color w:val="auto"/>
          <w:kern w:val="2"/>
          <w:szCs w:val="21"/>
          <w:lang w:val="en-US" w:eastAsia="zh-CN"/>
        </w:rPr>
        <w:t>肝经火旺</w:t>
      </w:r>
      <w:r>
        <w:rPr>
          <w:rFonts w:hint="eastAsia" w:ascii="Times New Roman" w:hAnsi="Times New Roman" w:eastAsia="黑体" w:cstheme="minorBidi"/>
          <w:color w:val="auto"/>
          <w:kern w:val="2"/>
          <w:szCs w:val="21"/>
        </w:rPr>
        <w:t>证诊断</w:t>
      </w:r>
      <w:r>
        <w:rPr>
          <w:rFonts w:hint="eastAsia" w:ascii="Times New Roman" w:hAnsi="Times New Roman" w:eastAsia="黑体" w:cstheme="minorBidi"/>
          <w:color w:val="auto"/>
          <w:kern w:val="2"/>
          <w:szCs w:val="21"/>
          <w:lang w:val="en-US" w:eastAsia="zh-CN"/>
        </w:rPr>
        <w:t>量表</w:t>
      </w:r>
      <w:bookmarkEnd w:id="73"/>
      <w:bookmarkEnd w:id="74"/>
      <w:bookmarkEnd w:id="75"/>
      <w:bookmarkEnd w:id="76"/>
      <w:bookmarkEnd w:id="77"/>
    </w:p>
    <w:p w14:paraId="43C6AC22">
      <w:pPr>
        <w:pStyle w:val="33"/>
        <w:keepNext w:val="0"/>
        <w:keepLines w:val="0"/>
        <w:pageBreakBefore w:val="0"/>
        <w:widowControl/>
        <w:tabs>
          <w:tab w:val="center" w:pos="4201"/>
          <w:tab w:val="right" w:leader="dot" w:pos="9298"/>
        </w:tabs>
        <w:kinsoku/>
        <w:wordWrap/>
        <w:overflowPunct/>
        <w:topLinePunct w:val="0"/>
        <w:autoSpaceDE/>
        <w:autoSpaceDN/>
        <w:bidi w:val="0"/>
        <w:adjustRightInd/>
        <w:snapToGrid w:val="0"/>
        <w:spacing w:before="157" w:beforeLines="50" w:after="157" w:afterLines="50" w:line="360" w:lineRule="exact"/>
        <w:ind w:firstLine="420" w:firstLineChars="200"/>
        <w:textAlignment w:val="auto"/>
        <w:outlineLvl w:val="1"/>
        <w:rPr>
          <w:rFonts w:hint="default" w:ascii="Times New Roman" w:eastAsia="宋体" w:cs="宋体"/>
          <w:color w:val="000000" w:themeColor="text1"/>
          <w:kern w:val="0"/>
          <w:szCs w:val="21"/>
          <w:highlight w:val="none"/>
          <w:lang w:val="en-US" w:eastAsia="zh-CN" w:bidi="ar"/>
          <w14:textFill>
            <w14:solidFill>
              <w14:schemeClr w14:val="tx1"/>
            </w14:solidFill>
          </w14:textFill>
        </w:rPr>
      </w:pPr>
      <w:bookmarkStart w:id="78" w:name="_Toc2861"/>
      <w:bookmarkStart w:id="79" w:name="_Toc14516"/>
      <w:bookmarkStart w:id="80" w:name="_Toc9437"/>
      <w:bookmarkStart w:id="81" w:name="_Toc13213"/>
      <w:r>
        <w:rPr>
          <w:rFonts w:ascii="Times New Roman" w:hAnsi="Times New Roman" w:eastAsia="宋体" w:cs="宋体"/>
          <w:i w:val="0"/>
          <w:iCs w:val="0"/>
          <w:caps w:val="0"/>
          <w:color w:val="000000" w:themeColor="text1"/>
          <w:spacing w:val="0"/>
          <w:sz w:val="21"/>
          <w:szCs w:val="21"/>
          <w:highlight w:val="none"/>
          <w:shd w:val="clear" w:fill="auto"/>
          <w:lang w:bidi="ar"/>
          <w14:textFill>
            <w14:solidFill>
              <w14:schemeClr w14:val="tx1"/>
            </w14:solidFill>
          </w14:textFill>
        </w:rPr>
        <w:t>肝经火旺证诊断量表</w:t>
      </w:r>
      <w:r>
        <w:rPr>
          <w:rFonts w:hint="eastAsia" w:ascii="Times New Roman" w:cs="宋体"/>
          <w:i w:val="0"/>
          <w:iCs w:val="0"/>
          <w:caps w:val="0"/>
          <w:color w:val="000000" w:themeColor="text1"/>
          <w:spacing w:val="0"/>
          <w:sz w:val="21"/>
          <w:szCs w:val="21"/>
          <w:highlight w:val="none"/>
          <w:shd w:val="clear"/>
          <w:lang w:val="en-US" w:eastAsia="zh-CN" w:bidi="ar"/>
          <w14:textFill>
            <w14:solidFill>
              <w14:schemeClr w14:val="tx1"/>
            </w14:solidFill>
          </w14:textFill>
        </w:rPr>
        <w:t>的</w:t>
      </w:r>
      <w:r>
        <w:rPr>
          <w:rFonts w:ascii="Times New Roman" w:hAnsi="Times New Roman" w:eastAsia="宋体" w:cs="宋体"/>
          <w:i w:val="0"/>
          <w:iCs w:val="0"/>
          <w:caps w:val="0"/>
          <w:color w:val="000000" w:themeColor="text1"/>
          <w:spacing w:val="0"/>
          <w:sz w:val="21"/>
          <w:szCs w:val="21"/>
          <w:highlight w:val="none"/>
          <w:shd w:val="clear" w:fill="auto"/>
          <w:lang w:bidi="ar"/>
          <w14:textFill>
            <w14:solidFill>
              <w14:schemeClr w14:val="tx1"/>
            </w14:solidFill>
          </w14:textFill>
        </w:rPr>
        <w:t>条目包括主症、次症及舌脉三类，具体内容见</w:t>
      </w:r>
      <w:r>
        <w:rPr>
          <w:rFonts w:hint="default" w:ascii="Times New Roman" w:hAnsi="Times New Roman" w:eastAsia="宋体" w:cs="宋体"/>
          <w:i w:val="0"/>
          <w:iCs w:val="0"/>
          <w:caps w:val="0"/>
          <w:color w:val="000000" w:themeColor="text1"/>
          <w:spacing w:val="0"/>
          <w:sz w:val="21"/>
          <w:szCs w:val="21"/>
          <w:highlight w:val="none"/>
          <w:shd w:val="clear"/>
          <w:lang w:val="en-US" w:bidi="ar"/>
          <w14:textFill>
            <w14:solidFill>
              <w14:schemeClr w14:val="tx1"/>
            </w14:solidFill>
          </w14:textFill>
        </w:rPr>
        <w:fldChar w:fldCharType="begin"/>
      </w:r>
      <w:r>
        <w:rPr>
          <w:rFonts w:hint="default" w:ascii="Times New Roman" w:hAnsi="Times New Roman" w:eastAsia="宋体" w:cs="宋体"/>
          <w:i w:val="0"/>
          <w:iCs w:val="0"/>
          <w:caps w:val="0"/>
          <w:color w:val="000000" w:themeColor="text1"/>
          <w:spacing w:val="0"/>
          <w:sz w:val="21"/>
          <w:szCs w:val="21"/>
          <w:highlight w:val="none"/>
          <w:shd w:val="clear"/>
          <w:lang w:val="en-US" w:bidi="ar"/>
          <w14:textFill>
            <w14:solidFill>
              <w14:schemeClr w14:val="tx1"/>
            </w14:solidFill>
          </w14:textFill>
        </w:rPr>
        <w:instrText xml:space="preserve"> REF _Ref23689 \h </w:instrText>
      </w:r>
      <w:r>
        <w:rPr>
          <w:rFonts w:hint="default" w:ascii="Times New Roman" w:hAnsi="Times New Roman" w:eastAsia="宋体" w:cs="宋体"/>
          <w:i w:val="0"/>
          <w:iCs w:val="0"/>
          <w:caps w:val="0"/>
          <w:color w:val="000000" w:themeColor="text1"/>
          <w:spacing w:val="0"/>
          <w:sz w:val="21"/>
          <w:szCs w:val="21"/>
          <w:highlight w:val="none"/>
          <w:shd w:val="clear"/>
          <w:lang w:val="en-US" w:bidi="ar"/>
          <w14:textFill>
            <w14:solidFill>
              <w14:schemeClr w14:val="tx1"/>
            </w14:solidFill>
          </w14:textFill>
        </w:rPr>
        <w:fldChar w:fldCharType="separate"/>
      </w:r>
      <w:r>
        <w:t>表 1</w:t>
      </w:r>
      <w:r>
        <w:rPr>
          <w:rFonts w:hint="default" w:ascii="Times New Roman" w:hAnsi="Times New Roman" w:eastAsia="宋体" w:cs="宋体"/>
          <w:i w:val="0"/>
          <w:iCs w:val="0"/>
          <w:caps w:val="0"/>
          <w:color w:val="000000" w:themeColor="text1"/>
          <w:spacing w:val="0"/>
          <w:sz w:val="21"/>
          <w:szCs w:val="21"/>
          <w:highlight w:val="none"/>
          <w:shd w:val="clear"/>
          <w:lang w:val="en-US" w:bidi="ar"/>
          <w14:textFill>
            <w14:solidFill>
              <w14:schemeClr w14:val="tx1"/>
            </w14:solidFill>
          </w14:textFill>
        </w:rPr>
        <w:fldChar w:fldCharType="end"/>
      </w:r>
      <w:r>
        <w:rPr>
          <w:rFonts w:ascii="Times New Roman" w:hAnsi="Times New Roman" w:eastAsia="宋体" w:cs="宋体"/>
          <w:i w:val="0"/>
          <w:iCs w:val="0"/>
          <w:caps w:val="0"/>
          <w:color w:val="000000" w:themeColor="text1"/>
          <w:spacing w:val="0"/>
          <w:sz w:val="21"/>
          <w:szCs w:val="21"/>
          <w:highlight w:val="none"/>
          <w:shd w:val="clear" w:fill="auto"/>
          <w:lang w:bidi="ar"/>
          <w14:textFill>
            <w14:solidFill>
              <w14:schemeClr w14:val="tx1"/>
            </w14:solidFill>
          </w14:textFill>
        </w:rPr>
        <w:t>。</w:t>
      </w:r>
      <w:bookmarkEnd w:id="78"/>
      <w:bookmarkEnd w:id="79"/>
      <w:bookmarkEnd w:id="80"/>
      <w:bookmarkEnd w:id="81"/>
    </w:p>
    <w:p w14:paraId="013E4D57">
      <w:pPr>
        <w:pStyle w:val="33"/>
        <w:keepNext w:val="0"/>
        <w:keepLines w:val="0"/>
        <w:pageBreakBefore w:val="0"/>
        <w:widowControl/>
        <w:overflowPunct/>
        <w:topLinePunct w:val="0"/>
        <w:bidi w:val="0"/>
        <w:spacing w:line="360" w:lineRule="exact"/>
        <w:ind w:firstLine="420"/>
        <w:jc w:val="center"/>
        <w:rPr>
          <w:rFonts w:hint="eastAsia" w:ascii="Times New Roman" w:hAnsi="Times New Roman"/>
          <w:color w:val="auto"/>
          <w:szCs w:val="21"/>
        </w:rPr>
      </w:pPr>
      <w:bookmarkStart w:id="82" w:name="_Ref23689"/>
      <w:r>
        <w:t xml:space="preserve">表 </w:t>
      </w:r>
      <w:r>
        <w:fldChar w:fldCharType="begin"/>
      </w:r>
      <w:r>
        <w:instrText xml:space="preserve"> SEQ 表 \* ARABIC </w:instrText>
      </w:r>
      <w:r>
        <w:fldChar w:fldCharType="separate"/>
      </w:r>
      <w:r>
        <w:t>1</w:t>
      </w:r>
      <w:r>
        <w:fldChar w:fldCharType="end"/>
      </w:r>
      <w:bookmarkEnd w:id="82"/>
      <w:r>
        <w:rPr>
          <w:rFonts w:hint="eastAsia"/>
          <w:lang w:val="en-US" w:eastAsia="zh-CN"/>
        </w:rPr>
        <w:t xml:space="preserve"> </w:t>
      </w:r>
      <w:r>
        <w:rPr>
          <w:rFonts w:hint="eastAsia" w:ascii="Times New Roman" w:hAnsi="Times New Roman"/>
          <w:color w:val="auto"/>
          <w:szCs w:val="21"/>
          <w:lang w:val="en-US" w:eastAsia="zh-CN"/>
        </w:rPr>
        <w:t>肝经火旺</w:t>
      </w:r>
      <w:r>
        <w:rPr>
          <w:rFonts w:hint="eastAsia" w:ascii="Times New Roman" w:hAnsi="Times New Roman"/>
          <w:color w:val="auto"/>
          <w:szCs w:val="21"/>
        </w:rPr>
        <w:t>证诊断</w:t>
      </w:r>
      <w:r>
        <w:rPr>
          <w:rFonts w:hint="eastAsia" w:ascii="Times New Roman" w:hAnsi="Times New Roman"/>
          <w:color w:val="auto"/>
          <w:szCs w:val="21"/>
          <w:lang w:val="en-US" w:eastAsia="zh-CN"/>
        </w:rPr>
        <w:t>量</w:t>
      </w:r>
      <w:r>
        <w:rPr>
          <w:rFonts w:hint="eastAsia" w:ascii="Times New Roman" w:hAnsi="Times New Roman"/>
          <w:color w:val="auto"/>
          <w:szCs w:val="21"/>
        </w:rPr>
        <w:t>表</w:t>
      </w:r>
    </w:p>
    <w:p w14:paraId="100285DE">
      <w:pPr>
        <w:pStyle w:val="7"/>
        <w:spacing w:line="360" w:lineRule="exact"/>
      </w:pPr>
    </w:p>
    <w:tbl>
      <w:tblPr>
        <w:tblStyle w:val="21"/>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81"/>
        <w:gridCol w:w="3898"/>
      </w:tblGrid>
      <w:tr w14:paraId="59E9F94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tcBorders>
              <w:top w:val="single" w:color="000000" w:sz="12" w:space="0"/>
              <w:left w:val="nil"/>
              <w:bottom w:val="single" w:color="000000" w:sz="4" w:space="0"/>
              <w:right w:val="nil"/>
              <w:tl2br w:val="nil"/>
            </w:tcBorders>
            <w:shd w:val="clear" w:color="auto" w:fill="FFFFFF"/>
            <w:vAlign w:val="center"/>
          </w:tcPr>
          <w:p w14:paraId="6512C75A">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级别</w:t>
            </w:r>
          </w:p>
        </w:tc>
        <w:tc>
          <w:tcPr>
            <w:tcW w:w="3898" w:type="dxa"/>
            <w:tcBorders>
              <w:top w:val="single" w:color="000000" w:sz="12" w:space="0"/>
              <w:left w:val="nil"/>
              <w:bottom w:val="single" w:color="000000" w:sz="4" w:space="0"/>
              <w:right w:val="nil"/>
            </w:tcBorders>
            <w:shd w:val="clear" w:color="auto" w:fill="FFFFFF"/>
            <w:vAlign w:val="center"/>
          </w:tcPr>
          <w:p w14:paraId="4523FD01">
            <w:pPr>
              <w:keepNext w:val="0"/>
              <w:keepLines w:val="0"/>
              <w:pageBreakBefore w:val="0"/>
              <w:widowControl/>
              <w:kinsoku/>
              <w:wordWrap w:val="0"/>
              <w:overflowPunct/>
              <w:topLinePunct w:val="0"/>
              <w:autoSpaceDE/>
              <w:autoSpaceDN/>
              <w:bidi w:val="0"/>
              <w:adjustRightInd w:val="0"/>
              <w:snapToGrid/>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u w:val="none"/>
                <w:lang w:val="en-US" w:eastAsia="zh-CN" w:bidi="ar"/>
              </w:rPr>
            </w:pPr>
            <w:r>
              <w:rPr>
                <w:rFonts w:hint="eastAsia" w:ascii="Times New Roman" w:hAnsi="Times New Roman" w:eastAsia="宋体" w:cs="宋体"/>
                <w:b w:val="0"/>
                <w:bCs w:val="0"/>
                <w:caps w:val="0"/>
                <w:smallCaps w:val="0"/>
                <w:snapToGrid w:val="0"/>
                <w:color w:val="000000"/>
                <w:kern w:val="0"/>
                <w:sz w:val="21"/>
                <w:szCs w:val="21"/>
                <w:u w:val="none"/>
                <w:lang w:val="en-US" w:eastAsia="zh-CN" w:bidi="ar"/>
              </w:rPr>
              <w:t>项目</w:t>
            </w:r>
          </w:p>
        </w:tc>
      </w:tr>
      <w:tr w14:paraId="7D4951A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restart"/>
            <w:tcBorders>
              <w:top w:val="single" w:color="000000" w:sz="4" w:space="0"/>
              <w:left w:val="nil"/>
              <w:right w:val="nil"/>
            </w:tcBorders>
            <w:shd w:val="clear" w:color="auto" w:fill="FFFFFF"/>
            <w:vAlign w:val="center"/>
          </w:tcPr>
          <w:p w14:paraId="290EB4C7">
            <w:pPr>
              <w:keepNext w:val="0"/>
              <w:keepLines w:val="0"/>
              <w:pageBreakBefore w:val="0"/>
              <w:widowControl/>
              <w:kinsoku w:val="0"/>
              <w:overflowPunct/>
              <w:topLinePunct w:val="0"/>
              <w:autoSpaceDE w:val="0"/>
              <w:autoSpaceDN w:val="0"/>
              <w:bidi w:val="0"/>
              <w:adjustRightInd w:val="0"/>
              <w:snapToGrid w:val="0"/>
              <w:spacing w:line="360" w:lineRule="exact"/>
              <w:ind w:firstLine="0" w:firstLineChars="0"/>
              <w:jc w:val="left"/>
              <w:textAlignment w:val="baseline"/>
              <w:rPr>
                <w:rFonts w:ascii="Times New Roman" w:hAnsi="Times New Roman" w:eastAsia="宋体" w:cs="Arial"/>
                <w:snapToGrid w:val="0"/>
                <w:color w:val="000000"/>
                <w:kern w:val="0"/>
                <w:sz w:val="21"/>
                <w:szCs w:val="21"/>
                <w:lang w:eastAsia="en-US"/>
              </w:rPr>
            </w:pPr>
          </w:p>
          <w:p w14:paraId="4EDCB2FE">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主症</w:t>
            </w:r>
          </w:p>
          <w:p w14:paraId="04DD5FEC">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single" w:color="000000" w:sz="4" w:space="0"/>
              <w:left w:val="nil"/>
              <w:bottom w:val="nil"/>
              <w:right w:val="nil"/>
            </w:tcBorders>
            <w:shd w:val="clear" w:color="auto" w:fill="FFFFFF"/>
            <w:vAlign w:val="center"/>
          </w:tcPr>
          <w:p w14:paraId="1B559E85">
            <w:pPr>
              <w:keepNext w:val="0"/>
              <w:keepLines w:val="0"/>
              <w:pageBreakBefore w:val="0"/>
              <w:widowControl/>
              <w:kinsoku/>
              <w:wordWrap w:val="0"/>
              <w:overflowPunct/>
              <w:topLinePunct w:val="0"/>
              <w:autoSpaceDE/>
              <w:autoSpaceDN/>
              <w:bidi w:val="0"/>
              <w:adjustRightInd w:val="0"/>
              <w:snapToGrid/>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u w:val="none"/>
                <w:lang w:val="en-US" w:eastAsia="zh-CN" w:bidi="ar"/>
              </w:rPr>
            </w:pPr>
            <w:r>
              <w:rPr>
                <w:rFonts w:hint="eastAsia" w:ascii="Times New Roman" w:hAnsi="Times New Roman" w:eastAsia="宋体" w:cs="宋体"/>
                <w:b w:val="0"/>
                <w:bCs w:val="0"/>
                <w:caps w:val="0"/>
                <w:smallCaps w:val="0"/>
                <w:snapToGrid w:val="0"/>
                <w:color w:val="000000"/>
                <w:kern w:val="0"/>
                <w:sz w:val="21"/>
                <w:szCs w:val="21"/>
                <w:u w:val="none"/>
                <w:lang w:val="en-US" w:eastAsia="zh-CN" w:bidi="ar"/>
              </w:rPr>
              <w:t>胁胀胁痛</w:t>
            </w:r>
          </w:p>
        </w:tc>
      </w:tr>
      <w:tr w14:paraId="756C9CE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left w:val="nil"/>
              <w:right w:val="nil"/>
            </w:tcBorders>
            <w:shd w:val="clear" w:color="auto" w:fill="FFFFFF"/>
            <w:vAlign w:val="center"/>
          </w:tcPr>
          <w:p w14:paraId="37AEE7E0">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cBorders>
            <w:shd w:val="clear" w:color="auto" w:fill="FFFFFF"/>
            <w:vAlign w:val="center"/>
          </w:tcPr>
          <w:p w14:paraId="21A96EF7">
            <w:pPr>
              <w:keepNext w:val="0"/>
              <w:keepLines w:val="0"/>
              <w:pageBreakBefore w:val="0"/>
              <w:widowControl/>
              <w:kinsoku/>
              <w:wordWrap w:val="0"/>
              <w:overflowPunct/>
              <w:topLinePunct w:val="0"/>
              <w:autoSpaceDE/>
              <w:autoSpaceDN/>
              <w:bidi w:val="0"/>
              <w:adjustRightInd w:val="0"/>
              <w:snapToGrid/>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u w:val="none"/>
                <w:lang w:val="en-US" w:eastAsia="zh-CN" w:bidi="ar"/>
              </w:rPr>
            </w:pPr>
            <w:r>
              <w:rPr>
                <w:rFonts w:hint="eastAsia" w:ascii="Times New Roman" w:hAnsi="Times New Roman" w:eastAsia="宋体" w:cs="宋体"/>
                <w:b w:val="0"/>
                <w:bCs w:val="0"/>
                <w:caps w:val="0"/>
                <w:smallCaps w:val="0"/>
                <w:snapToGrid w:val="0"/>
                <w:color w:val="000000"/>
                <w:kern w:val="0"/>
                <w:sz w:val="21"/>
                <w:szCs w:val="21"/>
                <w:u w:val="none"/>
                <w:lang w:val="en-US" w:eastAsia="zh-CN" w:bidi="ar"/>
              </w:rPr>
              <w:t>烦躁易怒</w:t>
            </w:r>
          </w:p>
        </w:tc>
      </w:tr>
      <w:tr w14:paraId="402FF6A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left w:val="nil"/>
              <w:bottom w:val="nil"/>
              <w:right w:val="nil"/>
            </w:tcBorders>
            <w:shd w:val="clear" w:color="auto" w:fill="FFFFFF"/>
            <w:vAlign w:val="center"/>
          </w:tcPr>
          <w:p w14:paraId="2310E323">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cBorders>
            <w:shd w:val="clear" w:color="auto" w:fill="FFFFFF"/>
            <w:vAlign w:val="center"/>
          </w:tcPr>
          <w:p w14:paraId="08409EDA">
            <w:pPr>
              <w:keepNext w:val="0"/>
              <w:keepLines w:val="0"/>
              <w:pageBreakBefore w:val="0"/>
              <w:widowControl/>
              <w:kinsoku/>
              <w:wordWrap w:val="0"/>
              <w:overflowPunct/>
              <w:topLinePunct w:val="0"/>
              <w:autoSpaceDE/>
              <w:autoSpaceDN/>
              <w:bidi w:val="0"/>
              <w:adjustRightInd w:val="0"/>
              <w:snapToGrid/>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u w:val="none"/>
                <w:lang w:val="en-US" w:eastAsia="zh-CN" w:bidi="ar"/>
              </w:rPr>
            </w:pPr>
            <w:r>
              <w:rPr>
                <w:rFonts w:hint="eastAsia" w:ascii="Times New Roman" w:hAnsi="Times New Roman" w:eastAsia="宋体" w:cs="宋体"/>
                <w:b w:val="0"/>
                <w:bCs w:val="0"/>
                <w:caps w:val="0"/>
                <w:smallCaps w:val="0"/>
                <w:snapToGrid w:val="0"/>
                <w:color w:val="000000"/>
                <w:kern w:val="0"/>
                <w:sz w:val="21"/>
                <w:szCs w:val="21"/>
                <w:u w:val="none"/>
                <w:lang w:val="en-US" w:eastAsia="zh-CN" w:bidi="ar"/>
              </w:rPr>
              <w:t>目赤肿痛</w:t>
            </w:r>
          </w:p>
        </w:tc>
      </w:tr>
      <w:tr w14:paraId="6B6EED7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restart"/>
            <w:tcBorders>
              <w:top w:val="single" w:color="000000" w:sz="4" w:space="0"/>
              <w:left w:val="nil"/>
              <w:bottom w:val="nil"/>
              <w:right w:val="nil"/>
            </w:tcBorders>
            <w:shd w:val="clear" w:color="auto" w:fill="FFFFFF"/>
            <w:vAlign w:val="center"/>
          </w:tcPr>
          <w:p w14:paraId="3D80149E">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次症</w:t>
            </w:r>
          </w:p>
        </w:tc>
        <w:tc>
          <w:tcPr>
            <w:tcW w:w="3898" w:type="dxa"/>
            <w:tcBorders>
              <w:top w:val="single" w:color="000000" w:sz="4" w:space="0"/>
              <w:left w:val="nil"/>
              <w:bottom w:val="nil"/>
              <w:right w:val="nil"/>
            </w:tcBorders>
            <w:shd w:val="clear" w:color="auto" w:fill="FFFFFF"/>
            <w:vAlign w:val="center"/>
          </w:tcPr>
          <w:p w14:paraId="0B8A6D50">
            <w:pPr>
              <w:keepNext w:val="0"/>
              <w:keepLines w:val="0"/>
              <w:pageBreakBefore w:val="0"/>
              <w:widowControl/>
              <w:kinsoku/>
              <w:wordWrap w:val="0"/>
              <w:overflowPunct/>
              <w:topLinePunct w:val="0"/>
              <w:autoSpaceDE/>
              <w:autoSpaceDN/>
              <w:bidi w:val="0"/>
              <w:adjustRightInd w:val="0"/>
              <w:snapToGrid/>
              <w:spacing w:afterAutospacing="0" w:line="360" w:lineRule="exact"/>
              <w:ind w:firstLine="0" w:firstLineChars="0"/>
              <w:jc w:val="center"/>
              <w:textAlignment w:val="baseline"/>
              <w:rPr>
                <w:rFonts w:hint="default" w:ascii="Times New Roman" w:hAnsi="Times New Roman" w:eastAsia="宋体" w:cs="宋体"/>
                <w:b w:val="0"/>
                <w:bCs w:val="0"/>
                <w:caps w:val="0"/>
                <w:smallCaps w:val="0"/>
                <w:snapToGrid w:val="0"/>
                <w:color w:val="000000"/>
                <w:kern w:val="0"/>
                <w:sz w:val="21"/>
                <w:szCs w:val="21"/>
                <w:u w:val="none"/>
                <w:lang w:val="en-US" w:eastAsia="zh-CN" w:bidi="ar"/>
              </w:rPr>
            </w:pPr>
            <w:r>
              <w:rPr>
                <w:rFonts w:hint="eastAsia" w:eastAsia="宋体" w:cs="宋体"/>
                <w:b w:val="0"/>
                <w:bCs w:val="0"/>
                <w:caps w:val="0"/>
                <w:smallCaps w:val="0"/>
                <w:snapToGrid w:val="0"/>
                <w:color w:val="000000"/>
                <w:kern w:val="0"/>
                <w:sz w:val="21"/>
                <w:szCs w:val="21"/>
                <w:u w:val="none"/>
                <w:lang w:val="en-US" w:eastAsia="zh-CN" w:bidi="ar"/>
              </w:rPr>
              <w:t>口苦</w:t>
            </w:r>
          </w:p>
        </w:tc>
      </w:tr>
      <w:tr w14:paraId="6F4BC0D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top w:val="nil"/>
              <w:left w:val="nil"/>
              <w:bottom w:val="nil"/>
              <w:right w:val="nil"/>
            </w:tcBorders>
            <w:shd w:val="clear" w:color="auto" w:fill="FFFFFF"/>
            <w:vAlign w:val="center"/>
          </w:tcPr>
          <w:p w14:paraId="33910B13">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cBorders>
            <w:shd w:val="clear" w:color="auto" w:fill="FFFFFF"/>
            <w:vAlign w:val="center"/>
          </w:tcPr>
          <w:p w14:paraId="1655EE1E">
            <w:pPr>
              <w:keepNext w:val="0"/>
              <w:keepLines w:val="0"/>
              <w:pageBreakBefore w:val="0"/>
              <w:widowControl/>
              <w:kinsoku/>
              <w:wordWrap w:val="0"/>
              <w:overflowPunct/>
              <w:topLinePunct w:val="0"/>
              <w:autoSpaceDE/>
              <w:autoSpaceDN/>
              <w:bidi w:val="0"/>
              <w:adjustRightInd w:val="0"/>
              <w:snapToGrid/>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u w:val="none"/>
                <w:lang w:val="en-US" w:eastAsia="zh-CN" w:bidi="ar"/>
              </w:rPr>
            </w:pPr>
            <w:r>
              <w:rPr>
                <w:rFonts w:hint="eastAsia" w:ascii="Times New Roman" w:hAnsi="Times New Roman" w:eastAsia="宋体" w:cs="宋体"/>
                <w:b w:val="0"/>
                <w:bCs w:val="0"/>
                <w:caps w:val="0"/>
                <w:smallCaps w:val="0"/>
                <w:snapToGrid w:val="0"/>
                <w:color w:val="000000"/>
                <w:kern w:val="0"/>
                <w:sz w:val="21"/>
                <w:szCs w:val="21"/>
                <w:lang w:val="en-US" w:eastAsia="zh-CN"/>
              </w:rPr>
              <w:t>口干口渴</w:t>
            </w:r>
          </w:p>
        </w:tc>
      </w:tr>
      <w:tr w14:paraId="0DACF12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top w:val="nil"/>
              <w:left w:val="nil"/>
              <w:bottom w:val="nil"/>
              <w:right w:val="nil"/>
            </w:tcBorders>
            <w:shd w:val="clear" w:color="auto" w:fill="FFFFFF"/>
            <w:vAlign w:val="center"/>
          </w:tcPr>
          <w:p w14:paraId="089C2C9B">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cBorders>
            <w:shd w:val="clear" w:color="auto" w:fill="FFFFFF"/>
            <w:vAlign w:val="center"/>
          </w:tcPr>
          <w:p w14:paraId="2F751987">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咽干</w:t>
            </w:r>
          </w:p>
        </w:tc>
      </w:tr>
      <w:tr w14:paraId="13569C4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top w:val="nil"/>
              <w:left w:val="nil"/>
              <w:bottom w:val="nil"/>
              <w:right w:val="nil"/>
            </w:tcBorders>
            <w:shd w:val="clear" w:color="auto" w:fill="FFFFFF"/>
            <w:vAlign w:val="center"/>
          </w:tcPr>
          <w:p w14:paraId="508FEEC8">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cBorders>
            <w:shd w:val="clear" w:color="auto" w:fill="FFFFFF"/>
            <w:vAlign w:val="center"/>
          </w:tcPr>
          <w:p w14:paraId="62749974">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大便干</w:t>
            </w:r>
          </w:p>
        </w:tc>
      </w:tr>
      <w:tr w14:paraId="43E2973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top w:val="nil"/>
              <w:left w:val="nil"/>
              <w:bottom w:val="nil"/>
              <w:right w:val="nil"/>
            </w:tcBorders>
            <w:shd w:val="clear" w:color="auto" w:fill="FFFFFF"/>
            <w:vAlign w:val="center"/>
          </w:tcPr>
          <w:p w14:paraId="68510EA8">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cBorders>
            <w:shd w:val="clear" w:color="auto" w:fill="FFFFFF"/>
            <w:vAlign w:val="center"/>
          </w:tcPr>
          <w:p w14:paraId="5E29AF05">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小便黄</w:t>
            </w:r>
          </w:p>
        </w:tc>
      </w:tr>
      <w:tr w14:paraId="27E86BE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restart"/>
            <w:tcBorders>
              <w:top w:val="single" w:color="000000" w:sz="4" w:space="0"/>
              <w:left w:val="nil"/>
              <w:bottom w:val="nil"/>
              <w:right w:val="nil"/>
              <w:tl2br w:val="nil"/>
              <w:tr2bl w:val="nil"/>
            </w:tcBorders>
            <w:shd w:val="clear" w:color="auto" w:fill="FFFFFF"/>
            <w:vAlign w:val="center"/>
          </w:tcPr>
          <w:p w14:paraId="6D2DA2C4">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舌脉</w:t>
            </w:r>
          </w:p>
        </w:tc>
        <w:tc>
          <w:tcPr>
            <w:tcW w:w="3898" w:type="dxa"/>
            <w:tcBorders>
              <w:top w:val="single" w:color="000000" w:sz="4" w:space="0"/>
              <w:left w:val="nil"/>
              <w:bottom w:val="nil"/>
              <w:right w:val="nil"/>
              <w:tl2br w:val="nil"/>
              <w:tr2bl w:val="nil"/>
            </w:tcBorders>
            <w:shd w:val="clear" w:color="auto" w:fill="FFFFFF"/>
            <w:vAlign w:val="center"/>
          </w:tcPr>
          <w:p w14:paraId="51F48E7B">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舌红</w:t>
            </w:r>
          </w:p>
        </w:tc>
      </w:tr>
      <w:tr w14:paraId="137B9AC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top w:val="nil"/>
              <w:left w:val="nil"/>
              <w:bottom w:val="nil"/>
              <w:right w:val="nil"/>
              <w:tl2br w:val="nil"/>
              <w:tr2bl w:val="nil"/>
            </w:tcBorders>
            <w:shd w:val="clear" w:color="auto" w:fill="FFFFFF"/>
            <w:vAlign w:val="center"/>
          </w:tcPr>
          <w:p w14:paraId="19A42076">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nil"/>
              <w:right w:val="nil"/>
              <w:tl2br w:val="nil"/>
              <w:tr2bl w:val="nil"/>
            </w:tcBorders>
            <w:shd w:val="clear" w:color="auto" w:fill="FFFFFF"/>
            <w:vAlign w:val="center"/>
          </w:tcPr>
          <w:p w14:paraId="3AD68C86">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苔黄</w:t>
            </w:r>
          </w:p>
        </w:tc>
      </w:tr>
      <w:tr w14:paraId="5428EE3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1481" w:type="dxa"/>
            <w:vMerge w:val="continue"/>
            <w:tcBorders>
              <w:top w:val="nil"/>
              <w:left w:val="nil"/>
              <w:bottom w:val="single" w:color="000000" w:sz="12" w:space="0"/>
              <w:right w:val="nil"/>
              <w:tl2br w:val="nil"/>
              <w:tr2bl w:val="nil"/>
            </w:tcBorders>
            <w:shd w:val="clear" w:color="auto" w:fill="FFFFFF"/>
            <w:vAlign w:val="center"/>
          </w:tcPr>
          <w:p w14:paraId="357239D5">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p>
        </w:tc>
        <w:tc>
          <w:tcPr>
            <w:tcW w:w="3898" w:type="dxa"/>
            <w:tcBorders>
              <w:top w:val="nil"/>
              <w:left w:val="nil"/>
              <w:bottom w:val="single" w:color="000000" w:sz="12" w:space="0"/>
              <w:right w:val="nil"/>
              <w:tl2br w:val="nil"/>
              <w:tr2bl w:val="nil"/>
            </w:tcBorders>
            <w:shd w:val="clear" w:color="auto" w:fill="FFFFFF"/>
            <w:vAlign w:val="center"/>
          </w:tcPr>
          <w:p w14:paraId="18C67EB8">
            <w:pPr>
              <w:keepNext w:val="0"/>
              <w:keepLines w:val="0"/>
              <w:pageBreakBefore w:val="0"/>
              <w:widowControl/>
              <w:kinsoku/>
              <w:wordWrap w:val="0"/>
              <w:overflowPunct/>
              <w:topLinePunct w:val="0"/>
              <w:autoSpaceDE w:val="0"/>
              <w:autoSpaceDN w:val="0"/>
              <w:bidi w:val="0"/>
              <w:adjustRightInd w:val="0"/>
              <w:snapToGrid w:val="0"/>
              <w:spacing w:afterAutospacing="0" w:line="360" w:lineRule="exact"/>
              <w:ind w:firstLine="0" w:firstLineChars="0"/>
              <w:jc w:val="center"/>
              <w:textAlignment w:val="baseline"/>
              <w:rPr>
                <w:rFonts w:hint="eastAsia" w:ascii="Times New Roman" w:hAnsi="Times New Roman" w:eastAsia="宋体" w:cs="宋体"/>
                <w:b w:val="0"/>
                <w:bCs w:val="0"/>
                <w:caps w:val="0"/>
                <w:smallCaps w:val="0"/>
                <w:snapToGrid w:val="0"/>
                <w:color w:val="000000"/>
                <w:kern w:val="0"/>
                <w:sz w:val="21"/>
                <w:szCs w:val="21"/>
                <w:lang w:val="en-US" w:eastAsia="zh-CN"/>
              </w:rPr>
            </w:pPr>
            <w:r>
              <w:rPr>
                <w:rFonts w:hint="eastAsia" w:ascii="Times New Roman" w:hAnsi="Times New Roman" w:eastAsia="宋体" w:cs="宋体"/>
                <w:b w:val="0"/>
                <w:bCs w:val="0"/>
                <w:caps w:val="0"/>
                <w:smallCaps w:val="0"/>
                <w:snapToGrid w:val="0"/>
                <w:color w:val="000000"/>
                <w:kern w:val="0"/>
                <w:sz w:val="21"/>
                <w:szCs w:val="21"/>
                <w:lang w:val="en-US" w:eastAsia="zh-CN"/>
              </w:rPr>
              <w:t>脉弦数</w:t>
            </w:r>
          </w:p>
        </w:tc>
      </w:tr>
    </w:tbl>
    <w:p w14:paraId="3815FC56">
      <w:pPr>
        <w:pStyle w:val="33"/>
        <w:keepNext w:val="0"/>
        <w:keepLines w:val="0"/>
        <w:pageBreakBefore w:val="0"/>
        <w:widowControl/>
        <w:tabs>
          <w:tab w:val="center" w:pos="4201"/>
          <w:tab w:val="right" w:leader="dot" w:pos="9298"/>
        </w:tabs>
        <w:kinsoku/>
        <w:wordWrap/>
        <w:overflowPunct/>
        <w:topLinePunct w:val="0"/>
        <w:autoSpaceDE/>
        <w:autoSpaceDN/>
        <w:bidi w:val="0"/>
        <w:adjustRightInd/>
        <w:spacing w:before="0" w:beforeLines="0" w:after="0" w:afterLines="0" w:line="360" w:lineRule="exact"/>
        <w:ind w:firstLine="360" w:firstLineChars="200"/>
        <w:textAlignment w:val="auto"/>
        <w:outlineLvl w:val="1"/>
        <w:rPr>
          <w:rFonts w:hint="eastAsia" w:ascii="宋体" w:hAnsi="宋体" w:eastAsia="宋体" w:cs="宋体"/>
          <w:color w:val="0F1115"/>
          <w:kern w:val="2"/>
          <w:sz w:val="18"/>
          <w:szCs w:val="18"/>
          <w:shd w:val="clear" w:fill="FFFFFF"/>
        </w:rPr>
      </w:pPr>
      <w:bookmarkStart w:id="83" w:name="_Toc7438"/>
      <w:bookmarkStart w:id="84" w:name="_Toc24752"/>
      <w:bookmarkStart w:id="85" w:name="_Toc5997"/>
      <w:bookmarkStart w:id="86" w:name="_Toc31535"/>
      <w:bookmarkStart w:id="87" w:name="_Toc18217"/>
      <w:r>
        <w:rPr>
          <w:rFonts w:hint="eastAsia" w:ascii="黑体" w:hAnsi="黑体" w:eastAsia="黑体" w:cs="黑体"/>
          <w:i w:val="0"/>
          <w:iCs w:val="0"/>
          <w:caps w:val="0"/>
          <w:color w:val="0F1115"/>
          <w:spacing w:val="0"/>
          <w:sz w:val="18"/>
          <w:szCs w:val="18"/>
          <w:shd w:val="clear" w:fill="FFFFFF"/>
        </w:rPr>
        <w:t>注：</w:t>
      </w:r>
      <w:r>
        <w:rPr>
          <w:rFonts w:hint="eastAsia" w:ascii="宋体" w:hAnsi="宋体" w:eastAsia="宋体" w:cs="宋体"/>
          <w:i w:val="0"/>
          <w:iCs w:val="0"/>
          <w:caps w:val="0"/>
          <w:color w:val="0F1115"/>
          <w:spacing w:val="0"/>
          <w:kern w:val="2"/>
          <w:sz w:val="18"/>
          <w:szCs w:val="18"/>
          <w:shd w:val="clear" w:fill="FFFFFF"/>
        </w:rPr>
        <w:t>本量表中“胁胀胁痛”系胁胀与胁痛之症状复合，“烦躁易怒”系烦躁与易怒之症状复合，</w:t>
      </w:r>
      <w:r>
        <w:rPr>
          <w:rFonts w:hint="eastAsia" w:hAnsi="宋体" w:cs="宋体"/>
          <w:i w:val="0"/>
          <w:iCs w:val="0"/>
          <w:caps w:val="0"/>
          <w:color w:val="0F1115"/>
          <w:spacing w:val="0"/>
          <w:kern w:val="2"/>
          <w:sz w:val="18"/>
          <w:szCs w:val="18"/>
          <w:shd w:val="clear" w:fill="FFFFFF"/>
          <w:lang w:eastAsia="zh-CN"/>
        </w:rPr>
        <w:t>“</w:t>
      </w:r>
      <w:r>
        <w:rPr>
          <w:rFonts w:hint="eastAsia" w:ascii="宋体" w:hAnsi="宋体" w:eastAsia="宋体" w:cs="宋体"/>
          <w:i w:val="0"/>
          <w:iCs w:val="0"/>
          <w:caps w:val="0"/>
          <w:color w:val="0F1115"/>
          <w:spacing w:val="0"/>
          <w:kern w:val="2"/>
          <w:sz w:val="18"/>
          <w:szCs w:val="18"/>
          <w:shd w:val="clear" w:fill="FFFFFF"/>
        </w:rPr>
        <w:t>口干口渴</w:t>
      </w:r>
      <w:r>
        <w:rPr>
          <w:rFonts w:hint="eastAsia" w:ascii="宋体" w:hAnsi="宋体" w:eastAsia="宋体" w:cs="宋体"/>
          <w:i w:val="0"/>
          <w:iCs w:val="0"/>
          <w:caps w:val="0"/>
          <w:color w:val="0F1115"/>
          <w:spacing w:val="0"/>
          <w:kern w:val="2"/>
          <w:sz w:val="18"/>
          <w:szCs w:val="18"/>
          <w:shd w:val="clear" w:fill="FFFFFF"/>
          <w:lang w:eastAsia="zh-CN"/>
        </w:rPr>
        <w:t>”</w:t>
      </w:r>
      <w:r>
        <w:rPr>
          <w:rFonts w:hint="eastAsia" w:ascii="宋体" w:hAnsi="宋体" w:eastAsia="宋体" w:cs="宋体"/>
          <w:i w:val="0"/>
          <w:iCs w:val="0"/>
          <w:caps w:val="0"/>
          <w:color w:val="0F1115"/>
          <w:spacing w:val="0"/>
          <w:kern w:val="2"/>
          <w:sz w:val="18"/>
          <w:szCs w:val="18"/>
          <w:shd w:val="clear" w:fill="FFFFFF"/>
        </w:rPr>
        <w:t>系口干与口渴之症状复合</w:t>
      </w:r>
      <w:r>
        <w:rPr>
          <w:rFonts w:hint="eastAsia" w:hAnsi="宋体" w:cs="宋体"/>
          <w:i w:val="0"/>
          <w:iCs w:val="0"/>
          <w:caps w:val="0"/>
          <w:color w:val="0F1115"/>
          <w:spacing w:val="0"/>
          <w:kern w:val="2"/>
          <w:sz w:val="18"/>
          <w:szCs w:val="18"/>
          <w:shd w:val="clear" w:fill="FFFFFF"/>
          <w:lang w:eastAsia="zh-CN"/>
        </w:rPr>
        <w:t>，</w:t>
      </w:r>
      <w:r>
        <w:rPr>
          <w:rFonts w:hint="eastAsia" w:ascii="宋体" w:hAnsi="宋体" w:eastAsia="宋体" w:cs="宋体"/>
          <w:b w:val="0"/>
          <w:bCs w:val="0"/>
          <w:i w:val="0"/>
          <w:iCs w:val="0"/>
          <w:caps w:val="0"/>
          <w:color w:val="0F1115"/>
          <w:spacing w:val="0"/>
          <w:kern w:val="2"/>
          <w:sz w:val="18"/>
          <w:szCs w:val="18"/>
          <w:shd w:val="clear" w:fill="FFFFFF"/>
        </w:rPr>
        <w:t>任一子项存在即计为该条目存在</w:t>
      </w:r>
      <w:r>
        <w:rPr>
          <w:rFonts w:hint="eastAsia" w:ascii="宋体" w:hAnsi="宋体" w:eastAsia="宋体" w:cs="宋体"/>
          <w:i w:val="0"/>
          <w:iCs w:val="0"/>
          <w:caps w:val="0"/>
          <w:color w:val="0F1115"/>
          <w:spacing w:val="0"/>
          <w:kern w:val="2"/>
          <w:sz w:val="18"/>
          <w:szCs w:val="18"/>
          <w:shd w:val="clear" w:fill="FFFFFF"/>
        </w:rPr>
        <w:t>。</w:t>
      </w:r>
      <w:bookmarkEnd w:id="83"/>
      <w:bookmarkEnd w:id="84"/>
      <w:bookmarkEnd w:id="85"/>
      <w:bookmarkEnd w:id="86"/>
    </w:p>
    <w:p w14:paraId="3373D417">
      <w:pPr>
        <w:pStyle w:val="33"/>
        <w:keepNext w:val="0"/>
        <w:keepLines w:val="0"/>
        <w:pageBreakBefore w:val="0"/>
        <w:widowControl/>
        <w:tabs>
          <w:tab w:val="center" w:pos="4201"/>
          <w:tab w:val="right" w:leader="dot" w:pos="9298"/>
        </w:tabs>
        <w:kinsoku/>
        <w:wordWrap/>
        <w:overflowPunct/>
        <w:topLinePunct w:val="0"/>
        <w:autoSpaceDE/>
        <w:autoSpaceDN/>
        <w:bidi w:val="0"/>
        <w:adjustRightInd/>
        <w:spacing w:before="157" w:beforeLines="50" w:after="157" w:afterLines="50" w:line="360" w:lineRule="exact"/>
        <w:ind w:firstLine="0" w:firstLineChars="0"/>
        <w:textAlignment w:val="auto"/>
        <w:outlineLvl w:val="1"/>
        <w:rPr>
          <w:rFonts w:hint="eastAsia" w:ascii="Times New Roman" w:hAnsi="Times New Roman" w:eastAsia="黑体" w:cstheme="minorBidi"/>
          <w:color w:val="auto"/>
          <w:kern w:val="2"/>
          <w:szCs w:val="21"/>
          <w:lang w:val="en-US" w:eastAsia="zh-CN"/>
        </w:rPr>
      </w:pPr>
      <w:bookmarkStart w:id="88" w:name="_Toc22630"/>
      <w:bookmarkStart w:id="89" w:name="_Toc28099"/>
      <w:bookmarkStart w:id="90" w:name="_Toc16601"/>
      <w:bookmarkStart w:id="91" w:name="_Toc13599"/>
      <w:r>
        <w:rPr>
          <w:rFonts w:hint="eastAsia" w:ascii="Times New Roman" w:hAnsi="Times New Roman" w:eastAsia="黑体" w:cstheme="minorBidi"/>
          <w:color w:val="auto"/>
          <w:kern w:val="2"/>
          <w:szCs w:val="21"/>
        </w:rPr>
        <w:t>4.2</w:t>
      </w:r>
      <w:r>
        <w:rPr>
          <w:rFonts w:hint="eastAsia" w:ascii="Times New Roman" w:hAnsi="Times New Roman" w:eastAsia="黑体" w:cstheme="minorBidi"/>
          <w:color w:val="auto"/>
          <w:kern w:val="2"/>
          <w:szCs w:val="21"/>
          <w:lang w:val="en-US" w:eastAsia="zh-CN"/>
        </w:rPr>
        <w:t>肝经火旺</w:t>
      </w:r>
      <w:r>
        <w:rPr>
          <w:rFonts w:hint="eastAsia" w:ascii="Times New Roman" w:hAnsi="Times New Roman" w:eastAsia="黑体" w:cstheme="minorBidi"/>
          <w:color w:val="auto"/>
          <w:kern w:val="2"/>
          <w:szCs w:val="21"/>
        </w:rPr>
        <w:t>证诊断</w:t>
      </w:r>
      <w:r>
        <w:rPr>
          <w:rFonts w:hint="eastAsia" w:ascii="Times New Roman" w:hAnsi="Times New Roman" w:eastAsia="黑体" w:cstheme="minorBidi"/>
          <w:color w:val="auto"/>
          <w:kern w:val="2"/>
          <w:szCs w:val="21"/>
          <w:lang w:val="en-US" w:eastAsia="zh-CN"/>
        </w:rPr>
        <w:t>标准</w:t>
      </w:r>
      <w:bookmarkEnd w:id="87"/>
      <w:bookmarkEnd w:id="88"/>
      <w:bookmarkEnd w:id="89"/>
      <w:bookmarkEnd w:id="90"/>
      <w:bookmarkEnd w:id="91"/>
    </w:p>
    <w:p w14:paraId="3DAC2685">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firstLine="420"/>
        <w:jc w:val="left"/>
        <w:textAlignment w:val="auto"/>
        <w:rPr>
          <w:rFonts w:hint="eastAsia" w:ascii="Times New Roman" w:hAnsi="Times New Roman" w:cs="Helvetica"/>
          <w:color w:val="auto"/>
          <w:kern w:val="0"/>
          <w:sz w:val="21"/>
          <w:szCs w:val="21"/>
        </w:rPr>
      </w:pPr>
      <w:r>
        <w:rPr>
          <w:rFonts w:hint="eastAsia" w:ascii="Times New Roman" w:hAnsi="Times New Roman" w:cs="Helvetica"/>
          <w:color w:val="auto"/>
          <w:kern w:val="0"/>
          <w:sz w:val="21"/>
          <w:szCs w:val="21"/>
          <w:lang w:val="en-US" w:eastAsia="zh-CN"/>
        </w:rPr>
        <w:t>肝经火旺证</w:t>
      </w:r>
      <w:r>
        <w:rPr>
          <w:rFonts w:hint="eastAsia" w:ascii="Times New Roman" w:hAnsi="Times New Roman" w:cs="Helvetica"/>
          <w:color w:val="auto"/>
          <w:kern w:val="0"/>
          <w:sz w:val="21"/>
          <w:szCs w:val="21"/>
        </w:rPr>
        <w:t>的诊断</w:t>
      </w:r>
      <w:r>
        <w:rPr>
          <w:rFonts w:hint="eastAsia" w:cs="Helvetica"/>
          <w:color w:val="auto"/>
          <w:kern w:val="0"/>
          <w:sz w:val="21"/>
          <w:szCs w:val="21"/>
          <w:lang w:val="en-US" w:eastAsia="zh-CN"/>
        </w:rPr>
        <w:t>应</w:t>
      </w:r>
      <w:r>
        <w:rPr>
          <w:rFonts w:hint="eastAsia" w:ascii="Times New Roman" w:hAnsi="Times New Roman" w:cs="Helvetica"/>
          <w:color w:val="auto"/>
          <w:kern w:val="0"/>
          <w:sz w:val="21"/>
          <w:szCs w:val="21"/>
        </w:rPr>
        <w:t>采用主</w:t>
      </w:r>
      <w:r>
        <w:rPr>
          <w:rFonts w:hint="eastAsia" w:cs="Helvetica"/>
          <w:color w:val="auto"/>
          <w:kern w:val="0"/>
          <w:sz w:val="21"/>
          <w:szCs w:val="21"/>
          <w:lang w:val="en-US" w:eastAsia="zh-CN"/>
        </w:rPr>
        <w:t>症</w:t>
      </w:r>
      <w:r>
        <w:rPr>
          <w:rFonts w:hint="eastAsia" w:ascii="Times New Roman" w:hAnsi="Times New Roman" w:cs="Helvetica"/>
          <w:color w:val="auto"/>
          <w:kern w:val="0"/>
          <w:sz w:val="21"/>
          <w:szCs w:val="21"/>
        </w:rPr>
        <w:t>、次</w:t>
      </w:r>
      <w:r>
        <w:rPr>
          <w:rFonts w:hint="eastAsia" w:cs="Helvetica"/>
          <w:color w:val="auto"/>
          <w:kern w:val="0"/>
          <w:sz w:val="21"/>
          <w:szCs w:val="21"/>
          <w:lang w:val="en-US" w:eastAsia="zh-CN"/>
        </w:rPr>
        <w:t>症</w:t>
      </w:r>
      <w:r>
        <w:rPr>
          <w:rFonts w:hint="eastAsia" w:ascii="Times New Roman" w:hAnsi="Times New Roman" w:cs="Helvetica"/>
          <w:color w:val="auto"/>
          <w:kern w:val="0"/>
          <w:sz w:val="21"/>
          <w:szCs w:val="21"/>
        </w:rPr>
        <w:t>相结合，参照舌脉的诊断模式。</w:t>
      </w:r>
    </w:p>
    <w:p w14:paraId="152C94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jc w:val="left"/>
        <w:rPr>
          <w:rFonts w:hint="eastAsia" w:ascii="Times New Roman" w:hAnsi="Times New Roman" w:cs="Helvetica"/>
          <w:color w:val="auto"/>
          <w:kern w:val="0"/>
          <w:sz w:val="21"/>
          <w:szCs w:val="21"/>
        </w:rPr>
      </w:pPr>
      <w:r>
        <w:rPr>
          <w:rFonts w:hint="eastAsia" w:cs="Helvetica"/>
          <w:color w:val="auto"/>
          <w:kern w:val="0"/>
          <w:sz w:val="21"/>
          <w:szCs w:val="21"/>
          <w:lang w:val="en-US" w:eastAsia="zh-CN"/>
        </w:rPr>
        <w:t>应</w:t>
      </w:r>
      <w:r>
        <w:rPr>
          <w:rFonts w:hint="eastAsia" w:ascii="Times New Roman" w:hAnsi="Times New Roman" w:cs="Helvetica"/>
          <w:color w:val="auto"/>
          <w:kern w:val="0"/>
          <w:sz w:val="21"/>
          <w:szCs w:val="21"/>
        </w:rPr>
        <w:t>具备主</w:t>
      </w:r>
      <w:r>
        <w:rPr>
          <w:rFonts w:hint="eastAsia" w:cs="Helvetica"/>
          <w:color w:val="auto"/>
          <w:kern w:val="0"/>
          <w:sz w:val="21"/>
          <w:szCs w:val="21"/>
          <w:lang w:val="en-US" w:eastAsia="zh-CN"/>
        </w:rPr>
        <w:t>症3项，或者主症</w:t>
      </w:r>
      <w:r>
        <w:rPr>
          <w:rFonts w:hint="eastAsia" w:ascii="Times New Roman" w:hAnsi="Times New Roman" w:cs="Helvetica"/>
          <w:color w:val="auto"/>
          <w:kern w:val="0"/>
          <w:sz w:val="21"/>
          <w:szCs w:val="21"/>
          <w:lang w:val="en-US" w:eastAsia="zh-CN"/>
        </w:rPr>
        <w:t>2</w:t>
      </w:r>
      <w:r>
        <w:rPr>
          <w:rFonts w:hint="eastAsia" w:ascii="Times New Roman" w:hAnsi="Times New Roman" w:cs="Helvetica"/>
          <w:color w:val="auto"/>
          <w:kern w:val="0"/>
          <w:sz w:val="21"/>
          <w:szCs w:val="21"/>
        </w:rPr>
        <w:t>项</w:t>
      </w:r>
      <w:r>
        <w:rPr>
          <w:rFonts w:hint="eastAsia" w:cs="Helvetica"/>
          <w:color w:val="auto"/>
          <w:kern w:val="0"/>
          <w:sz w:val="21"/>
          <w:szCs w:val="21"/>
          <w:lang w:val="en-US" w:eastAsia="zh-CN"/>
        </w:rPr>
        <w:t>+</w:t>
      </w:r>
      <w:r>
        <w:rPr>
          <w:rFonts w:hint="eastAsia" w:ascii="Times New Roman" w:hAnsi="Times New Roman" w:cs="Helvetica"/>
          <w:color w:val="auto"/>
          <w:kern w:val="0"/>
          <w:sz w:val="21"/>
          <w:szCs w:val="21"/>
        </w:rPr>
        <w:t>次</w:t>
      </w:r>
      <w:r>
        <w:rPr>
          <w:rFonts w:hint="eastAsia" w:cs="Helvetica"/>
          <w:color w:val="auto"/>
          <w:kern w:val="0"/>
          <w:sz w:val="21"/>
          <w:szCs w:val="21"/>
          <w:lang w:val="en-US" w:eastAsia="zh-CN"/>
        </w:rPr>
        <w:t>症2</w:t>
      </w:r>
      <w:r>
        <w:rPr>
          <w:rFonts w:hint="eastAsia" w:ascii="Times New Roman" w:hAnsi="Times New Roman" w:cs="Helvetica"/>
          <w:color w:val="auto"/>
          <w:kern w:val="0"/>
          <w:sz w:val="21"/>
          <w:szCs w:val="21"/>
        </w:rPr>
        <w:t>项</w:t>
      </w:r>
      <w:r>
        <w:rPr>
          <w:rFonts w:hint="eastAsia" w:ascii="Times New Roman" w:hAnsi="Times New Roman" w:cs="Helvetica"/>
          <w:color w:val="auto"/>
          <w:kern w:val="0"/>
          <w:sz w:val="21"/>
          <w:szCs w:val="21"/>
          <w:lang w:val="en-US" w:eastAsia="zh-CN"/>
        </w:rPr>
        <w:t>及以上</w:t>
      </w:r>
      <w:r>
        <w:rPr>
          <w:rFonts w:hint="eastAsia" w:ascii="Times New Roman" w:hAnsi="Times New Roman" w:cs="Helvetica"/>
          <w:color w:val="auto"/>
          <w:kern w:val="0"/>
          <w:sz w:val="21"/>
          <w:szCs w:val="21"/>
        </w:rPr>
        <w:t>，并参照舌脉，即可诊断。</w:t>
      </w:r>
    </w:p>
    <w:p w14:paraId="3C0B1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0" w:firstLineChars="0"/>
        <w:jc w:val="left"/>
        <w:outlineLvl w:val="0"/>
        <w:rPr>
          <w:rFonts w:hint="eastAsia" w:eastAsia="黑体" w:cstheme="minorBidi"/>
          <w:color w:val="auto"/>
          <w:kern w:val="2"/>
          <w:sz w:val="21"/>
          <w:szCs w:val="21"/>
          <w:lang w:val="en-US" w:eastAsia="zh-CN"/>
        </w:rPr>
      </w:pPr>
      <w:bookmarkStart w:id="92" w:name="_Toc10523"/>
      <w:bookmarkStart w:id="93" w:name="_Toc27454"/>
      <w:r>
        <w:rPr>
          <w:rFonts w:hint="eastAsia" w:eastAsia="黑体" w:cstheme="minorBidi"/>
          <w:color w:val="auto"/>
          <w:kern w:val="2"/>
          <w:sz w:val="21"/>
          <w:szCs w:val="21"/>
          <w:lang w:val="en-US" w:eastAsia="zh-CN"/>
        </w:rPr>
        <w:t>4.3鉴别诊断</w:t>
      </w:r>
      <w:bookmarkEnd w:id="92"/>
      <w:bookmarkEnd w:id="93"/>
    </w:p>
    <w:p w14:paraId="55A42FC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384" w:firstLineChars="183"/>
        <w:rPr>
          <w:rFonts w:hint="eastAsia" w:ascii="Times New Roman" w:hAnsi="Times New Roman" w:cs="Helvetica" w:eastAsiaTheme="minorEastAsia"/>
          <w:i w:val="0"/>
          <w:iCs w:val="0"/>
          <w:caps w:val="0"/>
          <w:color w:val="auto"/>
          <w:spacing w:val="0"/>
          <w:sz w:val="21"/>
          <w:szCs w:val="21"/>
        </w:rPr>
      </w:pPr>
      <w:r>
        <w:rPr>
          <w:rFonts w:hint="eastAsia" w:ascii="Times New Roman" w:hAnsi="Times New Roman" w:cs="Helvetica" w:eastAsiaTheme="minorEastAsia"/>
          <w:i w:val="0"/>
          <w:iCs w:val="0"/>
          <w:caps w:val="0"/>
          <w:color w:val="auto"/>
          <w:spacing w:val="0"/>
          <w:sz w:val="21"/>
          <w:szCs w:val="21"/>
          <w:shd w:val="clear"/>
        </w:rPr>
        <w:t>临床诊断时，应结合病机演变特征与临床表现，与</w:t>
      </w:r>
      <w:r>
        <w:rPr>
          <w:rFonts w:hint="eastAsia" w:ascii="Times New Roman" w:hAnsi="Times New Roman" w:cs="Helvetica" w:eastAsiaTheme="minorEastAsia"/>
          <w:b w:val="0"/>
          <w:bCs w:val="0"/>
          <w:i w:val="0"/>
          <w:iCs w:val="0"/>
          <w:caps w:val="0"/>
          <w:color w:val="auto"/>
          <w:spacing w:val="0"/>
          <w:sz w:val="21"/>
          <w:szCs w:val="21"/>
          <w:shd w:val="clear"/>
        </w:rPr>
        <w:t>肝郁化火证</w:t>
      </w:r>
      <w:r>
        <w:rPr>
          <w:rFonts w:hint="eastAsia" w:ascii="Times New Roman" w:hAnsi="Times New Roman" w:cs="Helvetica" w:eastAsiaTheme="minorEastAsia"/>
          <w:i w:val="0"/>
          <w:iCs w:val="0"/>
          <w:caps w:val="0"/>
          <w:color w:val="auto"/>
          <w:spacing w:val="0"/>
          <w:sz w:val="21"/>
          <w:szCs w:val="21"/>
          <w:shd w:val="clear"/>
        </w:rPr>
        <w:t>（病机重心在于</w:t>
      </w:r>
      <w:r>
        <w:rPr>
          <w:rFonts w:hint="eastAsia" w:ascii="Times New Roman" w:hAnsi="Times New Roman" w:cs="Helvetica" w:eastAsiaTheme="minorEastAsia"/>
          <w:color w:val="auto"/>
          <w:kern w:val="0"/>
          <w:sz w:val="21"/>
          <w:szCs w:val="21"/>
          <w:lang w:val="en-US" w:eastAsia="zh-CN" w:bidi="ar-SA"/>
        </w:rPr>
        <w:t>肝气郁滞、久郁化火</w:t>
      </w:r>
      <w:r>
        <w:rPr>
          <w:rFonts w:hint="eastAsia" w:ascii="Times New Roman" w:hAnsi="Times New Roman" w:cs="Helvetica" w:eastAsiaTheme="minorEastAsia"/>
          <w:i w:val="0"/>
          <w:iCs w:val="0"/>
          <w:caps w:val="0"/>
          <w:color w:val="auto"/>
          <w:spacing w:val="0"/>
          <w:sz w:val="21"/>
          <w:szCs w:val="21"/>
          <w:shd w:val="clear"/>
          <w:lang w:eastAsia="zh-CN"/>
        </w:rPr>
        <w:t>，</w:t>
      </w:r>
      <w:r>
        <w:rPr>
          <w:rFonts w:hint="eastAsia" w:ascii="Times New Roman" w:hAnsi="Times New Roman" w:cs="Helvetica" w:eastAsiaTheme="minorEastAsia"/>
          <w:i w:val="0"/>
          <w:iCs w:val="0"/>
          <w:caps w:val="0"/>
          <w:color w:val="auto"/>
          <w:spacing w:val="0"/>
          <w:sz w:val="21"/>
          <w:szCs w:val="21"/>
          <w:shd w:val="clear"/>
          <w:lang w:val="en-US" w:eastAsia="zh-CN"/>
        </w:rPr>
        <w:t>兼有</w:t>
      </w:r>
      <w:r>
        <w:rPr>
          <w:rFonts w:hint="eastAsia" w:ascii="Times New Roman" w:hAnsi="Times New Roman" w:cs="Helvetica" w:eastAsiaTheme="minorEastAsia"/>
          <w:i w:val="0"/>
          <w:iCs w:val="0"/>
          <w:caps w:val="0"/>
          <w:color w:val="auto"/>
          <w:spacing w:val="0"/>
          <w:sz w:val="21"/>
          <w:szCs w:val="21"/>
          <w:shd w:val="clear"/>
        </w:rPr>
        <w:t>明显</w:t>
      </w:r>
      <w:r>
        <w:rPr>
          <w:rFonts w:hint="eastAsia" w:ascii="Times New Roman" w:hAnsi="Times New Roman" w:cs="Helvetica" w:eastAsiaTheme="minorEastAsia"/>
          <w:i w:val="0"/>
          <w:iCs w:val="0"/>
          <w:caps w:val="0"/>
          <w:color w:val="auto"/>
          <w:spacing w:val="0"/>
          <w:sz w:val="21"/>
          <w:szCs w:val="21"/>
          <w:shd w:val="clear"/>
          <w:lang w:val="en-US" w:eastAsia="zh-CN"/>
        </w:rPr>
        <w:t>气滞</w:t>
      </w:r>
      <w:r>
        <w:rPr>
          <w:rFonts w:hint="eastAsia" w:ascii="Times New Roman" w:hAnsi="Times New Roman" w:cs="Helvetica" w:eastAsiaTheme="minorEastAsia"/>
          <w:i w:val="0"/>
          <w:iCs w:val="0"/>
          <w:caps w:val="0"/>
          <w:color w:val="auto"/>
          <w:spacing w:val="0"/>
          <w:sz w:val="21"/>
          <w:szCs w:val="21"/>
          <w:shd w:val="clear"/>
        </w:rPr>
        <w:t>之象）进行鉴别。</w:t>
      </w:r>
    </w:p>
    <w:p w14:paraId="4A6963D9">
      <w:pPr>
        <w:pStyle w:val="33"/>
        <w:keepNext w:val="0"/>
        <w:keepLines w:val="0"/>
        <w:pageBreakBefore w:val="0"/>
        <w:widowControl/>
        <w:tabs>
          <w:tab w:val="center" w:pos="4201"/>
          <w:tab w:val="right" w:leader="dot" w:pos="9298"/>
        </w:tabs>
        <w:kinsoku/>
        <w:wordWrap/>
        <w:overflowPunct/>
        <w:topLinePunct w:val="0"/>
        <w:autoSpaceDE/>
        <w:autoSpaceDN/>
        <w:bidi w:val="0"/>
        <w:adjustRightInd/>
        <w:snapToGrid/>
        <w:spacing w:before="240" w:beforeLines="100" w:after="240" w:afterLines="100" w:line="240" w:lineRule="auto"/>
        <w:ind w:firstLine="0" w:firstLineChars="0"/>
        <w:textAlignment w:val="auto"/>
        <w:outlineLvl w:val="0"/>
        <w:rPr>
          <w:rFonts w:ascii="Times New Roman" w:hAnsi="Times New Roman" w:eastAsia="黑体" w:cstheme="minorBidi"/>
          <w:color w:val="auto"/>
          <w:kern w:val="2"/>
          <w:szCs w:val="21"/>
        </w:rPr>
      </w:pPr>
      <w:bookmarkStart w:id="94" w:name="_Toc20926"/>
      <w:bookmarkStart w:id="95" w:name="_Toc10868"/>
      <w:bookmarkStart w:id="96" w:name="_Toc8903"/>
      <w:bookmarkStart w:id="97" w:name="_Toc17971"/>
      <w:bookmarkStart w:id="98" w:name="_Toc4652"/>
      <w:r>
        <w:rPr>
          <w:rFonts w:hint="eastAsia" w:ascii="Times New Roman" w:hAnsi="Times New Roman" w:eastAsia="黑体" w:cstheme="minorBidi"/>
          <w:color w:val="auto"/>
          <w:kern w:val="2"/>
          <w:szCs w:val="21"/>
        </w:rPr>
        <w:t>5疗效评价</w:t>
      </w:r>
      <w:bookmarkEnd w:id="94"/>
      <w:bookmarkEnd w:id="95"/>
      <w:bookmarkEnd w:id="96"/>
      <w:bookmarkEnd w:id="97"/>
      <w:bookmarkEnd w:id="98"/>
    </w:p>
    <w:p w14:paraId="5475E7DC">
      <w:pPr>
        <w:pStyle w:val="33"/>
        <w:keepNext w:val="0"/>
        <w:keepLines w:val="0"/>
        <w:pageBreakBefore w:val="0"/>
        <w:tabs>
          <w:tab w:val="center" w:pos="4201"/>
          <w:tab w:val="right" w:leader="dot" w:pos="9298"/>
        </w:tabs>
        <w:kinsoku/>
        <w:wordWrap/>
        <w:overflowPunct/>
        <w:topLinePunct w:val="0"/>
        <w:autoSpaceDE/>
        <w:autoSpaceDN/>
        <w:bidi w:val="0"/>
        <w:snapToGrid/>
        <w:spacing w:before="157" w:beforeLines="50" w:after="157" w:afterLines="50" w:line="360" w:lineRule="exact"/>
        <w:ind w:firstLine="0" w:firstLineChars="0"/>
        <w:textAlignment w:val="auto"/>
        <w:outlineLvl w:val="1"/>
        <w:rPr>
          <w:rFonts w:hint="eastAsia" w:ascii="Times New Roman" w:hAnsi="Times New Roman" w:eastAsia="黑体" w:cstheme="minorBidi"/>
          <w:color w:val="auto"/>
          <w:kern w:val="2"/>
          <w:szCs w:val="21"/>
          <w:lang w:val="en-US" w:eastAsia="zh-CN"/>
        </w:rPr>
      </w:pPr>
      <w:bookmarkStart w:id="99" w:name="_Toc2018"/>
      <w:bookmarkStart w:id="100" w:name="_Toc8222"/>
      <w:bookmarkStart w:id="101" w:name="_Toc25319"/>
      <w:bookmarkStart w:id="102" w:name="_Toc17359"/>
      <w:bookmarkStart w:id="103" w:name="_Toc17370"/>
      <w:r>
        <w:rPr>
          <w:rFonts w:hint="eastAsia" w:ascii="Times New Roman" w:hAnsi="Times New Roman" w:eastAsia="黑体" w:cstheme="minorBidi"/>
          <w:color w:val="auto"/>
          <w:kern w:val="2"/>
          <w:szCs w:val="21"/>
        </w:rPr>
        <w:t>5.</w:t>
      </w:r>
      <w:r>
        <w:rPr>
          <w:rFonts w:hint="eastAsia" w:ascii="Times New Roman" w:eastAsia="黑体" w:cstheme="minorBidi"/>
          <w:color w:val="auto"/>
          <w:kern w:val="2"/>
          <w:szCs w:val="21"/>
          <w:lang w:val="en-US" w:eastAsia="zh-CN"/>
        </w:rPr>
        <w:t>1</w:t>
      </w:r>
      <w:r>
        <w:rPr>
          <w:rFonts w:hint="eastAsia" w:ascii="Times New Roman" w:hAnsi="Times New Roman" w:eastAsia="黑体" w:cstheme="minorBidi"/>
          <w:color w:val="auto"/>
          <w:kern w:val="2"/>
          <w:szCs w:val="21"/>
          <w:lang w:val="en-US" w:eastAsia="zh-CN"/>
        </w:rPr>
        <w:t>肝经火旺</w:t>
      </w:r>
      <w:r>
        <w:rPr>
          <w:rFonts w:hint="eastAsia" w:ascii="Times New Roman" w:hAnsi="Times New Roman" w:eastAsia="黑体" w:cstheme="minorBidi"/>
          <w:color w:val="auto"/>
          <w:kern w:val="2"/>
          <w:szCs w:val="21"/>
        </w:rPr>
        <w:t>证疗效评价</w:t>
      </w:r>
      <w:r>
        <w:rPr>
          <w:rFonts w:hint="eastAsia" w:ascii="Times New Roman" w:hAnsi="Times New Roman" w:eastAsia="黑体" w:cstheme="minorBidi"/>
          <w:color w:val="auto"/>
          <w:kern w:val="2"/>
          <w:szCs w:val="21"/>
          <w:lang w:val="en-US" w:eastAsia="zh-CN"/>
        </w:rPr>
        <w:t>量表</w:t>
      </w:r>
      <w:bookmarkEnd w:id="99"/>
      <w:bookmarkEnd w:id="100"/>
      <w:bookmarkEnd w:id="101"/>
      <w:bookmarkEnd w:id="102"/>
      <w:bookmarkEnd w:id="103"/>
    </w:p>
    <w:p w14:paraId="58F19FD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left="0" w:leftChars="0" w:firstLine="420" w:firstLineChars="200"/>
        <w:jc w:val="both"/>
        <w:textAlignment w:val="auto"/>
        <w:rPr>
          <w:rFonts w:hint="eastAsia" w:ascii="Times New Roman" w:hAnsi="Times New Roman" w:cs="Helvetica" w:eastAsiaTheme="minorEastAsia"/>
          <w:color w:val="auto"/>
          <w:kern w:val="0"/>
          <w:sz w:val="21"/>
          <w:szCs w:val="21"/>
          <w:lang w:val="en-US" w:eastAsia="zh-CN" w:bidi="ar-SA"/>
        </w:rPr>
      </w:pPr>
      <w:r>
        <w:rPr>
          <w:rFonts w:hint="eastAsia" w:ascii="Times New Roman" w:hAnsi="Times New Roman" w:cs="Helvetica" w:eastAsiaTheme="minorEastAsia"/>
          <w:i w:val="0"/>
          <w:iCs w:val="0"/>
          <w:caps w:val="0"/>
          <w:color w:val="auto"/>
          <w:spacing w:val="0"/>
          <w:kern w:val="0"/>
          <w:sz w:val="21"/>
          <w:szCs w:val="21"/>
          <w:shd w:val="clear"/>
        </w:rPr>
        <w:t>肝经火旺证疗效评价量表</w:t>
      </w:r>
      <w:r>
        <w:rPr>
          <w:rFonts w:hint="eastAsia" w:ascii="Times New Roman" w:hAnsi="Times New Roman" w:cs="Helvetica" w:eastAsiaTheme="minorEastAsia"/>
          <w:i w:val="0"/>
          <w:iCs w:val="0"/>
          <w:caps w:val="0"/>
          <w:color w:val="auto"/>
          <w:spacing w:val="0"/>
          <w:kern w:val="0"/>
          <w:sz w:val="21"/>
          <w:szCs w:val="21"/>
          <w:shd w:val="clear"/>
          <w:lang w:val="en-US" w:eastAsia="zh-CN"/>
        </w:rPr>
        <w:t>中</w:t>
      </w:r>
      <w:r>
        <w:rPr>
          <w:rFonts w:hint="eastAsia" w:ascii="Times New Roman" w:hAnsi="Times New Roman" w:cs="Helvetica" w:eastAsiaTheme="minorEastAsia"/>
          <w:i w:val="0"/>
          <w:iCs w:val="0"/>
          <w:caps w:val="0"/>
          <w:color w:val="auto"/>
          <w:spacing w:val="0"/>
          <w:kern w:val="0"/>
          <w:sz w:val="21"/>
          <w:szCs w:val="21"/>
          <w:shd w:val="clear"/>
        </w:rPr>
        <w:t>，</w:t>
      </w:r>
      <w:r>
        <w:rPr>
          <w:rFonts w:hint="eastAsia" w:ascii="Times New Roman" w:hAnsi="Times New Roman" w:cs="Helvetica" w:eastAsiaTheme="minorEastAsia"/>
          <w:i w:val="0"/>
          <w:iCs w:val="0"/>
          <w:caps w:val="0"/>
          <w:color w:val="auto"/>
          <w:spacing w:val="0"/>
          <w:kern w:val="0"/>
          <w:sz w:val="21"/>
          <w:szCs w:val="21"/>
          <w:shd w:val="clear"/>
          <w:lang w:val="en-US" w:eastAsia="zh-CN"/>
        </w:rPr>
        <w:t>主要疗效评价指标按照</w:t>
      </w:r>
      <w:r>
        <w:rPr>
          <w:rFonts w:hint="eastAsia" w:cs="Helvetica"/>
          <w:i w:val="0"/>
          <w:iCs w:val="0"/>
          <w:caps w:val="0"/>
          <w:color w:val="auto"/>
          <w:spacing w:val="0"/>
          <w:kern w:val="0"/>
          <w:sz w:val="21"/>
          <w:szCs w:val="21"/>
          <w:shd w:val="clear"/>
          <w:lang w:val="en-US" w:eastAsia="zh-CN"/>
        </w:rPr>
        <w:t>“</w:t>
      </w:r>
      <w:r>
        <w:rPr>
          <w:rFonts w:hint="eastAsia" w:ascii="Times New Roman" w:hAnsi="Times New Roman" w:cs="Helvetica" w:eastAsiaTheme="minorEastAsia"/>
          <w:i w:val="0"/>
          <w:iCs w:val="0"/>
          <w:caps w:val="0"/>
          <w:color w:val="auto"/>
          <w:spacing w:val="0"/>
          <w:kern w:val="0"/>
          <w:sz w:val="21"/>
          <w:szCs w:val="21"/>
          <w:shd w:val="clear"/>
          <w:lang w:val="en-US" w:eastAsia="zh-CN"/>
        </w:rPr>
        <w:t>0</w:t>
      </w:r>
      <w:r>
        <w:rPr>
          <w:rFonts w:hint="eastAsia" w:cs="Helvetica"/>
          <w:i w:val="0"/>
          <w:iCs w:val="0"/>
          <w:caps w:val="0"/>
          <w:color w:val="auto"/>
          <w:spacing w:val="0"/>
          <w:kern w:val="0"/>
          <w:sz w:val="21"/>
          <w:szCs w:val="21"/>
          <w:shd w:val="clear"/>
          <w:lang w:val="en-US" w:eastAsia="zh-CN"/>
        </w:rPr>
        <w:t>分</w:t>
      </w:r>
      <w:r>
        <w:rPr>
          <w:rFonts w:hint="eastAsia" w:ascii="Times New Roman" w:hAnsi="Times New Roman" w:cs="Helvetica" w:eastAsiaTheme="minorEastAsia"/>
          <w:i w:val="0"/>
          <w:iCs w:val="0"/>
          <w:caps w:val="0"/>
          <w:color w:val="auto"/>
          <w:spacing w:val="0"/>
          <w:kern w:val="0"/>
          <w:sz w:val="21"/>
          <w:szCs w:val="21"/>
          <w:shd w:val="clear"/>
          <w:lang w:val="en-US" w:eastAsia="zh-CN"/>
        </w:rPr>
        <w:t>、2</w:t>
      </w:r>
      <w:r>
        <w:rPr>
          <w:rFonts w:hint="eastAsia" w:cs="Helvetica"/>
          <w:i w:val="0"/>
          <w:iCs w:val="0"/>
          <w:caps w:val="0"/>
          <w:color w:val="auto"/>
          <w:spacing w:val="0"/>
          <w:kern w:val="0"/>
          <w:sz w:val="21"/>
          <w:szCs w:val="21"/>
          <w:shd w:val="clear"/>
          <w:lang w:val="en-US" w:eastAsia="zh-CN"/>
        </w:rPr>
        <w:t>分</w:t>
      </w:r>
      <w:r>
        <w:rPr>
          <w:rFonts w:hint="eastAsia" w:ascii="Times New Roman" w:hAnsi="Times New Roman" w:cs="Helvetica" w:eastAsiaTheme="minorEastAsia"/>
          <w:i w:val="0"/>
          <w:iCs w:val="0"/>
          <w:caps w:val="0"/>
          <w:color w:val="auto"/>
          <w:spacing w:val="0"/>
          <w:kern w:val="0"/>
          <w:sz w:val="21"/>
          <w:szCs w:val="21"/>
          <w:shd w:val="clear"/>
          <w:lang w:val="en-US" w:eastAsia="zh-CN"/>
        </w:rPr>
        <w:t>、4</w:t>
      </w:r>
      <w:r>
        <w:rPr>
          <w:rFonts w:hint="eastAsia" w:cs="Helvetica"/>
          <w:i w:val="0"/>
          <w:iCs w:val="0"/>
          <w:caps w:val="0"/>
          <w:color w:val="auto"/>
          <w:spacing w:val="0"/>
          <w:kern w:val="0"/>
          <w:sz w:val="21"/>
          <w:szCs w:val="21"/>
          <w:shd w:val="clear"/>
          <w:lang w:val="en-US" w:eastAsia="zh-CN"/>
        </w:rPr>
        <w:t>分</w:t>
      </w:r>
      <w:r>
        <w:rPr>
          <w:rFonts w:hint="eastAsia" w:ascii="Times New Roman" w:hAnsi="Times New Roman" w:cs="Helvetica" w:eastAsiaTheme="minorEastAsia"/>
          <w:i w:val="0"/>
          <w:iCs w:val="0"/>
          <w:caps w:val="0"/>
          <w:color w:val="auto"/>
          <w:spacing w:val="0"/>
          <w:kern w:val="0"/>
          <w:sz w:val="21"/>
          <w:szCs w:val="21"/>
          <w:shd w:val="clear"/>
          <w:lang w:val="en-US" w:eastAsia="zh-CN"/>
        </w:rPr>
        <w:t>、6</w:t>
      </w:r>
      <w:r>
        <w:rPr>
          <w:rFonts w:hint="eastAsia" w:cs="Helvetica"/>
          <w:i w:val="0"/>
          <w:iCs w:val="0"/>
          <w:caps w:val="0"/>
          <w:color w:val="auto"/>
          <w:spacing w:val="0"/>
          <w:kern w:val="0"/>
          <w:sz w:val="21"/>
          <w:szCs w:val="21"/>
          <w:shd w:val="clear"/>
          <w:lang w:val="en-US" w:eastAsia="zh-CN"/>
        </w:rPr>
        <w:t>分”</w:t>
      </w:r>
      <w:r>
        <w:rPr>
          <w:rFonts w:hint="eastAsia" w:ascii="Times New Roman" w:hAnsi="Times New Roman" w:cs="Helvetica" w:eastAsiaTheme="minorEastAsia"/>
          <w:i w:val="0"/>
          <w:iCs w:val="0"/>
          <w:caps w:val="0"/>
          <w:color w:val="auto"/>
          <w:spacing w:val="0"/>
          <w:kern w:val="0"/>
          <w:sz w:val="21"/>
          <w:szCs w:val="21"/>
          <w:shd w:val="clear"/>
          <w:lang w:val="en-US" w:eastAsia="zh-CN"/>
        </w:rPr>
        <w:t>分级评分，次要疗效评价指标按照“有：1</w:t>
      </w:r>
      <w:r>
        <w:rPr>
          <w:rFonts w:hint="eastAsia" w:cs="Helvetica"/>
          <w:i w:val="0"/>
          <w:iCs w:val="0"/>
          <w:caps w:val="0"/>
          <w:color w:val="auto"/>
          <w:spacing w:val="0"/>
          <w:kern w:val="0"/>
          <w:sz w:val="21"/>
          <w:szCs w:val="21"/>
          <w:shd w:val="clear"/>
          <w:lang w:val="en-US" w:eastAsia="zh-CN"/>
        </w:rPr>
        <w:t>分</w:t>
      </w:r>
      <w:r>
        <w:rPr>
          <w:rFonts w:hint="eastAsia" w:ascii="Times New Roman" w:hAnsi="Times New Roman" w:cs="Helvetica" w:eastAsiaTheme="minorEastAsia"/>
          <w:i w:val="0"/>
          <w:iCs w:val="0"/>
          <w:caps w:val="0"/>
          <w:color w:val="auto"/>
          <w:spacing w:val="0"/>
          <w:kern w:val="0"/>
          <w:sz w:val="21"/>
          <w:szCs w:val="21"/>
          <w:shd w:val="clear"/>
          <w:lang w:val="en-US" w:eastAsia="zh-CN"/>
        </w:rPr>
        <w:t>，无：0</w:t>
      </w:r>
      <w:r>
        <w:rPr>
          <w:rFonts w:hint="eastAsia" w:cs="Helvetica"/>
          <w:i w:val="0"/>
          <w:iCs w:val="0"/>
          <w:caps w:val="0"/>
          <w:color w:val="auto"/>
          <w:spacing w:val="0"/>
          <w:kern w:val="0"/>
          <w:sz w:val="21"/>
          <w:szCs w:val="21"/>
          <w:shd w:val="clear"/>
          <w:lang w:val="en-US" w:eastAsia="zh-CN"/>
        </w:rPr>
        <w:t>分</w:t>
      </w:r>
      <w:r>
        <w:rPr>
          <w:rFonts w:hint="eastAsia" w:ascii="Times New Roman" w:hAnsi="Times New Roman" w:cs="Helvetica" w:eastAsiaTheme="minorEastAsia"/>
          <w:i w:val="0"/>
          <w:iCs w:val="0"/>
          <w:caps w:val="0"/>
          <w:color w:val="auto"/>
          <w:spacing w:val="0"/>
          <w:kern w:val="0"/>
          <w:sz w:val="21"/>
          <w:szCs w:val="21"/>
          <w:shd w:val="clear"/>
          <w:lang w:val="en-US" w:eastAsia="zh-CN"/>
        </w:rPr>
        <w:t>”评分，舌脉指标不计分，</w:t>
      </w:r>
      <w:r>
        <w:rPr>
          <w:rFonts w:hint="eastAsia" w:ascii="Times New Roman" w:hAnsi="Times New Roman" w:cs="Helvetica" w:eastAsiaTheme="minorEastAsia"/>
          <w:i w:val="0"/>
          <w:iCs w:val="0"/>
          <w:caps w:val="0"/>
          <w:color w:val="auto"/>
          <w:spacing w:val="0"/>
          <w:kern w:val="0"/>
          <w:sz w:val="21"/>
          <w:szCs w:val="21"/>
          <w:shd w:val="clear"/>
        </w:rPr>
        <w:t>具体内容见</w:t>
      </w:r>
      <w:r>
        <w:rPr>
          <w:rFonts w:hint="eastAsia" w:ascii="Times New Roman" w:hAnsi="Times New Roman" w:cs="Helvetica" w:eastAsiaTheme="minorEastAsia"/>
          <w:i w:val="0"/>
          <w:iCs w:val="0"/>
          <w:caps w:val="0"/>
          <w:color w:val="auto"/>
          <w:spacing w:val="0"/>
          <w:kern w:val="0"/>
          <w:sz w:val="21"/>
          <w:szCs w:val="21"/>
          <w:shd w:val="clear"/>
          <w:lang w:val="en-US"/>
        </w:rPr>
        <w:fldChar w:fldCharType="begin"/>
      </w:r>
      <w:r>
        <w:rPr>
          <w:rFonts w:hint="eastAsia" w:cs="Helvetica"/>
          <w:color w:val="auto"/>
          <w:kern w:val="0"/>
          <w:sz w:val="21"/>
          <w:szCs w:val="21"/>
        </w:rPr>
        <w:instrText xml:space="preserve"> REF _Ref18904 \h  \* MERGEFORMAT</w:instrText>
      </w:r>
      <w:r>
        <w:rPr>
          <w:rFonts w:hint="eastAsia" w:ascii="Times New Roman" w:hAnsi="Times New Roman" w:cs="Helvetica" w:eastAsiaTheme="minorEastAsia"/>
          <w:i w:val="0"/>
          <w:iCs w:val="0"/>
          <w:caps w:val="0"/>
          <w:color w:val="auto"/>
          <w:spacing w:val="0"/>
          <w:kern w:val="0"/>
          <w:sz w:val="21"/>
          <w:szCs w:val="21"/>
          <w:shd w:val="clear"/>
          <w:lang w:val="en-US"/>
        </w:rPr>
        <w:fldChar w:fldCharType="separate"/>
      </w:r>
      <w:r>
        <w:rPr>
          <w:rFonts w:hint="eastAsia" w:cs="Helvetica" w:eastAsiaTheme="minorEastAsia"/>
          <w:color w:val="auto"/>
          <w:kern w:val="0"/>
          <w:sz w:val="21"/>
          <w:szCs w:val="21"/>
        </w:rPr>
        <w:t>表 2</w:t>
      </w:r>
      <w:r>
        <w:rPr>
          <w:rFonts w:hint="eastAsia" w:ascii="Times New Roman" w:hAnsi="Times New Roman" w:cs="Helvetica" w:eastAsiaTheme="minorEastAsia"/>
          <w:i w:val="0"/>
          <w:iCs w:val="0"/>
          <w:caps w:val="0"/>
          <w:color w:val="auto"/>
          <w:spacing w:val="0"/>
          <w:kern w:val="0"/>
          <w:sz w:val="21"/>
          <w:szCs w:val="21"/>
          <w:shd w:val="clear"/>
          <w:lang w:val="en-US"/>
        </w:rPr>
        <w:fldChar w:fldCharType="end"/>
      </w:r>
      <w:r>
        <w:rPr>
          <w:rFonts w:hint="eastAsia" w:ascii="Times New Roman" w:hAnsi="Times New Roman" w:cs="Helvetica" w:eastAsiaTheme="minorEastAsia"/>
          <w:i w:val="0"/>
          <w:iCs w:val="0"/>
          <w:caps w:val="0"/>
          <w:color w:val="auto"/>
          <w:spacing w:val="0"/>
          <w:kern w:val="0"/>
          <w:sz w:val="21"/>
          <w:szCs w:val="21"/>
          <w:shd w:val="clear"/>
        </w:rPr>
        <w:t>。</w:t>
      </w:r>
    </w:p>
    <w:p w14:paraId="29F8107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left="0" w:leftChars="0" w:firstLine="0" w:firstLineChars="0"/>
        <w:jc w:val="center"/>
        <w:textAlignment w:val="auto"/>
        <w:rPr>
          <w:rFonts w:hint="eastAsia" w:ascii="Times New Roman" w:hAnsi="Times New Roman" w:eastAsia="宋体" w:cs="宋体"/>
          <w:color w:val="000000"/>
          <w:kern w:val="2"/>
          <w:sz w:val="20"/>
          <w:szCs w:val="20"/>
          <w:lang w:val="en-US" w:eastAsia="zh-CN" w:bidi="ar-SA"/>
        </w:rPr>
      </w:pPr>
      <w:bookmarkStart w:id="104" w:name="_Ref18904"/>
      <w:r>
        <w:rPr>
          <w:rFonts w:hint="eastAsia" w:eastAsia="宋体" w:cs="宋体"/>
          <w:color w:val="000000"/>
          <w:sz w:val="20"/>
          <w:szCs w:val="20"/>
        </w:rPr>
        <w:t xml:space="preserve">表 </w:t>
      </w:r>
      <w:r>
        <w:rPr>
          <w:rFonts w:hint="eastAsia" w:eastAsia="宋体" w:cs="宋体"/>
          <w:color w:val="000000"/>
          <w:sz w:val="20"/>
          <w:szCs w:val="20"/>
        </w:rPr>
        <w:fldChar w:fldCharType="begin"/>
      </w:r>
      <w:r>
        <w:rPr>
          <w:rFonts w:hint="eastAsia" w:eastAsia="宋体" w:cs="宋体"/>
          <w:color w:val="000000"/>
          <w:sz w:val="20"/>
          <w:szCs w:val="20"/>
        </w:rPr>
        <w:instrText xml:space="preserve"> SEQ 表 \* ARABIC </w:instrText>
      </w:r>
      <w:r>
        <w:rPr>
          <w:rFonts w:hint="eastAsia" w:eastAsia="宋体" w:cs="宋体"/>
          <w:color w:val="000000"/>
          <w:sz w:val="20"/>
          <w:szCs w:val="20"/>
        </w:rPr>
        <w:fldChar w:fldCharType="separate"/>
      </w:r>
      <w:r>
        <w:rPr>
          <w:rFonts w:hint="eastAsia" w:eastAsia="宋体" w:cs="宋体"/>
          <w:color w:val="000000"/>
          <w:sz w:val="20"/>
          <w:szCs w:val="20"/>
        </w:rPr>
        <w:t>2</w:t>
      </w:r>
      <w:r>
        <w:rPr>
          <w:rFonts w:hint="eastAsia" w:eastAsia="宋体" w:cs="宋体"/>
          <w:color w:val="000000"/>
          <w:sz w:val="20"/>
          <w:szCs w:val="20"/>
        </w:rPr>
        <w:fldChar w:fldCharType="end"/>
      </w:r>
      <w:bookmarkEnd w:id="104"/>
      <w:r>
        <w:rPr>
          <w:rFonts w:hint="eastAsia" w:eastAsia="宋体" w:cs="宋体"/>
          <w:color w:val="000000"/>
          <w:sz w:val="20"/>
          <w:szCs w:val="20"/>
          <w:lang w:val="en-US" w:eastAsia="zh-CN"/>
        </w:rPr>
        <w:t xml:space="preserve"> </w:t>
      </w:r>
      <w:r>
        <w:rPr>
          <w:rFonts w:hint="eastAsia" w:ascii="Times New Roman" w:hAnsi="Times New Roman" w:eastAsia="宋体" w:cs="宋体"/>
          <w:color w:val="000000"/>
          <w:kern w:val="2"/>
          <w:sz w:val="20"/>
          <w:szCs w:val="20"/>
          <w:lang w:val="en-US" w:eastAsia="zh-CN" w:bidi="ar-SA"/>
        </w:rPr>
        <w:t>肝经火旺证疗效评价量表</w:t>
      </w:r>
    </w:p>
    <w:tbl>
      <w:tblPr>
        <w:tblStyle w:val="22"/>
        <w:tblW w:w="0" w:type="auto"/>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1129"/>
        <w:gridCol w:w="2268"/>
        <w:gridCol w:w="4905"/>
      </w:tblGrid>
      <w:tr w14:paraId="6D4AAA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tcBorders>
              <w:tl2br w:val="nil"/>
              <w:tr2bl w:val="nil"/>
            </w:tcBorders>
            <w:shd w:val="clear" w:color="auto" w:fill="FFFFFF"/>
          </w:tcPr>
          <w:p w14:paraId="56C61A9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firstLine="0" w:firstLineChars="0"/>
              <w:jc w:val="center"/>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Helvetica"/>
                <w:b w:val="0"/>
                <w:color w:val="000000"/>
                <w:kern w:val="0"/>
                <w:sz w:val="21"/>
                <w:szCs w:val="21"/>
              </w:rPr>
              <w:t>条目类型</w:t>
            </w:r>
          </w:p>
        </w:tc>
        <w:tc>
          <w:tcPr>
            <w:tcW w:w="2268" w:type="dxa"/>
            <w:tcBorders>
              <w:tl2br w:val="nil"/>
              <w:tr2bl w:val="nil"/>
            </w:tcBorders>
            <w:shd w:val="clear" w:color="auto" w:fill="FFFFFF"/>
          </w:tcPr>
          <w:p w14:paraId="5B5AF0FA">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firstLine="0" w:firstLineChars="0"/>
              <w:jc w:val="center"/>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Helvetica"/>
                <w:b w:val="0"/>
                <w:color w:val="000000"/>
                <w:kern w:val="0"/>
                <w:sz w:val="21"/>
                <w:szCs w:val="21"/>
              </w:rPr>
              <w:t>条目内容</w:t>
            </w:r>
          </w:p>
        </w:tc>
        <w:tc>
          <w:tcPr>
            <w:tcW w:w="4905" w:type="dxa"/>
            <w:tcBorders>
              <w:tl2br w:val="nil"/>
              <w:tr2bl w:val="nil"/>
            </w:tcBorders>
            <w:shd w:val="clear" w:color="auto" w:fill="FFFFFF"/>
          </w:tcPr>
          <w:p w14:paraId="51352CE1">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firstLine="0" w:firstLineChars="0"/>
              <w:jc w:val="center"/>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Helvetica"/>
                <w:b w:val="0"/>
                <w:color w:val="000000"/>
                <w:kern w:val="0"/>
                <w:sz w:val="21"/>
                <w:szCs w:val="21"/>
              </w:rPr>
              <w:t>选项评分</w:t>
            </w:r>
          </w:p>
        </w:tc>
      </w:tr>
      <w:tr w14:paraId="4410C03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restart"/>
            <w:tcBorders>
              <w:tl2br w:val="nil"/>
              <w:tr2bl w:val="nil"/>
            </w:tcBorders>
            <w:shd w:val="clear" w:color="auto" w:fill="FFFFFF"/>
            <w:vAlign w:val="center"/>
          </w:tcPr>
          <w:p w14:paraId="08637313">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default" w:ascii="Times New Roman" w:hAnsi="Times New Roman" w:eastAsia="宋体" w:cs="Helvetica"/>
                <w:b w:val="0"/>
                <w:color w:val="000000"/>
                <w:kern w:val="0"/>
                <w:sz w:val="21"/>
                <w:szCs w:val="21"/>
                <w:lang w:val="en-US" w:eastAsia="zh-CN"/>
              </w:rPr>
            </w:pPr>
            <w:r>
              <w:rPr>
                <w:rFonts w:hint="eastAsia" w:ascii="Times New Roman" w:hAnsi="Times New Roman" w:eastAsia="宋体" w:cs="Helvetica"/>
                <w:b w:val="0"/>
                <w:color w:val="000000"/>
                <w:kern w:val="0"/>
                <w:sz w:val="21"/>
                <w:szCs w:val="21"/>
              </w:rPr>
              <w:t>主</w:t>
            </w:r>
            <w:r>
              <w:rPr>
                <w:rFonts w:hint="eastAsia" w:eastAsia="宋体" w:cs="Helvetica"/>
                <w:b w:val="0"/>
                <w:color w:val="000000"/>
                <w:kern w:val="0"/>
                <w:sz w:val="21"/>
                <w:szCs w:val="21"/>
                <w:lang w:val="en-US" w:eastAsia="zh-CN"/>
              </w:rPr>
              <w:t>要疗效评价指标</w:t>
            </w:r>
          </w:p>
        </w:tc>
        <w:tc>
          <w:tcPr>
            <w:tcW w:w="2268" w:type="dxa"/>
            <w:vMerge w:val="restart"/>
            <w:tcBorders>
              <w:tl2br w:val="nil"/>
              <w:tr2bl w:val="nil"/>
            </w:tcBorders>
            <w:shd w:val="clear" w:color="auto" w:fill="FFFFFF"/>
            <w:vAlign w:val="center"/>
          </w:tcPr>
          <w:p w14:paraId="76DE46E7">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t>感觉单侧或双侧胁肋部胀满不舒或疼痛的程度。</w:t>
            </w:r>
          </w:p>
        </w:tc>
        <w:tc>
          <w:tcPr>
            <w:tcW w:w="4905" w:type="dxa"/>
            <w:tcBorders>
              <w:tl2br w:val="nil"/>
              <w:tr2bl w:val="nil"/>
            </w:tcBorders>
            <w:shd w:val="clear" w:color="auto" w:fill="FFFFFF"/>
            <w:vAlign w:val="top"/>
          </w:tcPr>
          <w:p w14:paraId="1AAFB3FA">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drawing>
                <wp:anchor distT="0" distB="0" distL="114300" distR="114300" simplePos="0" relativeHeight="251662336" behindDoc="1" locked="0" layoutInCell="1" allowOverlap="1">
                  <wp:simplePos x="0" y="0"/>
                  <wp:positionH relativeFrom="column">
                    <wp:posOffset>-64135</wp:posOffset>
                  </wp:positionH>
                  <wp:positionV relativeFrom="paragraph">
                    <wp:posOffset>-19050</wp:posOffset>
                  </wp:positionV>
                  <wp:extent cx="1762125" cy="387985"/>
                  <wp:effectExtent l="0" t="0" r="3175" b="5715"/>
                  <wp:wrapTight wrapText="bothSides">
                    <wp:wrapPolygon>
                      <wp:start x="0" y="0"/>
                      <wp:lineTo x="0" y="21211"/>
                      <wp:lineTo x="21483" y="21211"/>
                      <wp:lineTo x="21483"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rcRect l="4868" t="11356" r="5308" b="12542"/>
                          <a:stretch>
                            <a:fillRect/>
                          </a:stretch>
                        </pic:blipFill>
                        <pic:spPr>
                          <a:xfrm>
                            <a:off x="0" y="0"/>
                            <a:ext cx="1762125" cy="387985"/>
                          </a:xfrm>
                          <a:prstGeom prst="rect">
                            <a:avLst/>
                          </a:prstGeom>
                          <a:noFill/>
                          <a:ln>
                            <a:noFill/>
                          </a:ln>
                        </pic:spPr>
                      </pic:pic>
                    </a:graphicData>
                  </a:graphic>
                </wp:anchor>
              </w:drawing>
            </w:r>
            <w:r>
              <w:rPr>
                <w:rFonts w:hint="eastAsia" w:ascii="Times New Roman" w:hAnsi="Times New Roman" w:eastAsia="宋体" w:cs="宋体"/>
                <w:b w:val="0"/>
                <w:color w:val="000000"/>
                <w:sz w:val="20"/>
                <w:szCs w:val="20"/>
              </w:rPr>
              <w:t>请患者勾选</w:t>
            </w:r>
          </w:p>
        </w:tc>
      </w:tr>
      <w:tr w14:paraId="75B6FF1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0C39678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3AE79261">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766EEB0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0：0无胀满疼痛感；</w:t>
            </w:r>
          </w:p>
        </w:tc>
      </w:tr>
      <w:tr w14:paraId="0BC877D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33DCC1C8">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7E27D7A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2EAE1CF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eastAsia="宋体" w:cs="宋体"/>
                <w:b w:val="0"/>
                <w:color w:val="000000"/>
                <w:sz w:val="20"/>
                <w:szCs w:val="20"/>
                <w:lang w:val="en-US" w:eastAsia="zh-CN"/>
              </w:rPr>
              <w:t>2</w:t>
            </w:r>
            <w:r>
              <w:rPr>
                <w:rFonts w:hint="eastAsia" w:ascii="Times New Roman" w:hAnsi="Times New Roman" w:eastAsia="宋体" w:cs="宋体"/>
                <w:b w:val="0"/>
                <w:color w:val="000000"/>
                <w:sz w:val="20"/>
                <w:szCs w:val="20"/>
              </w:rPr>
              <w:t>：1-3轻微胀满，叹气时有所缓解，疼痛轻微，偶尔发生；</w:t>
            </w:r>
          </w:p>
        </w:tc>
      </w:tr>
      <w:tr w14:paraId="72CF62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08F6452E">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4C68675B">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4FED19F5">
            <w:pPr>
              <w:keepNext w:val="0"/>
              <w:keepLines w:val="0"/>
              <w:pageBreakBefore w:val="0"/>
              <w:widowControl w:val="0"/>
              <w:kinsoku/>
              <w:wordWrap/>
              <w:overflowPunct/>
              <w:topLinePunct w:val="0"/>
              <w:bidi w:val="0"/>
              <w:snapToGrid w:val="0"/>
              <w:spacing w:line="360" w:lineRule="exact"/>
              <w:ind w:firstLine="0" w:firstLineChars="0"/>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eastAsia="宋体" w:cs="宋体"/>
                <w:b w:val="0"/>
                <w:color w:val="000000"/>
                <w:sz w:val="20"/>
                <w:szCs w:val="20"/>
                <w:lang w:val="en-US" w:eastAsia="zh-CN"/>
              </w:rPr>
              <w:t>4</w:t>
            </w:r>
            <w:r>
              <w:rPr>
                <w:rFonts w:hint="eastAsia" w:ascii="Times New Roman" w:hAnsi="Times New Roman" w:eastAsia="宋体" w:cs="宋体"/>
                <w:b w:val="0"/>
                <w:color w:val="000000"/>
                <w:sz w:val="20"/>
                <w:szCs w:val="20"/>
              </w:rPr>
              <w:t>：4-7胀满不适，尚可忍受，疼痛明显，时作时止；</w:t>
            </w:r>
          </w:p>
        </w:tc>
      </w:tr>
      <w:tr w14:paraId="195367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20C7DCE2">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25B17AA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6495BC5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eastAsia="宋体" w:cs="宋体"/>
                <w:b w:val="0"/>
                <w:color w:val="000000"/>
                <w:sz w:val="20"/>
                <w:szCs w:val="20"/>
                <w:lang w:val="en-US" w:eastAsia="zh-CN"/>
              </w:rPr>
              <w:t>6</w:t>
            </w:r>
            <w:r>
              <w:rPr>
                <w:rFonts w:hint="eastAsia" w:ascii="Times New Roman" w:hAnsi="Times New Roman" w:eastAsia="宋体" w:cs="宋体"/>
                <w:b w:val="0"/>
                <w:color w:val="000000"/>
                <w:sz w:val="20"/>
                <w:szCs w:val="20"/>
              </w:rPr>
              <w:t>：8-10胀满明显，影响工作和生活，持续性疼痛</w:t>
            </w:r>
          </w:p>
        </w:tc>
      </w:tr>
      <w:tr w14:paraId="40D001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17A1CF15">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lang w:val="en-US" w:eastAsia="zh-CN"/>
              </w:rPr>
            </w:pPr>
          </w:p>
        </w:tc>
        <w:tc>
          <w:tcPr>
            <w:tcW w:w="2268" w:type="dxa"/>
            <w:vMerge w:val="restart"/>
            <w:tcBorders>
              <w:tl2br w:val="nil"/>
              <w:tr2bl w:val="nil"/>
            </w:tcBorders>
            <w:shd w:val="clear" w:color="auto" w:fill="FFFFFF"/>
            <w:vAlign w:val="center"/>
          </w:tcPr>
          <w:p w14:paraId="0E39D63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t>感觉烦躁易怒的程度。</w:t>
            </w:r>
          </w:p>
        </w:tc>
        <w:tc>
          <w:tcPr>
            <w:tcW w:w="4905" w:type="dxa"/>
            <w:tcBorders>
              <w:tl2br w:val="nil"/>
              <w:tr2bl w:val="nil"/>
            </w:tcBorders>
            <w:shd w:val="clear" w:color="auto" w:fill="FFFFFF"/>
          </w:tcPr>
          <w:p w14:paraId="75054903">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0：无烦躁易怒；</w:t>
            </w:r>
          </w:p>
        </w:tc>
      </w:tr>
      <w:tr w14:paraId="0318929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174489B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185A0A5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4905" w:type="dxa"/>
            <w:tcBorders>
              <w:tl2br w:val="nil"/>
              <w:tr2bl w:val="nil"/>
            </w:tcBorders>
            <w:shd w:val="clear" w:color="auto" w:fill="FFFFFF"/>
          </w:tcPr>
          <w:p w14:paraId="50D576A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2：偶轻微烦躁，稍作心理平息即可恢复，可伴有注意力分散；</w:t>
            </w:r>
          </w:p>
        </w:tc>
      </w:tr>
      <w:tr w14:paraId="11C0E5D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24FCF617">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7B3C1232">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4905" w:type="dxa"/>
            <w:tcBorders>
              <w:tl2br w:val="nil"/>
              <w:tr2bl w:val="nil"/>
            </w:tcBorders>
            <w:shd w:val="clear" w:color="auto" w:fill="FFFFFF"/>
          </w:tcPr>
          <w:p w14:paraId="3382266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4：心烦急躁，遇事易怒，需做深呼吸或放松活动方可控制，可伴有提高音量、心跳加速、出汗、焦虑、抑郁或自责情绪，工作效率下降；</w:t>
            </w:r>
          </w:p>
        </w:tc>
      </w:tr>
      <w:tr w14:paraId="25D1E7D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72A4B07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6B9AFD46">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4905" w:type="dxa"/>
            <w:tcBorders>
              <w:tl2br w:val="nil"/>
              <w:tr2bl w:val="nil"/>
            </w:tcBorders>
            <w:shd w:val="clear" w:color="auto" w:fill="FFFFFF"/>
          </w:tcPr>
          <w:p w14:paraId="4267992D">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6：心烦不安，勃然大怒，无法自控，可伴有讽刺或辱骂他人、摔打物品、肌肉紧绷、家庭冲突、朋友疏远或职场矛盾、学业或工作困难</w:t>
            </w:r>
          </w:p>
        </w:tc>
      </w:tr>
      <w:tr w14:paraId="656C5B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062A53D1">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restart"/>
            <w:tcBorders>
              <w:tl2br w:val="nil"/>
              <w:tr2bl w:val="nil"/>
            </w:tcBorders>
            <w:shd w:val="clear" w:color="auto" w:fill="FFFFFF"/>
            <w:vAlign w:val="center"/>
          </w:tcPr>
          <w:p w14:paraId="18BE3C7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t>感觉单目或双目红肿疼痛的程度。</w:t>
            </w:r>
          </w:p>
        </w:tc>
        <w:tc>
          <w:tcPr>
            <w:tcW w:w="4905" w:type="dxa"/>
            <w:tcBorders>
              <w:tl2br w:val="nil"/>
              <w:tr2bl w:val="nil"/>
            </w:tcBorders>
            <w:shd w:val="clear" w:color="auto" w:fill="FFFFFF"/>
          </w:tcPr>
          <w:p w14:paraId="3E122712">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drawing>
                <wp:anchor distT="0" distB="0" distL="114300" distR="114300" simplePos="0" relativeHeight="251661312" behindDoc="1" locked="0" layoutInCell="1" allowOverlap="1">
                  <wp:simplePos x="0" y="0"/>
                  <wp:positionH relativeFrom="column">
                    <wp:posOffset>-42545</wp:posOffset>
                  </wp:positionH>
                  <wp:positionV relativeFrom="paragraph">
                    <wp:posOffset>66040</wp:posOffset>
                  </wp:positionV>
                  <wp:extent cx="1762125" cy="387985"/>
                  <wp:effectExtent l="0" t="0" r="3175" b="5715"/>
                  <wp:wrapTight wrapText="bothSides">
                    <wp:wrapPolygon>
                      <wp:start x="0" y="0"/>
                      <wp:lineTo x="0" y="21211"/>
                      <wp:lineTo x="21483" y="21211"/>
                      <wp:lineTo x="21483" y="0"/>
                      <wp:lineTo x="0" y="0"/>
                    </wp:wrapPolygon>
                  </wp:wrapTight>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5"/>
                          <a:srcRect l="4868" t="11356" r="5308" b="12542"/>
                          <a:stretch>
                            <a:fillRect/>
                          </a:stretch>
                        </pic:blipFill>
                        <pic:spPr>
                          <a:xfrm>
                            <a:off x="0" y="0"/>
                            <a:ext cx="1762125" cy="387985"/>
                          </a:xfrm>
                          <a:prstGeom prst="rect">
                            <a:avLst/>
                          </a:prstGeom>
                          <a:noFill/>
                          <a:ln>
                            <a:noFill/>
                          </a:ln>
                        </pic:spPr>
                      </pic:pic>
                    </a:graphicData>
                  </a:graphic>
                </wp:anchor>
              </w:drawing>
            </w:r>
          </w:p>
          <w:p w14:paraId="239671BB">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t>请患者勾选</w:t>
            </w:r>
          </w:p>
        </w:tc>
      </w:tr>
      <w:tr w14:paraId="343FC8B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6D6D29D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038A31F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4905" w:type="dxa"/>
            <w:tcBorders>
              <w:tl2br w:val="nil"/>
              <w:tr2bl w:val="nil"/>
            </w:tcBorders>
            <w:shd w:val="clear" w:color="auto" w:fill="FFFFFF"/>
          </w:tcPr>
          <w:p w14:paraId="47785D73">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0：0无红肿疼痛；</w:t>
            </w:r>
          </w:p>
        </w:tc>
      </w:tr>
      <w:tr w14:paraId="7D3FA63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71073771">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1141439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4905" w:type="dxa"/>
            <w:tcBorders>
              <w:tl2br w:val="nil"/>
              <w:tr2bl w:val="nil"/>
            </w:tcBorders>
            <w:shd w:val="clear" w:color="auto" w:fill="FFFFFF"/>
          </w:tcPr>
          <w:p w14:paraId="2E1A05F6">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2：1-3结膜轻度充血，眼睑轻度肿胀，轻微疼痛，皮温升高，可忍受；</w:t>
            </w:r>
          </w:p>
        </w:tc>
      </w:tr>
      <w:tr w14:paraId="2F260E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6B04EF5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pPr>
          </w:p>
        </w:tc>
        <w:tc>
          <w:tcPr>
            <w:tcW w:w="2268" w:type="dxa"/>
            <w:vMerge w:val="continue"/>
            <w:tcBorders>
              <w:tl2br w:val="nil"/>
              <w:tr2bl w:val="nil"/>
            </w:tcBorders>
            <w:shd w:val="clear" w:color="auto" w:fill="FFFFFF"/>
            <w:vAlign w:val="center"/>
          </w:tcPr>
          <w:p w14:paraId="15CC832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pPr>
          </w:p>
        </w:tc>
        <w:tc>
          <w:tcPr>
            <w:tcW w:w="4905" w:type="dxa"/>
            <w:tcBorders>
              <w:tl2br w:val="nil"/>
              <w:tr2bl w:val="nil"/>
            </w:tcBorders>
            <w:shd w:val="clear" w:color="auto" w:fill="FFFFFF"/>
          </w:tcPr>
          <w:p w14:paraId="644ACDE7">
            <w:pPr>
              <w:keepNext w:val="0"/>
              <w:keepLines w:val="0"/>
              <w:pageBreakBefore w:val="0"/>
              <w:widowControl w:val="0"/>
              <w:kinsoku/>
              <w:wordWrap/>
              <w:overflowPunct/>
              <w:topLinePunct w:val="0"/>
              <w:bidi w:val="0"/>
              <w:snapToGrid w:val="0"/>
              <w:spacing w:line="360" w:lineRule="exact"/>
              <w:ind w:firstLine="0" w:firstLineChars="0"/>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4：4-7结膜充血明显，眼睑肿胀明显，疼痛明显，得凉即舒；</w:t>
            </w:r>
          </w:p>
        </w:tc>
      </w:tr>
      <w:tr w14:paraId="59A5D8E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6B43ABC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2268" w:type="dxa"/>
            <w:vMerge w:val="continue"/>
            <w:tcBorders>
              <w:tl2br w:val="nil"/>
              <w:tr2bl w:val="nil"/>
            </w:tcBorders>
            <w:shd w:val="clear" w:color="auto" w:fill="FFFFFF"/>
            <w:vAlign w:val="center"/>
          </w:tcPr>
          <w:p w14:paraId="0BBB766E">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tcPr>
          <w:p w14:paraId="703C693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6：8-10结膜弥漫充血，眼睑肿胀极显或有强烈疼痛感，灼热，不可忍受，影响生活和睡眠</w:t>
            </w:r>
          </w:p>
        </w:tc>
      </w:tr>
      <w:tr w14:paraId="78888D6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restart"/>
            <w:tcBorders>
              <w:tl2br w:val="nil"/>
              <w:tr2bl w:val="nil"/>
            </w:tcBorders>
            <w:shd w:val="clear" w:color="auto" w:fill="FFFFFF"/>
            <w:vAlign w:val="center"/>
          </w:tcPr>
          <w:p w14:paraId="32CE5A1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default" w:ascii="Times New Roman" w:hAnsi="Times New Roman" w:eastAsia="宋体" w:cs="Helvetica"/>
                <w:b w:val="0"/>
                <w:color w:val="000000"/>
                <w:kern w:val="0"/>
                <w:sz w:val="21"/>
                <w:szCs w:val="21"/>
                <w:lang w:val="en-US" w:eastAsia="zh-CN"/>
              </w:rPr>
            </w:pPr>
            <w:r>
              <w:rPr>
                <w:rFonts w:hint="eastAsia" w:eastAsia="宋体" w:cs="Helvetica"/>
                <w:b w:val="0"/>
                <w:color w:val="000000"/>
                <w:kern w:val="0"/>
                <w:sz w:val="21"/>
                <w:szCs w:val="21"/>
                <w:lang w:val="en-US" w:eastAsia="zh-CN"/>
              </w:rPr>
              <w:t>次要疗效评价指标</w:t>
            </w:r>
          </w:p>
        </w:tc>
        <w:tc>
          <w:tcPr>
            <w:tcW w:w="2268" w:type="dxa"/>
            <w:vMerge w:val="restart"/>
            <w:tcBorders>
              <w:tl2br w:val="nil"/>
              <w:tr2bl w:val="nil"/>
            </w:tcBorders>
            <w:shd w:val="clear" w:color="auto" w:fill="FFFFFF"/>
            <w:vAlign w:val="center"/>
          </w:tcPr>
          <w:p w14:paraId="688DA5F5">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lang w:eastAsia="zh-CN"/>
              </w:rPr>
            </w:pPr>
            <w:r>
              <w:rPr>
                <w:rFonts w:hint="eastAsia" w:ascii="Times New Roman" w:hAnsi="Times New Roman" w:eastAsia="宋体" w:cs="宋体"/>
                <w:b w:val="0"/>
                <w:color w:val="000000"/>
                <w:sz w:val="20"/>
                <w:szCs w:val="20"/>
              </w:rPr>
              <w:t>口苦</w:t>
            </w:r>
          </w:p>
        </w:tc>
        <w:tc>
          <w:tcPr>
            <w:tcW w:w="4905" w:type="dxa"/>
            <w:tcBorders>
              <w:tl2br w:val="nil"/>
              <w:tr2bl w:val="nil"/>
            </w:tcBorders>
            <w:shd w:val="clear" w:color="auto" w:fill="FFFFFF"/>
          </w:tcPr>
          <w:p w14:paraId="482F8C33">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0：无</w:t>
            </w:r>
          </w:p>
        </w:tc>
      </w:tr>
      <w:tr w14:paraId="3A93B8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4A9D5DD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2268" w:type="dxa"/>
            <w:vMerge w:val="continue"/>
            <w:tcBorders>
              <w:tl2br w:val="nil"/>
              <w:tr2bl w:val="nil"/>
            </w:tcBorders>
            <w:shd w:val="clear" w:color="auto" w:fill="FFFFFF"/>
            <w:vAlign w:val="center"/>
          </w:tcPr>
          <w:p w14:paraId="6FD808C7">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Helvetica"/>
                <w:b w:val="0"/>
                <w:color w:val="000000"/>
                <w:kern w:val="0"/>
                <w:sz w:val="21"/>
                <w:szCs w:val="21"/>
              </w:rPr>
            </w:pPr>
          </w:p>
        </w:tc>
        <w:tc>
          <w:tcPr>
            <w:tcW w:w="4905" w:type="dxa"/>
            <w:tcBorders>
              <w:tl2br w:val="nil"/>
              <w:tr2bl w:val="nil"/>
            </w:tcBorders>
            <w:shd w:val="clear" w:color="auto" w:fill="FFFFFF"/>
          </w:tcPr>
          <w:p w14:paraId="65CE519F">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lang w:eastAsia="zh-CN"/>
              </w:rPr>
            </w:pPr>
            <w:r>
              <w:rPr>
                <w:rFonts w:hint="eastAsia" w:ascii="Times New Roman" w:hAnsi="Times New Roman" w:eastAsia="宋体" w:cs="宋体"/>
                <w:b w:val="0"/>
                <w:color w:val="000000"/>
                <w:sz w:val="20"/>
                <w:szCs w:val="20"/>
              </w:rPr>
              <w:sym w:font="Wingdings 2" w:char="00A3"/>
            </w:r>
            <w:r>
              <w:rPr>
                <w:rFonts w:hint="eastAsia" w:eastAsia="宋体" w:cs="宋体"/>
                <w:b w:val="0"/>
                <w:color w:val="000000"/>
                <w:sz w:val="20"/>
                <w:szCs w:val="20"/>
                <w:lang w:val="en-US" w:eastAsia="zh-CN"/>
              </w:rPr>
              <w:t>1</w:t>
            </w:r>
            <w:r>
              <w:rPr>
                <w:rFonts w:hint="eastAsia" w:ascii="Times New Roman" w:hAnsi="Times New Roman" w:eastAsia="宋体" w:cs="宋体"/>
                <w:b w:val="0"/>
                <w:color w:val="000000"/>
                <w:sz w:val="20"/>
                <w:szCs w:val="20"/>
              </w:rPr>
              <w:t>：</w:t>
            </w:r>
            <w:r>
              <w:rPr>
                <w:rFonts w:hint="eastAsia" w:eastAsia="宋体" w:cs="宋体"/>
                <w:b w:val="0"/>
                <w:color w:val="000000"/>
                <w:sz w:val="20"/>
                <w:szCs w:val="20"/>
                <w:lang w:val="en-US" w:eastAsia="zh-CN"/>
              </w:rPr>
              <w:t>有</w:t>
            </w:r>
          </w:p>
        </w:tc>
      </w:tr>
      <w:tr w14:paraId="1564FA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09932C23">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2268" w:type="dxa"/>
            <w:vMerge w:val="restart"/>
            <w:tcBorders>
              <w:tl2br w:val="nil"/>
              <w:tr2bl w:val="nil"/>
            </w:tcBorders>
            <w:shd w:val="clear" w:color="auto" w:fill="FFFFFF"/>
            <w:vAlign w:val="center"/>
          </w:tcPr>
          <w:p w14:paraId="3F1D7307">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default" w:ascii="Times New Roman" w:hAnsi="Times New Roman" w:eastAsia="宋体" w:cs="宋体"/>
                <w:b w:val="0"/>
                <w:color w:val="000000"/>
                <w:sz w:val="20"/>
                <w:szCs w:val="20"/>
                <w:lang w:val="en-US" w:eastAsia="zh-CN"/>
              </w:rPr>
            </w:pPr>
            <w:r>
              <w:rPr>
                <w:rFonts w:hint="eastAsia" w:ascii="Times New Roman" w:hAnsi="Times New Roman" w:eastAsia="宋体" w:cs="宋体"/>
                <w:b w:val="0"/>
                <w:color w:val="000000"/>
                <w:sz w:val="20"/>
                <w:szCs w:val="20"/>
                <w:lang w:val="en-US" w:eastAsia="zh-CN"/>
              </w:rPr>
              <w:t>口干口渴</w:t>
            </w:r>
          </w:p>
        </w:tc>
        <w:tc>
          <w:tcPr>
            <w:tcW w:w="4905" w:type="dxa"/>
            <w:tcBorders>
              <w:tl2br w:val="nil"/>
              <w:tr2bl w:val="nil"/>
            </w:tcBorders>
            <w:shd w:val="clear" w:color="auto" w:fill="FFFFFF"/>
            <w:vAlign w:val="top"/>
          </w:tcPr>
          <w:p w14:paraId="3342C77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0：无</w:t>
            </w:r>
          </w:p>
        </w:tc>
      </w:tr>
      <w:tr w14:paraId="43437A7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2DE5B33B">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2268" w:type="dxa"/>
            <w:vMerge w:val="continue"/>
            <w:tcBorders>
              <w:tl2br w:val="nil"/>
              <w:tr2bl w:val="nil"/>
            </w:tcBorders>
            <w:shd w:val="clear" w:color="auto" w:fill="FFFFFF"/>
            <w:vAlign w:val="center"/>
          </w:tcPr>
          <w:p w14:paraId="5FB21A3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6A7E8C42">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lang w:eastAsia="zh-CN"/>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1：</w:t>
            </w:r>
            <w:r>
              <w:rPr>
                <w:rFonts w:hint="eastAsia" w:eastAsia="宋体" w:cs="宋体"/>
                <w:b w:val="0"/>
                <w:color w:val="000000"/>
                <w:sz w:val="20"/>
                <w:szCs w:val="20"/>
                <w:lang w:val="en-US" w:eastAsia="zh-CN"/>
              </w:rPr>
              <w:t>有</w:t>
            </w:r>
          </w:p>
        </w:tc>
      </w:tr>
      <w:tr w14:paraId="4F93541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35A4B6FE">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2268" w:type="dxa"/>
            <w:vMerge w:val="restart"/>
            <w:tcBorders>
              <w:tl2br w:val="nil"/>
              <w:tr2bl w:val="nil"/>
            </w:tcBorders>
            <w:shd w:val="clear" w:color="auto" w:fill="FFFFFF"/>
            <w:vAlign w:val="center"/>
          </w:tcPr>
          <w:p w14:paraId="43DE768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eastAsia="宋体" w:cs="宋体"/>
                <w:b w:val="0"/>
                <w:color w:val="000000"/>
                <w:sz w:val="20"/>
                <w:szCs w:val="20"/>
                <w:lang w:val="en-US" w:eastAsia="zh-CN"/>
              </w:rPr>
              <w:t>咽干</w:t>
            </w:r>
          </w:p>
        </w:tc>
        <w:tc>
          <w:tcPr>
            <w:tcW w:w="4905" w:type="dxa"/>
            <w:tcBorders>
              <w:tl2br w:val="nil"/>
              <w:tr2bl w:val="nil"/>
            </w:tcBorders>
            <w:shd w:val="clear" w:color="auto" w:fill="FFFFFF"/>
            <w:vAlign w:val="top"/>
          </w:tcPr>
          <w:p w14:paraId="6F924EF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0：无</w:t>
            </w:r>
          </w:p>
        </w:tc>
      </w:tr>
      <w:tr w14:paraId="05FF01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vAlign w:val="center"/>
          </w:tcPr>
          <w:p w14:paraId="470A5CBE">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2268" w:type="dxa"/>
            <w:vMerge w:val="continue"/>
            <w:tcBorders>
              <w:tl2br w:val="nil"/>
              <w:tr2bl w:val="nil"/>
            </w:tcBorders>
            <w:shd w:val="clear" w:color="auto" w:fill="FFFFFF"/>
            <w:vAlign w:val="center"/>
          </w:tcPr>
          <w:p w14:paraId="02D2C6F5">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21D0B1A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1：</w:t>
            </w:r>
            <w:r>
              <w:rPr>
                <w:rFonts w:hint="eastAsia" w:eastAsia="宋体" w:cs="宋体"/>
                <w:b w:val="0"/>
                <w:color w:val="000000"/>
                <w:sz w:val="20"/>
                <w:szCs w:val="20"/>
                <w:lang w:val="en-US" w:eastAsia="zh-CN"/>
              </w:rPr>
              <w:t>有</w:t>
            </w:r>
          </w:p>
        </w:tc>
      </w:tr>
      <w:tr w14:paraId="4F8E62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tcPr>
          <w:p w14:paraId="0813426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rPr>
            </w:pPr>
          </w:p>
        </w:tc>
        <w:tc>
          <w:tcPr>
            <w:tcW w:w="2268" w:type="dxa"/>
            <w:vMerge w:val="restart"/>
            <w:tcBorders>
              <w:tl2br w:val="nil"/>
              <w:tr2bl w:val="nil"/>
            </w:tcBorders>
            <w:shd w:val="clear" w:color="auto" w:fill="FFFFFF"/>
            <w:vAlign w:val="center"/>
          </w:tcPr>
          <w:p w14:paraId="78DE3668">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rPr>
            </w:pPr>
            <w:r>
              <w:rPr>
                <w:rFonts w:hint="eastAsia" w:ascii="Times New Roman" w:hAnsi="Times New Roman" w:eastAsia="宋体" w:cs="宋体"/>
                <w:b w:val="0"/>
                <w:color w:val="000000"/>
                <w:sz w:val="20"/>
                <w:szCs w:val="20"/>
                <w:lang w:val="en-US" w:eastAsia="zh-CN"/>
              </w:rPr>
              <w:t>大便干</w:t>
            </w:r>
          </w:p>
        </w:tc>
        <w:tc>
          <w:tcPr>
            <w:tcW w:w="4905" w:type="dxa"/>
            <w:tcBorders>
              <w:tl2br w:val="nil"/>
              <w:tr2bl w:val="nil"/>
            </w:tcBorders>
            <w:shd w:val="clear" w:color="auto" w:fill="FFFFFF"/>
            <w:vAlign w:val="top"/>
          </w:tcPr>
          <w:p w14:paraId="36CCB49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lang w:val="en-US" w:eastAsia="zh-CN"/>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0：无</w:t>
            </w:r>
          </w:p>
        </w:tc>
      </w:tr>
      <w:tr w14:paraId="5753E17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tcPr>
          <w:p w14:paraId="02993376">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rPr>
            </w:pPr>
          </w:p>
        </w:tc>
        <w:tc>
          <w:tcPr>
            <w:tcW w:w="2268" w:type="dxa"/>
            <w:vMerge w:val="continue"/>
            <w:tcBorders>
              <w:tl2br w:val="nil"/>
              <w:tr2bl w:val="nil"/>
            </w:tcBorders>
            <w:shd w:val="clear" w:color="auto" w:fill="FFFFFF"/>
          </w:tcPr>
          <w:p w14:paraId="2E95CB38">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rPr>
            </w:pPr>
          </w:p>
        </w:tc>
        <w:tc>
          <w:tcPr>
            <w:tcW w:w="4905" w:type="dxa"/>
            <w:tcBorders>
              <w:tl2br w:val="nil"/>
              <w:tr2bl w:val="nil"/>
            </w:tcBorders>
            <w:shd w:val="clear" w:color="auto" w:fill="FFFFFF"/>
            <w:vAlign w:val="top"/>
          </w:tcPr>
          <w:p w14:paraId="3FE8C703">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default" w:ascii="Times New Roman" w:hAnsi="Times New Roman" w:eastAsia="宋体" w:cs="宋体"/>
                <w:b w:val="0"/>
                <w:color w:val="000000"/>
                <w:sz w:val="20"/>
                <w:szCs w:val="20"/>
                <w:lang w:val="en-US" w:eastAsia="zh-CN"/>
              </w:rPr>
            </w:pPr>
            <w:r>
              <w:rPr>
                <w:rFonts w:hint="eastAsia" w:ascii="Times New Roman" w:hAnsi="Times New Roman" w:eastAsia="宋体" w:cs="宋体"/>
                <w:b w:val="0"/>
                <w:color w:val="000000"/>
                <w:sz w:val="20"/>
                <w:szCs w:val="20"/>
              </w:rPr>
              <w:sym w:font="Wingdings 2" w:char="00A3"/>
            </w:r>
            <w:r>
              <w:rPr>
                <w:rFonts w:hint="eastAsia" w:ascii="Times New Roman" w:hAnsi="Times New Roman" w:eastAsia="宋体" w:cs="宋体"/>
                <w:b w:val="0"/>
                <w:color w:val="000000"/>
                <w:sz w:val="20"/>
                <w:szCs w:val="20"/>
              </w:rPr>
              <w:t>1：</w:t>
            </w:r>
            <w:r>
              <w:rPr>
                <w:rFonts w:hint="eastAsia" w:eastAsia="宋体" w:cs="宋体"/>
                <w:b w:val="0"/>
                <w:color w:val="000000"/>
                <w:sz w:val="20"/>
                <w:szCs w:val="20"/>
                <w:lang w:val="en-US" w:eastAsia="zh-CN"/>
              </w:rPr>
              <w:t>有</w:t>
            </w:r>
          </w:p>
        </w:tc>
      </w:tr>
      <w:tr w14:paraId="75A4B0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restart"/>
            <w:tcBorders>
              <w:tl2br w:val="nil"/>
              <w:tr2bl w:val="nil"/>
            </w:tcBorders>
            <w:shd w:val="clear" w:color="auto" w:fill="FFFFFF"/>
            <w:vAlign w:val="center"/>
          </w:tcPr>
          <w:p w14:paraId="07B4382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center"/>
              <w:textAlignment w:val="auto"/>
              <w:rPr>
                <w:rFonts w:hint="eastAsia" w:ascii="Times New Roman" w:hAnsi="Times New Roman" w:eastAsia="宋体" w:cs="宋体"/>
                <w:b w:val="0"/>
                <w:color w:val="000000"/>
                <w:sz w:val="20"/>
                <w:szCs w:val="20"/>
                <w:lang w:val="en-US" w:eastAsia="zh-CN"/>
              </w:rPr>
            </w:pPr>
            <w:bookmarkStart w:id="105" w:name="_Toc29554"/>
            <w:r>
              <w:rPr>
                <w:rFonts w:hint="eastAsia" w:eastAsia="宋体" w:cs="Helvetica"/>
                <w:b w:val="0"/>
                <w:color w:val="000000"/>
                <w:kern w:val="0"/>
                <w:sz w:val="21"/>
                <w:szCs w:val="21"/>
                <w:lang w:val="en-US" w:eastAsia="zh-CN"/>
              </w:rPr>
              <w:t>参照舌脉</w:t>
            </w:r>
          </w:p>
        </w:tc>
        <w:tc>
          <w:tcPr>
            <w:tcW w:w="2268" w:type="dxa"/>
            <w:tcBorders>
              <w:tl2br w:val="nil"/>
              <w:tr2bl w:val="nil"/>
            </w:tcBorders>
            <w:shd w:val="clear" w:color="auto" w:fill="FFFFFF"/>
          </w:tcPr>
          <w:p w14:paraId="3026DF30">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lang w:val="en-US" w:eastAsia="zh-CN"/>
              </w:rPr>
            </w:pPr>
            <w:r>
              <w:rPr>
                <w:rFonts w:hint="eastAsia" w:eastAsia="宋体" w:cs="宋体"/>
                <w:b w:val="0"/>
                <w:color w:val="000000"/>
                <w:sz w:val="20"/>
                <w:szCs w:val="20"/>
                <w:lang w:val="en-US" w:eastAsia="zh-CN"/>
              </w:rPr>
              <w:t>舌红</w:t>
            </w:r>
          </w:p>
        </w:tc>
        <w:tc>
          <w:tcPr>
            <w:tcW w:w="4905" w:type="dxa"/>
            <w:tcBorders>
              <w:tl2br w:val="nil"/>
              <w:tr2bl w:val="nil"/>
            </w:tcBorders>
            <w:shd w:val="clear" w:color="auto" w:fill="FFFFFF"/>
            <w:vAlign w:val="top"/>
          </w:tcPr>
          <w:p w14:paraId="3E1ACA79">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lang w:val="en-US" w:eastAsia="zh-CN"/>
              </w:rPr>
            </w:pPr>
            <w:r>
              <w:rPr>
                <w:rFonts w:hint="eastAsia" w:eastAsia="宋体" w:cs="宋体"/>
                <w:b w:val="0"/>
                <w:color w:val="000000"/>
                <w:sz w:val="20"/>
                <w:szCs w:val="20"/>
                <w:lang w:val="en-US" w:eastAsia="zh-CN"/>
              </w:rPr>
              <w:t>不计分</w:t>
            </w:r>
          </w:p>
        </w:tc>
      </w:tr>
      <w:tr w14:paraId="035B164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tcPr>
          <w:p w14:paraId="092B787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rPr>
            </w:pPr>
          </w:p>
        </w:tc>
        <w:tc>
          <w:tcPr>
            <w:tcW w:w="2268" w:type="dxa"/>
            <w:tcBorders>
              <w:tl2br w:val="nil"/>
              <w:tr2bl w:val="nil"/>
            </w:tcBorders>
            <w:shd w:val="clear" w:color="auto" w:fill="FFFFFF"/>
          </w:tcPr>
          <w:p w14:paraId="09AFC60D">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default" w:ascii="Times New Roman" w:hAnsi="Times New Roman" w:eastAsia="宋体" w:cs="宋体"/>
                <w:b w:val="0"/>
                <w:color w:val="000000"/>
                <w:sz w:val="20"/>
                <w:szCs w:val="20"/>
                <w:lang w:val="en-US" w:eastAsia="zh-CN"/>
              </w:rPr>
            </w:pPr>
            <w:r>
              <w:rPr>
                <w:rFonts w:hint="eastAsia" w:eastAsia="宋体" w:cs="宋体"/>
                <w:b w:val="0"/>
                <w:color w:val="000000"/>
                <w:sz w:val="20"/>
                <w:szCs w:val="20"/>
                <w:lang w:val="en-US" w:eastAsia="zh-CN"/>
              </w:rPr>
              <w:t>苔黄</w:t>
            </w:r>
          </w:p>
        </w:tc>
        <w:tc>
          <w:tcPr>
            <w:tcW w:w="4905" w:type="dxa"/>
            <w:tcBorders>
              <w:tl2br w:val="nil"/>
              <w:tr2bl w:val="nil"/>
            </w:tcBorders>
            <w:shd w:val="clear" w:color="auto" w:fill="FFFFFF"/>
            <w:vAlign w:val="top"/>
          </w:tcPr>
          <w:p w14:paraId="268AD32C">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eastAsia="宋体" w:cs="宋体"/>
                <w:b w:val="0"/>
                <w:color w:val="000000"/>
                <w:sz w:val="20"/>
                <w:szCs w:val="20"/>
                <w:lang w:val="en-US" w:eastAsia="zh-CN"/>
              </w:rPr>
              <w:t>不计分</w:t>
            </w:r>
          </w:p>
        </w:tc>
      </w:tr>
      <w:tr w14:paraId="241964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 w:hRule="atLeast"/>
        </w:trPr>
        <w:tc>
          <w:tcPr>
            <w:tcW w:w="1129" w:type="dxa"/>
            <w:vMerge w:val="continue"/>
            <w:tcBorders>
              <w:tl2br w:val="nil"/>
              <w:tr2bl w:val="nil"/>
            </w:tcBorders>
            <w:shd w:val="clear" w:color="auto" w:fill="FFFFFF"/>
          </w:tcPr>
          <w:p w14:paraId="56E30A74">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eastAsia" w:ascii="Times New Roman" w:hAnsi="Times New Roman" w:eastAsia="宋体" w:cs="宋体"/>
                <w:b w:val="0"/>
                <w:color w:val="000000"/>
                <w:sz w:val="20"/>
                <w:szCs w:val="20"/>
              </w:rPr>
            </w:pPr>
          </w:p>
        </w:tc>
        <w:tc>
          <w:tcPr>
            <w:tcW w:w="2268" w:type="dxa"/>
            <w:tcBorders>
              <w:tl2br w:val="nil"/>
              <w:tr2bl w:val="nil"/>
            </w:tcBorders>
            <w:shd w:val="clear" w:color="auto" w:fill="FFFFFF"/>
          </w:tcPr>
          <w:p w14:paraId="567483ED">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both"/>
              <w:textAlignment w:val="auto"/>
              <w:rPr>
                <w:rFonts w:hint="default" w:ascii="Times New Roman" w:hAnsi="Times New Roman" w:eastAsia="宋体" w:cs="宋体"/>
                <w:b w:val="0"/>
                <w:color w:val="000000"/>
                <w:sz w:val="20"/>
                <w:szCs w:val="20"/>
                <w:lang w:val="en-US" w:eastAsia="zh-CN"/>
              </w:rPr>
            </w:pPr>
            <w:r>
              <w:rPr>
                <w:rFonts w:hint="eastAsia" w:eastAsia="宋体" w:cs="宋体"/>
                <w:b w:val="0"/>
                <w:color w:val="000000"/>
                <w:sz w:val="20"/>
                <w:szCs w:val="20"/>
                <w:lang w:val="en-US" w:eastAsia="zh-CN"/>
              </w:rPr>
              <w:t>脉弦数</w:t>
            </w:r>
          </w:p>
        </w:tc>
        <w:tc>
          <w:tcPr>
            <w:tcW w:w="4905" w:type="dxa"/>
            <w:tcBorders>
              <w:tl2br w:val="nil"/>
              <w:tr2bl w:val="nil"/>
            </w:tcBorders>
            <w:shd w:val="clear" w:color="auto" w:fill="FFFFFF"/>
            <w:vAlign w:val="top"/>
          </w:tcPr>
          <w:p w14:paraId="5BF279CB">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360" w:lineRule="exact"/>
              <w:ind w:firstLine="0" w:firstLineChars="0"/>
              <w:jc w:val="left"/>
              <w:textAlignment w:val="auto"/>
              <w:rPr>
                <w:rFonts w:hint="eastAsia" w:ascii="Times New Roman" w:hAnsi="Times New Roman" w:eastAsia="宋体" w:cs="宋体"/>
                <w:b w:val="0"/>
                <w:color w:val="000000"/>
                <w:sz w:val="20"/>
                <w:szCs w:val="20"/>
              </w:rPr>
            </w:pPr>
            <w:r>
              <w:rPr>
                <w:rFonts w:hint="eastAsia" w:eastAsia="宋体" w:cs="宋体"/>
                <w:b w:val="0"/>
                <w:color w:val="000000"/>
                <w:sz w:val="20"/>
                <w:szCs w:val="20"/>
                <w:lang w:val="en-US" w:eastAsia="zh-CN"/>
              </w:rPr>
              <w:t>不计分</w:t>
            </w:r>
          </w:p>
        </w:tc>
      </w:tr>
    </w:tbl>
    <w:p w14:paraId="365C5CB8">
      <w:pPr>
        <w:keepNext w:val="0"/>
        <w:keepLines w:val="0"/>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autoSpaceDN/>
        <w:bidi w:val="0"/>
        <w:adjustRightInd w:val="0"/>
        <w:snapToGrid/>
        <w:spacing w:before="0" w:beforeLines="0" w:after="0" w:afterLines="0" w:line="360" w:lineRule="exact"/>
        <w:ind w:firstLine="360" w:firstLineChars="200"/>
        <w:jc w:val="left"/>
        <w:textAlignment w:val="auto"/>
        <w:outlineLvl w:val="1"/>
        <w:rPr>
          <w:rFonts w:ascii="Segoe UI" w:hAnsi="Segoe UI" w:eastAsia="Segoe UI" w:cs="Segoe UI"/>
          <w:i w:val="0"/>
          <w:iCs w:val="0"/>
          <w:caps w:val="0"/>
          <w:color w:val="0F1115"/>
          <w:spacing w:val="0"/>
          <w:sz w:val="16"/>
          <w:szCs w:val="16"/>
          <w:shd w:val="clear" w:fill="FFFFFF"/>
        </w:rPr>
      </w:pPr>
      <w:bookmarkStart w:id="106" w:name="_Toc17097"/>
      <w:bookmarkStart w:id="107" w:name="_Toc22158"/>
      <w:bookmarkStart w:id="108" w:name="_Toc24359"/>
      <w:bookmarkStart w:id="109" w:name="_Toc16990"/>
      <w:r>
        <w:rPr>
          <w:rFonts w:hint="eastAsia" w:ascii="黑体" w:hAnsi="黑体" w:eastAsia="黑体" w:cs="黑体"/>
          <w:i w:val="0"/>
          <w:iCs w:val="0"/>
          <w:caps w:val="0"/>
          <w:color w:val="0F1115"/>
          <w:spacing w:val="0"/>
          <w:sz w:val="18"/>
          <w:szCs w:val="18"/>
          <w:shd w:val="clear" w:fill="FFFFFF"/>
          <w:lang w:val="en-US" w:eastAsia="zh-CN"/>
        </w:rPr>
        <w:t>注：</w:t>
      </w:r>
      <w:r>
        <w:rPr>
          <w:rFonts w:hint="eastAsia" w:ascii="宋体" w:hAnsi="宋体" w:eastAsia="宋体" w:cs="宋体"/>
          <w:i w:val="0"/>
          <w:iCs w:val="0"/>
          <w:caps w:val="0"/>
          <w:color w:val="0F1115"/>
          <w:spacing w:val="0"/>
          <w:sz w:val="18"/>
          <w:szCs w:val="18"/>
          <w:shd w:val="clear" w:fill="FFFFFF"/>
        </w:rPr>
        <w:t>本量表中“胁胀胁痛”系胁胀与胁痛之症状复合，“烦躁易怒”系烦躁与易怒之症状复合，计分时以两者中较重者为准。</w:t>
      </w:r>
      <w:bookmarkEnd w:id="106"/>
      <w:bookmarkEnd w:id="107"/>
      <w:bookmarkEnd w:id="108"/>
      <w:bookmarkEnd w:id="109"/>
      <w:r>
        <w:rPr>
          <w:rFonts w:hint="eastAsia" w:ascii="宋体" w:hAnsi="宋体" w:eastAsia="宋体" w:cs="宋体"/>
          <w:i w:val="0"/>
          <w:iCs w:val="0"/>
          <w:caps w:val="0"/>
          <w:color w:val="0F1115"/>
          <w:spacing w:val="0"/>
          <w:kern w:val="2"/>
          <w:sz w:val="18"/>
          <w:szCs w:val="18"/>
          <w:shd w:val="clear" w:fill="FFFFFF"/>
          <w:lang w:eastAsia="zh-CN"/>
        </w:rPr>
        <w:t>“</w:t>
      </w:r>
      <w:r>
        <w:rPr>
          <w:rFonts w:hint="eastAsia" w:ascii="宋体" w:hAnsi="宋体" w:eastAsia="宋体" w:cs="宋体"/>
          <w:i w:val="0"/>
          <w:iCs w:val="0"/>
          <w:caps w:val="0"/>
          <w:color w:val="0F1115"/>
          <w:spacing w:val="0"/>
          <w:kern w:val="2"/>
          <w:sz w:val="18"/>
          <w:szCs w:val="18"/>
          <w:shd w:val="clear" w:fill="FFFFFF"/>
        </w:rPr>
        <w:t>口干口渴</w:t>
      </w:r>
      <w:r>
        <w:rPr>
          <w:rFonts w:hint="eastAsia" w:ascii="宋体" w:hAnsi="宋体" w:eastAsia="宋体" w:cs="宋体"/>
          <w:i w:val="0"/>
          <w:iCs w:val="0"/>
          <w:caps w:val="0"/>
          <w:color w:val="0F1115"/>
          <w:spacing w:val="0"/>
          <w:kern w:val="2"/>
          <w:sz w:val="18"/>
          <w:szCs w:val="18"/>
          <w:shd w:val="clear" w:fill="FFFFFF"/>
          <w:lang w:eastAsia="zh-CN"/>
        </w:rPr>
        <w:t>”</w:t>
      </w:r>
      <w:r>
        <w:rPr>
          <w:rFonts w:hint="eastAsia" w:ascii="宋体" w:hAnsi="宋体" w:eastAsia="宋体" w:cs="宋体"/>
          <w:i w:val="0"/>
          <w:iCs w:val="0"/>
          <w:caps w:val="0"/>
          <w:color w:val="0F1115"/>
          <w:spacing w:val="0"/>
          <w:kern w:val="2"/>
          <w:sz w:val="18"/>
          <w:szCs w:val="18"/>
          <w:shd w:val="clear" w:fill="FFFFFF"/>
        </w:rPr>
        <w:t>系口干与口渴之症状复合</w:t>
      </w:r>
      <w:r>
        <w:rPr>
          <w:rFonts w:hint="eastAsia" w:ascii="宋体" w:hAnsi="宋体" w:eastAsia="宋体" w:cs="宋体"/>
          <w:i w:val="0"/>
          <w:iCs w:val="0"/>
          <w:caps w:val="0"/>
          <w:color w:val="0F1115"/>
          <w:spacing w:val="0"/>
          <w:kern w:val="2"/>
          <w:sz w:val="18"/>
          <w:szCs w:val="18"/>
          <w:shd w:val="clear" w:fill="FFFFFF"/>
          <w:lang w:eastAsia="zh-CN"/>
        </w:rPr>
        <w:t>，</w:t>
      </w:r>
      <w:r>
        <w:rPr>
          <w:rFonts w:hint="eastAsia" w:ascii="宋体" w:hAnsi="宋体" w:eastAsia="宋体" w:cs="宋体"/>
          <w:i w:val="0"/>
          <w:iCs w:val="0"/>
          <w:caps w:val="0"/>
          <w:color w:val="0F1115"/>
          <w:spacing w:val="0"/>
          <w:sz w:val="18"/>
          <w:szCs w:val="18"/>
          <w:shd w:val="clear" w:fill="FFFFFF"/>
        </w:rPr>
        <w:t>计分时两者任一项存在即计为“有”。</w:t>
      </w:r>
    </w:p>
    <w:p w14:paraId="5BDDE646">
      <w:pPr>
        <w:keepNext w:val="0"/>
        <w:keepLines w:val="0"/>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autoSpaceDN/>
        <w:bidi w:val="0"/>
        <w:adjustRightInd w:val="0"/>
        <w:snapToGrid/>
        <w:spacing w:before="157" w:beforeLines="50" w:after="157" w:afterLines="50" w:line="360" w:lineRule="exact"/>
        <w:ind w:firstLine="0" w:firstLineChars="0"/>
        <w:jc w:val="left"/>
        <w:textAlignment w:val="auto"/>
        <w:outlineLvl w:val="1"/>
        <w:rPr>
          <w:rFonts w:hint="eastAsia" w:ascii="Times New Roman" w:hAnsi="Times New Roman" w:eastAsia="黑体" w:cstheme="minorBidi"/>
          <w:color w:val="auto"/>
          <w:kern w:val="2"/>
          <w:sz w:val="21"/>
          <w:szCs w:val="21"/>
          <w:lang w:eastAsia="zh-CN"/>
        </w:rPr>
      </w:pPr>
      <w:bookmarkStart w:id="110" w:name="_Toc14903"/>
      <w:bookmarkStart w:id="111" w:name="_Toc6399"/>
      <w:bookmarkStart w:id="112" w:name="_Toc9552"/>
      <w:bookmarkStart w:id="113" w:name="_Toc697"/>
      <w:r>
        <w:rPr>
          <w:rFonts w:hint="eastAsia" w:ascii="Times New Roman" w:hAnsi="Times New Roman" w:eastAsia="黑体" w:cstheme="minorBidi"/>
          <w:color w:val="auto"/>
          <w:kern w:val="2"/>
          <w:sz w:val="21"/>
          <w:szCs w:val="21"/>
        </w:rPr>
        <w:t>5.</w:t>
      </w:r>
      <w:r>
        <w:rPr>
          <w:rFonts w:hint="eastAsia" w:eastAsia="黑体" w:cstheme="minorBidi"/>
          <w:color w:val="auto"/>
          <w:kern w:val="2"/>
          <w:sz w:val="21"/>
          <w:szCs w:val="21"/>
          <w:lang w:val="en-US" w:eastAsia="zh-CN"/>
        </w:rPr>
        <w:t>2</w:t>
      </w:r>
      <w:r>
        <w:rPr>
          <w:rFonts w:hint="eastAsia" w:ascii="Times New Roman" w:hAnsi="Times New Roman" w:eastAsia="黑体" w:cstheme="minorBidi"/>
          <w:color w:val="auto"/>
          <w:kern w:val="2"/>
          <w:sz w:val="21"/>
          <w:szCs w:val="21"/>
          <w:lang w:val="en-US" w:eastAsia="zh-CN" w:bidi="ar-SA"/>
        </w:rPr>
        <w:t>肝经火旺证疗效评价时段</w:t>
      </w:r>
      <w:bookmarkEnd w:id="110"/>
      <w:bookmarkEnd w:id="111"/>
      <w:bookmarkEnd w:id="112"/>
      <w:bookmarkEnd w:id="113"/>
    </w:p>
    <w:p w14:paraId="37040868">
      <w:pPr>
        <w:keepNext w:val="0"/>
        <w:keepLines w:val="0"/>
        <w:pageBreakBefore w:val="0"/>
        <w:widowControl w:val="0"/>
        <w:kinsoku/>
        <w:wordWrap/>
        <w:overflowPunct/>
        <w:topLinePunct w:val="0"/>
        <w:autoSpaceDE/>
        <w:autoSpaceDN/>
        <w:bidi w:val="0"/>
        <w:adjustRightInd/>
        <w:snapToGrid/>
        <w:spacing w:line="360" w:lineRule="exact"/>
        <w:ind w:firstLine="400" w:firstLineChars="200"/>
        <w:jc w:val="left"/>
        <w:textAlignment w:val="auto"/>
        <w:rPr>
          <w:rFonts w:ascii="Times New Roman" w:hAnsi="Times New Roman"/>
          <w:color w:val="000000"/>
        </w:rPr>
      </w:pPr>
      <w:r>
        <w:rPr>
          <w:rFonts w:hint="eastAsia" w:ascii="Times New Roman" w:hAnsi="Times New Roman" w:eastAsia="宋体" w:cs="宋体"/>
          <w:color w:val="000000"/>
          <w:kern w:val="0"/>
          <w:sz w:val="20"/>
          <w:szCs w:val="20"/>
          <w:lang w:val="en-US" w:eastAsia="zh-CN" w:bidi="ar"/>
        </w:rPr>
        <w:t>如作为病证结合的疗效评价使用时，</w:t>
      </w:r>
      <w:r>
        <w:rPr>
          <w:rFonts w:hint="eastAsia" w:eastAsia="宋体" w:cs="宋体"/>
          <w:color w:val="000000"/>
          <w:kern w:val="0"/>
          <w:sz w:val="20"/>
          <w:szCs w:val="20"/>
          <w:lang w:val="en-US" w:eastAsia="zh-CN" w:bidi="ar"/>
        </w:rPr>
        <w:t>需</w:t>
      </w:r>
      <w:r>
        <w:rPr>
          <w:rFonts w:hint="eastAsia" w:ascii="Times New Roman" w:hAnsi="Times New Roman" w:eastAsia="宋体" w:cs="宋体"/>
          <w:color w:val="000000"/>
          <w:kern w:val="0"/>
          <w:sz w:val="20"/>
          <w:szCs w:val="20"/>
          <w:lang w:val="en-US" w:eastAsia="zh-CN" w:bidi="ar"/>
        </w:rPr>
        <w:t>与疾病的治疗周期相结合；如仅评价肝经火旺证候，</w:t>
      </w:r>
      <w:r>
        <w:rPr>
          <w:rFonts w:hint="eastAsia" w:eastAsia="宋体" w:cs="宋体"/>
          <w:color w:val="000000"/>
          <w:kern w:val="0"/>
          <w:sz w:val="20"/>
          <w:szCs w:val="20"/>
          <w:lang w:val="en-US" w:eastAsia="zh-CN" w:bidi="ar"/>
        </w:rPr>
        <w:t>建议</w:t>
      </w:r>
      <w:r>
        <w:rPr>
          <w:rFonts w:hint="eastAsia" w:ascii="Times New Roman" w:hAnsi="Times New Roman" w:eastAsia="宋体" w:cs="宋体"/>
          <w:color w:val="000000"/>
          <w:kern w:val="0"/>
          <w:sz w:val="20"/>
          <w:szCs w:val="20"/>
          <w:lang w:val="en-US" w:eastAsia="zh-CN" w:bidi="ar"/>
        </w:rPr>
        <w:t>设置为每周访视一次。</w:t>
      </w:r>
    </w:p>
    <w:p w14:paraId="6391EE57">
      <w:pPr>
        <w:pStyle w:val="33"/>
        <w:keepNext w:val="0"/>
        <w:keepLines w:val="0"/>
        <w:pageBreakBefore w:val="0"/>
        <w:tabs>
          <w:tab w:val="center" w:pos="4201"/>
          <w:tab w:val="right" w:leader="dot" w:pos="9298"/>
        </w:tabs>
        <w:kinsoku/>
        <w:wordWrap/>
        <w:overflowPunct/>
        <w:topLinePunct w:val="0"/>
        <w:autoSpaceDE/>
        <w:autoSpaceDN/>
        <w:bidi w:val="0"/>
        <w:snapToGrid/>
        <w:spacing w:before="157" w:beforeLines="50" w:after="157" w:afterLines="50" w:line="360" w:lineRule="exact"/>
        <w:ind w:firstLine="0" w:firstLineChars="0"/>
        <w:textAlignment w:val="auto"/>
        <w:outlineLvl w:val="1"/>
        <w:rPr>
          <w:rFonts w:hint="eastAsia" w:ascii="Times New Roman" w:hAnsi="Times New Roman" w:eastAsia="黑体" w:cstheme="minorBidi"/>
          <w:color w:val="auto"/>
          <w:kern w:val="2"/>
          <w:szCs w:val="21"/>
          <w:highlight w:val="none"/>
        </w:rPr>
      </w:pPr>
      <w:bookmarkStart w:id="114" w:name="_Toc283"/>
      <w:bookmarkStart w:id="115" w:name="_Toc26369"/>
      <w:bookmarkStart w:id="116" w:name="_Toc26411"/>
      <w:bookmarkStart w:id="117" w:name="_Toc24325"/>
    </w:p>
    <w:p w14:paraId="51A8D3AB">
      <w:pPr>
        <w:pStyle w:val="33"/>
        <w:keepNext w:val="0"/>
        <w:keepLines w:val="0"/>
        <w:pageBreakBefore w:val="0"/>
        <w:tabs>
          <w:tab w:val="center" w:pos="4201"/>
          <w:tab w:val="right" w:leader="dot" w:pos="9298"/>
        </w:tabs>
        <w:kinsoku/>
        <w:wordWrap/>
        <w:overflowPunct/>
        <w:topLinePunct w:val="0"/>
        <w:autoSpaceDE/>
        <w:autoSpaceDN/>
        <w:bidi w:val="0"/>
        <w:snapToGrid/>
        <w:spacing w:before="157" w:beforeLines="50" w:after="157" w:afterLines="50" w:line="360" w:lineRule="exact"/>
        <w:ind w:firstLine="0" w:firstLineChars="0"/>
        <w:textAlignment w:val="auto"/>
        <w:outlineLvl w:val="1"/>
        <w:rPr>
          <w:rFonts w:hint="default" w:ascii="Times New Roman" w:hAnsi="Times New Roman" w:eastAsia="黑体" w:cstheme="minorBidi"/>
          <w:color w:val="auto"/>
          <w:kern w:val="2"/>
          <w:szCs w:val="21"/>
          <w:lang w:val="en-US" w:eastAsia="zh-CN"/>
        </w:rPr>
      </w:pPr>
      <w:r>
        <w:rPr>
          <w:rFonts w:hint="eastAsia" w:ascii="Times New Roman" w:hAnsi="Times New Roman" w:eastAsia="黑体" w:cstheme="minorBidi"/>
          <w:color w:val="auto"/>
          <w:kern w:val="2"/>
          <w:szCs w:val="21"/>
          <w:highlight w:val="none"/>
        </w:rPr>
        <w:t>5</w:t>
      </w:r>
      <w:r>
        <w:rPr>
          <w:rFonts w:ascii="Times New Roman" w:hAnsi="Times New Roman" w:eastAsia="黑体" w:cstheme="minorBidi"/>
          <w:color w:val="auto"/>
          <w:kern w:val="2"/>
          <w:szCs w:val="21"/>
          <w:highlight w:val="none"/>
        </w:rPr>
        <w:t>.</w:t>
      </w:r>
      <w:r>
        <w:rPr>
          <w:rFonts w:hint="eastAsia" w:ascii="Times New Roman" w:eastAsia="黑体" w:cstheme="minorBidi"/>
          <w:color w:val="auto"/>
          <w:kern w:val="2"/>
          <w:szCs w:val="21"/>
          <w:highlight w:val="none"/>
          <w:lang w:val="en-US" w:eastAsia="zh-CN"/>
        </w:rPr>
        <w:t>3</w:t>
      </w:r>
      <w:r>
        <w:rPr>
          <w:rFonts w:hint="eastAsia" w:ascii="Times New Roman" w:hAnsi="Times New Roman" w:eastAsia="黑体" w:cstheme="minorBidi"/>
          <w:color w:val="auto"/>
          <w:kern w:val="2"/>
          <w:szCs w:val="21"/>
          <w:highlight w:val="none"/>
          <w:lang w:val="en-US" w:eastAsia="zh-CN"/>
        </w:rPr>
        <w:t>肝经火旺</w:t>
      </w:r>
      <w:r>
        <w:rPr>
          <w:rFonts w:hint="eastAsia" w:ascii="Times New Roman" w:hAnsi="Times New Roman" w:eastAsia="黑体" w:cstheme="minorBidi"/>
          <w:color w:val="auto"/>
          <w:kern w:val="2"/>
          <w:szCs w:val="21"/>
          <w:highlight w:val="none"/>
        </w:rPr>
        <w:t>证疗效评价</w:t>
      </w:r>
      <w:r>
        <w:rPr>
          <w:rFonts w:hint="eastAsia" w:ascii="Times New Roman" w:eastAsia="黑体" w:cstheme="minorBidi"/>
          <w:color w:val="auto"/>
          <w:kern w:val="2"/>
          <w:szCs w:val="21"/>
          <w:highlight w:val="none"/>
          <w:lang w:val="en-US" w:eastAsia="zh-CN"/>
        </w:rPr>
        <w:t>标准</w:t>
      </w:r>
      <w:bookmarkEnd w:id="105"/>
      <w:bookmarkEnd w:id="114"/>
      <w:bookmarkEnd w:id="115"/>
      <w:bookmarkEnd w:id="116"/>
      <w:bookmarkEnd w:id="117"/>
    </w:p>
    <w:p w14:paraId="6CD43F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0" w:firstLineChars="0"/>
        <w:rPr>
          <w:rFonts w:hint="eastAsia" w:ascii="Times New Roman" w:hAnsi="Times New Roman" w:cs="Times New Roman"/>
          <w:sz w:val="21"/>
          <w:szCs w:val="21"/>
          <w:lang w:eastAsia="zh-CN"/>
        </w:rPr>
      </w:pPr>
      <w:r>
        <w:rPr>
          <w:rFonts w:hint="eastAsia" w:ascii="Times New Roman" w:hAnsi="Times New Roman" w:cs="Times New Roman"/>
          <w:sz w:val="21"/>
          <w:szCs w:val="21"/>
          <w:lang w:val="en-US" w:eastAsia="zh-CN"/>
        </w:rPr>
        <w:t>5.3.1 证候减分值法（基线积分差值法）：</w:t>
      </w:r>
      <w:r>
        <w:rPr>
          <w:rFonts w:hint="eastAsia" w:ascii="Times New Roman" w:hAnsi="Times New Roman" w:cs="Times New Roman"/>
          <w:sz w:val="21"/>
          <w:szCs w:val="21"/>
          <w:lang w:eastAsia="zh-CN"/>
        </w:rPr>
        <w:t>本方法以患者治疗后中医证候总积分及主症积分较治疗前（基线）的绝对减少值作为评价</w:t>
      </w:r>
      <w:r>
        <w:rPr>
          <w:rFonts w:hint="eastAsia" w:cs="Times New Roman"/>
          <w:sz w:val="21"/>
          <w:szCs w:val="21"/>
          <w:lang w:val="en-US" w:eastAsia="zh-CN"/>
        </w:rPr>
        <w:t>标准</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来</w:t>
      </w:r>
      <w:r>
        <w:rPr>
          <w:rFonts w:hint="eastAsia" w:ascii="Times New Roman" w:hAnsi="Times New Roman" w:cs="Times New Roman"/>
          <w:sz w:val="21"/>
          <w:szCs w:val="21"/>
          <w:lang w:eastAsia="zh-CN"/>
        </w:rPr>
        <w:t>评估试验组与对照组间的疗效差异。</w:t>
      </w:r>
    </w:p>
    <w:p w14:paraId="7BBD46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减分值越大，提示证候改善越明显；组间比较具有统计学显著性差异（P&lt;0.05）且具备临床实际价值，判定为中医证候改善优于对照组。</w:t>
      </w:r>
    </w:p>
    <w:p w14:paraId="183220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autoSpaceDE/>
        <w:autoSpaceDN/>
        <w:adjustRightInd w:val="0"/>
        <w:spacing w:line="360" w:lineRule="exact"/>
        <w:ind w:firstLine="0" w:firstLineChars="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5.3.2 主次症分级综合疗效判定法：</w:t>
      </w:r>
      <w:r>
        <w:rPr>
          <w:rFonts w:hint="eastAsia" w:ascii="Times New Roman" w:hAnsi="Times New Roman" w:cs="Times New Roman"/>
          <w:sz w:val="21"/>
          <w:szCs w:val="21"/>
          <w:lang w:eastAsia="zh-CN"/>
        </w:rPr>
        <w:t>本方法以患者治疗</w:t>
      </w:r>
      <w:r>
        <w:rPr>
          <w:rFonts w:hint="default" w:ascii="Times New Roman" w:hAnsi="Times New Roman" w:cs="Times New Roman"/>
          <w:sz w:val="21"/>
          <w:szCs w:val="21"/>
          <w:lang w:val="en-US" w:eastAsia="zh-CN"/>
        </w:rPr>
        <w:t>前后主</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次症</w:t>
      </w:r>
      <w:r>
        <w:rPr>
          <w:rFonts w:hint="eastAsia" w:cs="Times New Roman"/>
          <w:sz w:val="21"/>
          <w:szCs w:val="21"/>
          <w:lang w:val="en-US" w:eastAsia="zh-CN"/>
        </w:rPr>
        <w:t>、舌脉</w:t>
      </w:r>
      <w:r>
        <w:rPr>
          <w:rFonts w:hint="default" w:ascii="Times New Roman" w:hAnsi="Times New Roman" w:cs="Times New Roman"/>
          <w:sz w:val="21"/>
          <w:szCs w:val="21"/>
          <w:lang w:val="en-US" w:eastAsia="zh-CN"/>
        </w:rPr>
        <w:t>消除情况及总积分</w:t>
      </w:r>
      <w:r>
        <w:rPr>
          <w:rFonts w:hint="eastAsia" w:ascii="Times New Roman" w:hAnsi="Times New Roman" w:cs="Times New Roman"/>
          <w:sz w:val="21"/>
          <w:szCs w:val="21"/>
          <w:lang w:val="en-US" w:eastAsia="zh-CN"/>
        </w:rPr>
        <w:t>减少率</w:t>
      </w:r>
      <w:r>
        <w:rPr>
          <w:rFonts w:hint="eastAsia" w:ascii="Times New Roman" w:hAnsi="Times New Roman" w:cs="Times New Roman"/>
          <w:sz w:val="21"/>
          <w:szCs w:val="21"/>
          <w:vertAlign w:val="superscript"/>
          <w:lang w:val="en-US" w:eastAsia="zh-CN"/>
        </w:rPr>
        <w:t>[9]</w:t>
      </w:r>
      <w:r>
        <w:rPr>
          <w:rFonts w:hint="default" w:ascii="Times New Roman" w:hAnsi="Times New Roman" w:cs="Times New Roman"/>
          <w:sz w:val="21"/>
          <w:szCs w:val="21"/>
          <w:lang w:val="en-US" w:eastAsia="zh-CN"/>
        </w:rPr>
        <w:t>进行</w:t>
      </w:r>
      <w:r>
        <w:rPr>
          <w:rFonts w:hint="eastAsia" w:ascii="Times New Roman" w:hAnsi="Times New Roman" w:cs="Times New Roman"/>
          <w:sz w:val="21"/>
          <w:szCs w:val="21"/>
          <w:lang w:val="en-US" w:eastAsia="zh-CN"/>
        </w:rPr>
        <w:t>四级</w:t>
      </w:r>
      <w:r>
        <w:rPr>
          <w:rFonts w:hint="default" w:ascii="Times New Roman" w:hAnsi="Times New Roman" w:cs="Times New Roman"/>
          <w:sz w:val="21"/>
          <w:szCs w:val="21"/>
          <w:lang w:val="en-US" w:eastAsia="zh-CN"/>
        </w:rPr>
        <w:t>综合评价。</w:t>
      </w:r>
    </w:p>
    <w:p w14:paraId="5AE6B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（1）临床痊愈：中医临床主要症状、次要症状消失或基本消失，舌、脉象恢复正常，证候积分减少≥95%；</w:t>
      </w:r>
    </w:p>
    <w:p w14:paraId="583E42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（2）显效：主要症状明显改善，次要症状大部分消失，舌脉明显好转，证候积分减少≥70%；</w:t>
      </w:r>
    </w:p>
    <w:p w14:paraId="3A529F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（3）有效：主/次症状有所好转，舌、脉象有所改善，证候积分减少≥30%；</w:t>
      </w:r>
    </w:p>
    <w:p w14:paraId="276F3E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（4）无效：主要症状无明显改善，证候积分减少&lt;30%。</w:t>
      </w:r>
    </w:p>
    <w:p w14:paraId="7E1173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0" w:firstLineChars="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5.3.3 核心</w:t>
      </w:r>
      <w:r>
        <w:rPr>
          <w:rFonts w:hint="eastAsia" w:cs="Times New Roman"/>
          <w:sz w:val="21"/>
          <w:szCs w:val="21"/>
          <w:lang w:val="en-US" w:eastAsia="zh-CN"/>
        </w:rPr>
        <w:t>主</w:t>
      </w:r>
      <w:r>
        <w:rPr>
          <w:rFonts w:hint="eastAsia" w:ascii="Times New Roman" w:hAnsi="Times New Roman" w:cs="Times New Roman"/>
          <w:sz w:val="21"/>
          <w:szCs w:val="21"/>
          <w:lang w:val="en-US" w:eastAsia="zh-CN"/>
        </w:rPr>
        <w:t>症应答评价法（单项主症缓解/消失法）：本方法选取特征性主症作为靶症状，通过评价患者核心获益情况，避免次要症状对主要疗效的稀释。</w:t>
      </w:r>
    </w:p>
    <w:p w14:paraId="7C1FE5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（1）核心主症消失：治疗后核心主症评分降为0分；</w:t>
      </w:r>
    </w:p>
    <w:p w14:paraId="0F1AED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（2）核心主症显效应答：核心主症评分较基线降低≥2级；</w:t>
      </w:r>
    </w:p>
    <w:p w14:paraId="50642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（3）核心主症有效应答：核心主症评分较基线降低1 级；</w:t>
      </w:r>
    </w:p>
    <w:p w14:paraId="040006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420" w:firstLineChars="200"/>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（4）核心主症无效应答：核心主症评分未降级。</w:t>
      </w:r>
    </w:p>
    <w:p w14:paraId="1D32C18A">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Times New Roman" w:hAnsi="Times New Roman" w:cs="Times New Roman"/>
          <w:color w:val="auto"/>
          <w:sz w:val="21"/>
          <w:szCs w:val="21"/>
          <w:highlight w:val="red"/>
        </w:rPr>
      </w:pPr>
    </w:p>
    <w:p w14:paraId="0E76F57D">
      <w:pPr>
        <w:widowControl w:val="0"/>
        <w:spacing w:line="360" w:lineRule="exact"/>
        <w:ind w:firstLine="0" w:firstLineChars="0"/>
        <w:jc w:val="center"/>
        <w:outlineLvl w:val="0"/>
        <w:rPr>
          <w:rFonts w:hint="eastAsia" w:ascii="黑体" w:hAnsi="黑体" w:eastAsia="黑体" w:cs="黑体"/>
          <w:sz w:val="21"/>
          <w:szCs w:val="21"/>
          <w:lang w:val="en-US" w:eastAsia="zh-CN"/>
        </w:rPr>
      </w:pPr>
      <w:bookmarkStart w:id="118" w:name="_Toc510534552"/>
      <w:bookmarkStart w:id="119" w:name="_Toc509933873"/>
      <w:r>
        <w:rPr>
          <w:rFonts w:ascii="Times New Roman" w:hAnsi="Times New Roman" w:eastAsia="黑体" w:cs="Times New Roman"/>
          <w:kern w:val="0"/>
          <w:szCs w:val="21"/>
        </w:rPr>
        <w:br w:type="page"/>
      </w:r>
      <w:bookmarkStart w:id="120" w:name="_Toc10843"/>
      <w:bookmarkStart w:id="121" w:name="_Toc5829"/>
      <w:bookmarkStart w:id="122" w:name="_Toc5766"/>
      <w:r>
        <w:rPr>
          <w:rFonts w:hint="eastAsia" w:ascii="黑体" w:hAnsi="黑体" w:eastAsia="黑体" w:cs="黑体"/>
          <w:sz w:val="21"/>
          <w:szCs w:val="21"/>
        </w:rPr>
        <w:t>参 考 文 献</w:t>
      </w:r>
      <w:bookmarkEnd w:id="41"/>
      <w:bookmarkEnd w:id="42"/>
      <w:bookmarkEnd w:id="118"/>
      <w:bookmarkEnd w:id="119"/>
      <w:bookmarkEnd w:id="120"/>
      <w:bookmarkEnd w:id="121"/>
      <w:bookmarkEnd w:id="122"/>
    </w:p>
    <w:p w14:paraId="0CE67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eastAsiaTheme="minorEastAsia"/>
          <w:i w:val="0"/>
          <w:iCs w:val="0"/>
          <w:caps w:val="0"/>
          <w:spacing w:val="0"/>
          <w:sz w:val="21"/>
          <w:szCs w:val="21"/>
          <w:shd w:val="clear"/>
          <w:lang w:val="en-US" w:eastAsia="zh-CN"/>
        </w:rPr>
        <w:t>[1]</w:t>
      </w:r>
      <w:r>
        <w:rPr>
          <w:rFonts w:hint="eastAsia" w:ascii="Times New Roman" w:hAnsi="Times New Roman" w:cs="Times New Roman" w:eastAsiaTheme="minorEastAsia"/>
          <w:i w:val="0"/>
          <w:iCs w:val="0"/>
          <w:caps w:val="0"/>
          <w:spacing w:val="0"/>
          <w:sz w:val="21"/>
          <w:szCs w:val="21"/>
          <w:shd w:val="clear"/>
        </w:rPr>
        <w:t>国家市场监督管理总局, 国家标准化管理委员会. 中医临床诊疗术语 第2部分：证候: GB/T 16751.2—2021[S]. 北京: 中国标准出版社, 2021.</w:t>
      </w:r>
    </w:p>
    <w:p w14:paraId="1CABE5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ind w:firstLine="420" w:firstLineChars="200"/>
        <w:rPr>
          <w:rFonts w:hint="eastAsia" w:ascii="Times New Roman" w:hAnsi="Times New Roman" w:cs="Times New Roman"/>
          <w:sz w:val="21"/>
          <w:szCs w:val="21"/>
          <w:lang w:val="en-US" w:eastAsia="zh-CN"/>
        </w:rPr>
      </w:pPr>
      <w:r>
        <w:rPr>
          <w:rFonts w:hint="eastAsia" w:ascii="Times New Roman" w:hAnsi="Times New Roman" w:cs="Times New Roman" w:eastAsiaTheme="minorEastAsia"/>
          <w:sz w:val="21"/>
          <w:szCs w:val="21"/>
        </w:rPr>
        <w:t>[</w:t>
      </w:r>
      <w:r>
        <w:rPr>
          <w:rFonts w:hint="eastAsia" w:ascii="Times New Roman" w:hAnsi="Times New Roman" w:cs="Times New Roman"/>
          <w:sz w:val="21"/>
          <w:szCs w:val="21"/>
          <w:lang w:val="en-US" w:eastAsia="zh-CN"/>
        </w:rPr>
        <w:t>2</w:t>
      </w:r>
      <w:r>
        <w:rPr>
          <w:rFonts w:hint="eastAsia" w:ascii="Times New Roman" w:hAnsi="Times New Roman" w:cs="Times New Roman" w:eastAsiaTheme="minorEastAsia"/>
          <w:sz w:val="21"/>
          <w:szCs w:val="21"/>
        </w:rPr>
        <w:t>]</w:t>
      </w:r>
      <w:r>
        <w:rPr>
          <w:rFonts w:hint="eastAsia" w:ascii="Times New Roman" w:hAnsi="Times New Roman" w:cs="Times New Roman"/>
          <w:sz w:val="21"/>
          <w:szCs w:val="21"/>
          <w:lang w:val="en-US" w:eastAsia="zh-CN"/>
        </w:rPr>
        <w:t>世界中医药学会联合会,呼吸疾病中医药防治省部共建协同创新中心,河南中医药大学,等.中医证候诊断标准研制指南[J].中国循证医学杂志, 2023, 23(9):993-998.</w:t>
      </w:r>
    </w:p>
    <w:p w14:paraId="14A002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3</w:t>
      </w:r>
      <w:r>
        <w:rPr>
          <w:rFonts w:hint="eastAsia" w:ascii="Times New Roman" w:hAnsi="Times New Roman" w:cs="Times New Roman" w:eastAsiaTheme="minorEastAsia"/>
          <w:sz w:val="21"/>
          <w:szCs w:val="21"/>
        </w:rPr>
        <w:t>]</w:t>
      </w:r>
      <w:r>
        <w:rPr>
          <w:rFonts w:hint="eastAsia" w:ascii="Times New Roman" w:hAnsi="Times New Roman" w:cs="Times New Roman"/>
          <w:sz w:val="21"/>
          <w:szCs w:val="21"/>
          <w:lang w:val="en-US" w:eastAsia="zh-CN"/>
        </w:rPr>
        <w:t>王建新,孙明月,吕行,等.中医证候疗效评价量表研制指南[J].中国新药杂志,2025,34(02):113-122.DOI:10.20251/j.cnki.1003-3734.2025.02.001.</w:t>
      </w:r>
    </w:p>
    <w:p w14:paraId="07C3E2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4</w:t>
      </w:r>
      <w:r>
        <w:rPr>
          <w:rFonts w:hint="eastAsia" w:ascii="Times New Roman" w:hAnsi="Times New Roman" w:cs="Times New Roman" w:eastAsiaTheme="minorEastAsia"/>
          <w:sz w:val="21"/>
          <w:szCs w:val="21"/>
        </w:rPr>
        <w:t>]</w:t>
      </w:r>
      <w:r>
        <w:rPr>
          <w:rFonts w:hint="eastAsia" w:ascii="Times New Roman" w:hAnsi="Times New Roman" w:cs="Times New Roman" w:eastAsiaTheme="minorEastAsia"/>
          <w:b w:val="0"/>
          <w:bCs w:val="0"/>
          <w:i w:val="0"/>
          <w:iCs w:val="0"/>
          <w:caps w:val="0"/>
          <w:spacing w:val="0"/>
          <w:sz w:val="21"/>
          <w:szCs w:val="21"/>
          <w:shd w:val="clear"/>
        </w:rPr>
        <w:t>国家中医药管理局. 中医病证诊断与疗效评价规范制修订通则: ZY/T 10—2024[S]. 2024.</w:t>
      </w:r>
    </w:p>
    <w:p w14:paraId="7E5705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5</w:t>
      </w:r>
      <w:r>
        <w:rPr>
          <w:rFonts w:hint="eastAsia" w:ascii="Times New Roman" w:hAnsi="Times New Roman" w:cs="Times New Roman" w:eastAsiaTheme="minorEastAsia"/>
          <w:sz w:val="21"/>
          <w:szCs w:val="21"/>
        </w:rPr>
        <w:t>]</w:t>
      </w:r>
      <w:r>
        <w:rPr>
          <w:rFonts w:hint="eastAsia" w:ascii="Times New Roman" w:hAnsi="Times New Roman" w:cs="Times New Roman"/>
          <w:sz w:val="21"/>
          <w:szCs w:val="21"/>
          <w:lang w:val="en-US" w:eastAsia="zh-CN"/>
        </w:rPr>
        <w:t>张明妍,张俊华,张伯礼,等.中医药临床试验核心指标集研制技术规范[J].中华中医药杂志,2021,36(02):924-928.</w:t>
      </w:r>
    </w:p>
    <w:p w14:paraId="59A85A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eastAsiaTheme="minorEastAsia"/>
          <w:i w:val="0"/>
          <w:iCs w:val="0"/>
          <w:caps w:val="0"/>
          <w:spacing w:val="0"/>
          <w:sz w:val="21"/>
          <w:szCs w:val="21"/>
          <w:shd w:val="clear"/>
          <w:lang w:val="en-US" w:eastAsia="zh-CN"/>
        </w:rPr>
        <w:t>[6]</w:t>
      </w:r>
      <w:r>
        <w:rPr>
          <w:rFonts w:hint="eastAsia" w:ascii="Times New Roman" w:hAnsi="Times New Roman" w:cs="Times New Roman" w:eastAsiaTheme="minorEastAsia"/>
          <w:i w:val="0"/>
          <w:iCs w:val="0"/>
          <w:caps w:val="0"/>
          <w:spacing w:val="0"/>
          <w:sz w:val="21"/>
          <w:szCs w:val="21"/>
          <w:shd w:val="clear"/>
        </w:rPr>
        <w:t>梁繁荣，王华，主编. 针灸学[M]. 5版. 北京：中国中医药出版社，2021.</w:t>
      </w:r>
    </w:p>
    <w:p w14:paraId="6F35A3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[7]黎敬波, 马力. 中医临床常见症状术语规范: 修订版[M]. 北京: 中国医药科技出版社, 2015.</w:t>
      </w:r>
    </w:p>
    <w:p w14:paraId="4706E2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[8]</w:t>
      </w:r>
      <w:r>
        <w:rPr>
          <w:rFonts w:hint="eastAsia" w:ascii="Times New Roman" w:hAnsi="Times New Roman" w:cs="Times New Roman" w:eastAsiaTheme="minorEastAsia"/>
          <w:i w:val="0"/>
          <w:iCs w:val="0"/>
          <w:caps w:val="0"/>
          <w:spacing w:val="0"/>
          <w:sz w:val="21"/>
          <w:szCs w:val="21"/>
          <w:shd w:val="clear"/>
        </w:rPr>
        <w:t>李灿东，方朝义，主编. 中医诊断学[M]. 5版. 北京：中国中医药出版社，2021.</w:t>
      </w:r>
    </w:p>
    <w:p w14:paraId="7874AA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autoSpaceDE w:val="0"/>
        <w:autoSpaceDN w:val="0"/>
        <w:adjustRightInd w:val="0"/>
        <w:spacing w:line="360" w:lineRule="exac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[9]郑筱萸. 中药新药临床研究指导原则(试行)[M]. 北京: 中国医药科技出版社, 2002.</w:t>
      </w:r>
    </w:p>
    <w:p w14:paraId="09567570">
      <w:pPr>
        <w:keepNext w:val="0"/>
        <w:keepLines w:val="0"/>
        <w:pageBreakBefore w:val="0"/>
        <w:kinsoku/>
        <w:wordWrap w:val="0"/>
        <w:overflowPunct/>
        <w:topLinePunct w:val="0"/>
        <w:autoSpaceDE/>
        <w:autoSpaceDN/>
        <w:bidi w:val="0"/>
        <w:adjustRightInd/>
        <w:snapToGrid/>
        <w:spacing w:line="360" w:lineRule="exact"/>
        <w:ind w:left="0" w:leftChars="0" w:firstLine="0" w:firstLineChars="0"/>
        <w:jc w:val="both"/>
        <w:textAlignment w:val="auto"/>
        <w:rPr>
          <w:rFonts w:ascii="Times New Roman" w:hAnsi="Times New Roman"/>
        </w:rPr>
      </w:pPr>
    </w:p>
    <w:sectPr>
      <w:headerReference r:id="rId11" w:type="default"/>
      <w:footerReference r:id="rId12" w:type="default"/>
      <w:endnotePr>
        <w:numFmt w:val="decimal"/>
      </w:endnotePr>
      <w:pgSz w:w="11906" w:h="16838"/>
      <w:pgMar w:top="1440" w:right="1797" w:bottom="1440" w:left="1797" w:header="851" w:footer="992" w:gutter="0"/>
      <w:pgBorders>
        <w:top w:val="none" w:sz="0" w:space="0"/>
        <w:left w:val="none" w:sz="0" w:space="0"/>
        <w:bottom w:val="none" w:sz="0" w:space="0"/>
        <w:right w:val="none" w:sz="0" w:space="0"/>
      </w:pgBorders>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B0604020202020204"/>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wiss"/>
    <w:pitch w:val="default"/>
    <w:sig w:usb0="00000001" w:usb1="08000000" w:usb2="00000000" w:usb3="00000000" w:csb0="00040000" w:csb1="00000000"/>
  </w:font>
  <w:font w:name=".AppleSystemUIFont">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UICTFontTextStyleBody">
    <w:altName w:val="Cambria"/>
    <w:panose1 w:val="020B0604020202020204"/>
    <w:charset w:val="00"/>
    <w:family w:val="roman"/>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19F" w:csb1="00000000"/>
  </w:font>
  <w:font w:name="Wingdings 2">
    <w:panose1 w:val="05020102010507070707"/>
    <w:charset w:val="00"/>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B8F76">
    <w:pPr>
      <w:pStyle w:val="14"/>
      <w:ind w:firstLine="360"/>
    </w:pPr>
  </w:p>
  <w:p w14:paraId="26726E5E">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7E06D">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8E3A1">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144718"/>
      <w:docPartObj>
        <w:docPartGallery w:val="autotext"/>
      </w:docPartObj>
    </w:sdtPr>
    <w:sdtContent>
      <w:p w14:paraId="6D525490">
        <w:pPr>
          <w:pStyle w:val="14"/>
          <w:ind w:firstLine="360"/>
          <w:jc w:val="center"/>
        </w:pPr>
        <w:r>
          <w:fldChar w:fldCharType="begin"/>
        </w:r>
        <w:r>
          <w:instrText xml:space="preserve">PAGE   \* MERGEFORMAT</w:instrText>
        </w:r>
        <w:r>
          <w:fldChar w:fldCharType="separate"/>
        </w:r>
        <w:r>
          <w:rPr>
            <w:lang w:val="zh-CN"/>
          </w:rPr>
          <w:t>11</w:t>
        </w:r>
        <w:r>
          <w:fldChar w:fldCharType="end"/>
        </w:r>
      </w:p>
    </w:sdtContent>
  </w:sdt>
  <w:p w14:paraId="0A8305A3">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8AF26">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5CB04">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8536C">
    <w:pPr>
      <w:pStyle w:val="1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BF4DC">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B7E69"/>
    <w:multiLevelType w:val="multilevel"/>
    <w:tmpl w:val="0E9B7E69"/>
    <w:lvl w:ilvl="0" w:tentative="0">
      <w:start w:val="1"/>
      <w:numFmt w:val="decimal"/>
      <w:pStyle w:val="4"/>
      <w:suff w:val="nothing"/>
      <w:lvlText w:val="8.%1  "/>
      <w:lvlJc w:val="left"/>
      <w:pPr>
        <w:ind w:left="0" w:firstLine="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FC91163"/>
    <w:multiLevelType w:val="multilevel"/>
    <w:tmpl w:val="1FC91163"/>
    <w:lvl w:ilvl="0" w:tentative="0">
      <w:start w:val="1"/>
      <w:numFmt w:val="decimal"/>
      <w:pStyle w:val="39"/>
      <w:suff w:val="nothing"/>
      <w:lvlText w:val="%1　"/>
      <w:lvlJc w:val="left"/>
      <w:pPr>
        <w:ind w:left="0" w:firstLine="0"/>
      </w:pPr>
      <w:rPr>
        <w:rFonts w:hint="default" w:ascii="Times New Roman" w:hAnsi="Times New Roman" w:eastAsia="黑体" w:cs="Times New Roman"/>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lvlText w:val="6.%4  "/>
      <w:lvlJc w:val="left"/>
      <w:pPr>
        <w:ind w:left="440" w:hanging="440"/>
      </w:pPr>
      <w:rPr>
        <w:rFonts w:hint="eastAsia"/>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555B5694"/>
    <w:multiLevelType w:val="multilevel"/>
    <w:tmpl w:val="555B5694"/>
    <w:lvl w:ilvl="0" w:tentative="0">
      <w:start w:val="1"/>
      <w:numFmt w:val="decimal"/>
      <w:pStyle w:val="35"/>
      <w:suff w:val="nothing"/>
      <w:lvlText w:val="4.%1  "/>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CEA2025"/>
    <w:multiLevelType w:val="multilevel"/>
    <w:tmpl w:val="6CEA2025"/>
    <w:lvl w:ilvl="0" w:tentative="0">
      <w:start w:val="1"/>
      <w:numFmt w:val="none"/>
      <w:pStyle w:val="40"/>
      <w:suff w:val="nothing"/>
      <w:lvlText w:val="%1"/>
      <w:lvlJc w:val="left"/>
      <w:pPr>
        <w:ind w:left="0" w:firstLine="0"/>
      </w:pPr>
      <w:rPr>
        <w:rFonts w:hint="default" w:ascii="Times New Roman" w:hAnsi="Times New Roman"/>
        <w:b/>
        <w:i w:val="0"/>
        <w:sz w:val="21"/>
      </w:rPr>
    </w:lvl>
    <w:lvl w:ilvl="1" w:tentative="0">
      <w:start w:val="1"/>
      <w:numFmt w:val="decimal"/>
      <w:pStyle w:val="32"/>
      <w:suff w:val="nothing"/>
      <w:lvlText w:val="%1%2　"/>
      <w:lvlJc w:val="left"/>
      <w:pPr>
        <w:ind w:left="360" w:firstLine="0"/>
      </w:pPr>
      <w:rPr>
        <w:rFonts w:hint="default" w:ascii="Times New Roman" w:hAnsi="Times New Roman" w:eastAsia="黑体" w:cs="Times New Roman"/>
        <w:b w:val="0"/>
        <w:i w:val="0"/>
        <w:sz w:val="21"/>
      </w:rPr>
    </w:lvl>
    <w:lvl w:ilvl="2" w:tentative="0">
      <w:start w:val="1"/>
      <w:numFmt w:val="decimal"/>
      <w:suff w:val="nothing"/>
      <w:lvlText w:val="8.%3  "/>
      <w:lvlJc w:val="left"/>
      <w:pPr>
        <w:ind w:left="0" w:firstLine="0"/>
      </w:pPr>
      <w:rPr>
        <w:rFonts w:hint="eastAsia"/>
      </w:rPr>
    </w:lvl>
    <w:lvl w:ilvl="3" w:tentative="0">
      <w:start w:val="1"/>
      <w:numFmt w:val="decimal"/>
      <w:pStyle w:val="38"/>
      <w:lvlText w:val="7.%4  "/>
      <w:lvlJc w:val="left"/>
      <w:pPr>
        <w:ind w:left="440" w:hanging="440"/>
      </w:pPr>
      <w:rPr>
        <w:rFonts w:hint="eastAsia"/>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jMmI4YzM4MzBjODUxNmExN2RkZWIxZmIyY2E1ZjcifQ=="/>
    <w:docVar w:name="NE.Ref{09B966C4-A7BF-4B49-A426-EC3D9FFB905F}" w:val=" ADDIN NE.Ref.{09B966C4-A7BF-4B49-A426-EC3D9FFB905F}&lt;Citation&gt;&lt;Group&gt;&lt;References&gt;&lt;Item&gt;&lt;ID&gt;3279&lt;/ID&gt;&lt;UID&gt;{8C83E92C-64E2-4525-B2E0-F74C649FD074}&lt;/UID&gt;&lt;Title&gt;A Review of Testing for Distinguishing Hashimoto&amp;apos;s Thyroiditis in the Hyperthyroid Stage and Grave&amp;apos;s Disease&lt;/Title&gt;&lt;Template&gt;Journal Article&lt;/Template&gt;&lt;Star&gt;0&lt;/Star&gt;&lt;Tag&gt;0&lt;/Tag&gt;&lt;Author&gt;Y, Liu; X, Liu; N, Wu&lt;/Author&gt;&lt;Year&gt;2023&lt;/Year&gt;&lt;Details&gt;&lt;_accessed&gt;65707852&lt;/_accessed&gt;&lt;_created&gt;65664916&lt;/_created&gt;&lt;_issue&gt;16&lt;/_issue&gt;&lt;_journal&gt;Int J Gen Med&lt;/_journal&gt;&lt;_modified&gt;65707852&lt;/_modified&gt;&lt;_pages&gt;2355-2363&lt;/_pages&gt;&lt;/Details&gt;&lt;Extra&gt;&lt;DBUID&gt;{F96A950B-833F-4880-A151-76DA2D6A2879}&lt;/DBUID&gt;&lt;/Extra&gt;&lt;/Item&gt;&lt;/References&gt;&lt;/Group&gt;&lt;/Citation&gt;_x000a_"/>
    <w:docVar w:name="NE.Ref{09D18DE0-AD5E-4D2D-BBCC-477E0DEE206D}" w:val=" ADDIN NE.Ref.{09D18DE0-AD5E-4D2D-BBCC-477E0DEE206D}&lt;Citation&gt;&lt;Group&gt;&lt;References&gt;&lt;Item&gt;&lt;ID&gt;494&lt;/ID&gt;&lt;UID&gt;{E6A3A2FE-B59D-4790-9E93-B4B8B1711835}&lt;/UID&gt;&lt;Title&gt;The natural course of Hashimoto&amp;apos;s thyroiditis in children and adolescents&lt;/Title&gt;&lt;Template&gt;Journal Article&lt;/Template&gt;&lt;Star&gt;0&lt;/Star&gt;&lt;Tag&gt;0&lt;/Tag&gt;&lt;Author&gt;Lee, H S; Hwang, J S&lt;/Author&gt;&lt;Year&gt;2014&lt;/Year&gt;&lt;Details&gt;&lt;_accession_num&gt;24756046&lt;/_accession_num&gt;&lt;_collection_scope&gt;SCIE&lt;/_collection_scope&gt;&lt;_created&gt;65604216&lt;/_created&gt;&lt;_date&gt;2014-09-01&lt;/_date&gt;&lt;_date_display&gt;2014 Sep&lt;/_date_display&gt;&lt;_doi&gt;10.1515/jpem-2013-0373&lt;/_doi&gt;&lt;_impact_factor&gt;   1.520&lt;/_impact_factor&gt;&lt;_isbn&gt;2191-0251 (Electronic); 0334-018X (Linking)&lt;/_isbn&gt;&lt;_issue&gt;9-10&lt;/_issue&gt;&lt;_journal&gt;J Pediatr Endocrinol Metab&lt;/_journal&gt;&lt;_language&gt;eng&lt;/_language&gt;&lt;_modified&gt;65604216&lt;/_modified&gt;&lt;_pages&gt;807-12&lt;/_pages&gt;&lt;_social_category&gt;内分泌学与代谢(4) &amp;amp; 儿科(4)&lt;/_social_category&gt;&lt;_subject_headings&gt;Adolescent; Child; Disease Progression; Female; Hashimoto Disease/blood/drug therapy/*physiopathology; Humans; Hypothyroidism/blood/drug therapy/*physiopathology; Male; Retrospective Studies; Thyroid Function Tests; Thyroid Gland/immunology/*physiopathology; Thyrotropin/blood; Thyroxine/blood/therapeutic use; Triiodothyronine/blood&lt;/_subject_headings&gt;&lt;_tertiary_title&gt;Journal of pediatric endocrinology &amp;amp; metabolism : JPEM&lt;/_tertiary_title&gt;&lt;_type_work&gt;Journal Article&lt;/_type_work&gt;&lt;_url&gt;http://www.ncbi.nlm.nih.gov/entrez/query.fcgi?cmd=Retrieve&amp;amp;db=pubmed&amp;amp;dopt=Abstract&amp;amp;list_uids=24756046&amp;amp;query_hl=1&lt;/_url&gt;&lt;_volume&gt;27&lt;/_volume&gt;&lt;/Details&gt;&lt;Extra&gt;&lt;DBUID&gt;{F96A950B-833F-4880-A151-76DA2D6A2879}&lt;/DBUID&gt;&lt;/Extra&gt;&lt;/Item&gt;&lt;/References&gt;&lt;/Group&gt;&lt;/Citation&gt;_x000a_"/>
    <w:docVar w:name="NE.Ref{259DD885-C931-4A11-858C-91EB16F44154}" w:val=" ADDIN NE.Ref.{259DD885-C931-4A11-858C-91EB16F44154}&lt;Citation&gt;&lt;Group&gt;&lt;References&gt;&lt;Item&gt;&lt;ID&gt;3282&lt;/ID&gt;&lt;UID&gt;{A069364A-1460-4815-8907-8DECA9AC35E1}&lt;/UID&gt;&lt;Title&gt;彩色多普勒超声对桥本氏甲状腺炎与Graves病的鉴别诊断研究&lt;/Title&gt;&lt;Template&gt;Journal Article&lt;/Template&gt;&lt;Star&gt;0&lt;/Star&gt;&lt;Tag&gt;0&lt;/Tag&gt;&lt;Author&gt;余卫峰; 曾志雄; 林少坤&lt;/Author&gt;&lt;Year&gt;2023&lt;/Year&gt;&lt;Details&gt;&lt;_accessed&gt;65665055&lt;/_accessed&gt;&lt;_created&gt;65664973&lt;/_created&gt;&lt;_db_provider&gt;北京万方数据股份有限公司&lt;/_db_provider&gt;&lt;_doi&gt;10.3969/j.issn.1002-2376.2023.04.009&lt;/_doi&gt;&lt;_issue&gt;4&lt;/_issue&gt;&lt;_journal&gt;医疗装备&lt;/_journal&gt;&lt;_keywords&gt;彩色多普勒超声; 桥本氏甲状腺炎; Graves病; 鉴别诊断&lt;/_keywords&gt;&lt;_modified&gt;65665055&lt;/_modified&gt;&lt;_volume&gt;36&lt;/_volume&gt;&lt;_translated_author&gt;Yu, Wei feng;Ceng, Zhi xiong;Lin, Shao kun&lt;/_translated_author&gt;&lt;/Details&gt;&lt;Extra&gt;&lt;DBUID&gt;{F96A950B-833F-4880-A151-76DA2D6A2879}&lt;/DBUID&gt;&lt;/Extra&gt;&lt;/Item&gt;&lt;/References&gt;&lt;/Group&gt;&lt;/Citation&gt;_x000a_"/>
    <w:docVar w:name="NE.Ref{2C408E8A-FC2D-4F0C-B78C-0DC1080F9B6F}" w:val=" ADDIN NE.Ref.{2C408E8A-FC2D-4F0C-B78C-0DC1080F9B6F}&lt;Citation&gt;&lt;Group&gt;&lt;References&gt;&lt;Item&gt;&lt;ID&gt;3240&lt;/ID&gt;&lt;UID&gt;{EC8B1CCD-1AD2-4767-B60B-6FE40006F98F}&lt;/UID&gt;&lt;Title&gt;唐汉钧治疗桥本甲状腺炎经验撷英&lt;/Title&gt;&lt;Template&gt;Journal Article&lt;/Template&gt;&lt;Star&gt;0&lt;/Star&gt;&lt;Tag&gt;0&lt;/Tag&gt;&lt;Author&gt;邢捷; 唐汉钧&lt;/Author&gt;&lt;Year&gt;2015&lt;/Year&gt;&lt;Details&gt;&lt;_author_adr&gt;上海中医药大学附属龙华医院中医外科;&lt;/_author_adr&gt;&lt;_created&gt;65646214&lt;/_created&gt;&lt;_db_provider&gt;CNKI&lt;/_db_provider&gt;&lt;_doi&gt;10.16305/j.1007-1334.2015.09.006&lt;/_doi&gt;&lt;_isbn&gt;1007-1334&lt;/_isbn&gt;&lt;_issue&gt;09&lt;/_issue&gt;&lt;_journal&gt;上海中医药杂志&lt;/_journal&gt;&lt;_keywords&gt;桥本甲状腺炎;扶正清瘿方;名医经验;唐汉钧&lt;/_keywords&gt;&lt;_modified&gt;65646214&lt;/_modified&gt;&lt;_pages&gt;15-17&lt;/_pages&gt;&lt;_url&gt;https://link.cnki.net/doi/10.16305/j.1007-1334.2015.09.006&lt;/_url&gt;&lt;_volume&gt;49&lt;/_volume&gt;&lt;_translated_author&gt;Xing, Jie;Tang, Han jun&lt;/_translated_author&gt;&lt;/Details&gt;&lt;Extra&gt;&lt;DBUID&gt;{F96A950B-833F-4880-A151-76DA2D6A2879}&lt;/DBUID&gt;&lt;/Extra&gt;&lt;/Item&gt;&lt;/References&gt;&lt;/Group&gt;&lt;/Citation&gt;_x000a_"/>
    <w:docVar w:name="NE.Ref{2FDAA3EC-14F9-4965-9DFF-5EB464E1D73E}" w:val=" ADDIN NE.Ref.{2FDAA3EC-14F9-4965-9DFF-5EB464E1D73E}&lt;Citation&gt;&lt;Group&gt;&lt;References&gt;&lt;Item&gt;&lt;ID&gt;3280&lt;/ID&gt;&lt;UID&gt;{A70EC962-6557-4C64-B251-580459574A12}&lt;/UID&gt;&lt;Title&gt;Diagnosis and Management of Thyroiditis: Hashimoto&lt;/Title&gt;&lt;Template&gt;Journal Article&lt;/Template&gt;&lt;Star&gt;0&lt;/Star&gt;&lt;Tag&gt;0&lt;/Tag&gt;&lt;Author&gt;Russell, M D; Chiang, J&lt;/Author&gt;&lt;Year&gt;2022&lt;/Year&gt;&lt;Details&gt;&lt;_accessed&gt;65664972&lt;/_accessed&gt;&lt;_created&gt;65664926&lt;/_created&gt;&lt;_issue&gt; 19 January&lt;/_issue&gt;&lt;_journal&gt;Endocrine Surgery Comprehensive Board Exam Guide&lt;/_journal&gt;&lt;_modified&gt;65664972&lt;/_modified&gt;&lt;_pages&gt; 83-105&lt;/_pages&gt;&lt;/Details&gt;&lt;Extra&gt;&lt;DBUID&gt;{F96A950B-833F-4880-A151-76DA2D6A2879}&lt;/DBUID&gt;&lt;/Extra&gt;&lt;/Item&gt;&lt;/References&gt;&lt;/Group&gt;&lt;/Citation&gt;_x000a_"/>
    <w:docVar w:name="NE.Ref{3BB405D2-D0AC-4F57-840E-0E5149CB4049}" w:val=" ADDIN NE.Ref.{3BB405D2-D0AC-4F57-840E-0E5149CB4049}&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42F967EC-F9BF-4BB6-BD60-EC631FF69ACB}" w:val=" ADDIN NE.Ref.{42F967EC-F9BF-4BB6-BD60-EC631FF69ACB}&lt;Citation&gt;&lt;Group&gt;&lt;References&gt;&lt;Item&gt;&lt;ID&gt;496&lt;/ID&gt;&lt;UID&gt;{2BA42B4E-7259-42AA-BBE0-56D23FB78CCC}&lt;/UID&gt;&lt;Title&gt;桥本氏甲状腺炎中西医结合质量控制指标体系北京专家共识（2021版）&lt;/Title&gt;&lt;Template&gt;Journal Article&lt;/Template&gt;&lt;Star&gt;0&lt;/Star&gt;&lt;Tag&gt;0&lt;/Tag&gt;&lt;Author/&gt;&lt;Year&gt;2021&lt;/Year&gt;&lt;Details&gt;&lt;_author_adr&gt;北京中西医结合学会甲状腺病专业委员会;&lt;/_author_adr&gt;&lt;_created&gt;65604222&lt;/_created&gt;&lt;_db_provider&gt;CNKI&lt;/_db_provider&gt;&lt;_isbn&gt;1001-0025&lt;/_isbn&gt;&lt;_issue&gt;06&lt;/_issue&gt;&lt;_journal&gt;中日友好医院学报&lt;/_journal&gt;&lt;_keywords&gt;桥本氏甲状腺炎;中西医结合;医疗质量;质量控制;专家共识&lt;/_keywords&gt;&lt;_modified&gt;65604222&lt;/_modified&gt;&lt;_pages&gt;323-327&lt;/_pages&gt;&lt;_url&gt;https://kns.cnki.net/kcms2/article/abstract?v=Fc1KeZPKhRHbb5eiWLVs8FxsIvbawiK74AzoPiWDfy6-dzM_pbqNr75qJrfkjq1GGGqhkwau39CJZYmTd0RRgSdEn0r0aC4nBzpOlcIJ-DyEGBVOtM8IP_kVBzapjv7AmmoGoVQtPL0Mh0lvUSbNLs1leqQFE6MK3rjRHxQnmk0V6axhfF9Pvt8Bfmsg5HLxQkdHb2s8KtE=&amp;amp;uniplatform=NZKPT&amp;amp;language=CHS&lt;/_url&gt;&lt;_volume&gt;35&lt;/_volume&gt;&lt;/Details&gt;&lt;Extra&gt;&lt;DBUID&gt;{F96A950B-833F-4880-A151-76DA2D6A2879}&lt;/DBUID&gt;&lt;/Extra&gt;&lt;/Item&gt;&lt;/References&gt;&lt;/Group&gt;&lt;Group&gt;&lt;References&gt;&lt;Item&gt;&lt;ID&gt;3252&lt;/ID&gt;&lt;UID&gt;{D63E0D70-9A11-4224-B4CC-3B4CD74A031A}&lt;/UID&gt;&lt;Title&gt;精细化膳食处方联合情绪调控对桥本氏甲状腺炎患者健康状况的干预效果研究&lt;/Title&gt;&lt;Template&gt;Thesis&lt;/Template&gt;&lt;Star&gt;0&lt;/Star&gt;&lt;Tag&gt;0&lt;/Tag&gt;&lt;Author&gt;杨雪威&lt;/Author&gt;&lt;Year&gt;2018&lt;/Year&gt;&lt;Details&gt;&lt;_created&gt;65647527&lt;/_created&gt;&lt;_db_provider&gt;CNKI&lt;/_db_provider&gt;&lt;_keywords&gt;精细化膳食处方;情绪调控;桥本氏甲状腺炎;健康状况&lt;/_keywords&gt;&lt;_modified&gt;65647527&lt;/_modified&gt;&lt;_publisher&gt;锦州医科大学&lt;/_publisher&gt;&lt;_tertiary_author&gt;徐锦江&lt;/_tertiary_author&gt;&lt;_type_work&gt;硕士&lt;/_type_work&gt;&lt;_url&gt;https://next.cnki.net/middle/abstract?v=64ENavj7QCAQN-Ef6OnHudwp0S6q2unSxK5hE7jNVX-EFmQ8LAFKXzefO-TaBpcdoapFGWXVR8iHd3Tzq6hlXyeMYRRcblnRtoPLpvF8Bmb_7LSEaAT6UberY-HEopfsBFApoidnFpcDWChK7jpvNN5IbL1i8BPrd5jTjDxize5b1HX23tE4bNi23x87pBTkYsbOB8pYYw1T0w2WWQBVmQ==&amp;amp;uniplatform=NZKPT&amp;amp;language=CHS&amp;amp;scence=null&lt;/_url&gt;&lt;_translated_author&gt;Yang, Xue wei&lt;/_translated_author&gt;&lt;_translated_tertiary_author&gt;Xu, Jin jiang&lt;/_translated_tertiary_author&gt;&lt;/Details&gt;&lt;Extra&gt;&lt;DBUID&gt;{F96A950B-833F-4880-A151-76DA2D6A2879}&lt;/DBUID&gt;&lt;/Extra&gt;&lt;/Item&gt;&lt;/References&gt;&lt;/Group&gt;&lt;Group&gt;&lt;References&gt;&lt;Item&gt;&lt;ID&gt;3253&lt;/ID&gt;&lt;UID&gt;{34CF32F9-4904-427F-AAA5-28B1C0B4BF87}&lt;/UID&gt;&lt;Title&gt;桥本甲状腺炎对小鼠情绪行为的影响及其神经炎性机制研究&lt;/Title&gt;&lt;Template&gt;Thesis&lt;/Template&gt;&lt;Star&gt;0&lt;/Star&gt;&lt;Tag&gt;0&lt;/Tag&gt;&lt;Author&gt;蔡瑶俊&lt;/Author&gt;&lt;Year&gt;2019&lt;/Year&gt;&lt;Details&gt;&lt;_accessed&gt;65664808&lt;/_accessed&gt;&lt;_created&gt;65647529&lt;/_created&gt;&lt;_db_provider&gt;CNKI&lt;/_db_provider&gt;&lt;_keywords&gt;桥本甲状腺炎;神经炎症;焦虑;抑郁;5-羟色胺&lt;/_keywords&gt;&lt;_modified&gt;65664808&lt;/_modified&gt;&lt;_publisher&gt;安徽医科大学&lt;/_publisher&gt;&lt;_tertiary_author&gt;朱德发&lt;/_tertiary_author&gt;&lt;_type_work&gt;博士&lt;/_type_work&gt;&lt;_url&gt;https://next.cnki.net/middle/abstract?v=64ENavj7QCBAfLWeARMLa3mRgitheMIa34DLrOWhymRmnAvLp976609ot25va16yVlMO8VmtLGOa5DFME8Zbz5roB9tc7WZTYESjOCRgY5EUeYLI-lp3FsM2lo-GIQ-77W8-kmWh8W0pPwQ_oYlKCnr98STeJUuSsPoUYNMda_Dg--KD0Lu-xN7pfe37v9AUOBtvqFkpGcOA7X1WZaJalg==&amp;amp;uniplatform=NZKPT&amp;amp;language=CHS&amp;amp;scence=null&lt;/_url&gt;&lt;_translated_author&gt;Cai, Yao jun&lt;/_translated_author&gt;&lt;_translated_tertiary_author&gt;Zhu, De fa&lt;/_translated_tertiary_author&gt;&lt;/Details&gt;&lt;Extra&gt;&lt;DBUID&gt;{F96A950B-833F-4880-A151-76DA2D6A2879}&lt;/DBUID&gt;&lt;/Extra&gt;&lt;/Item&gt;&lt;/References&gt;&lt;/Group&gt;&lt;/Citation&gt;_x000a_"/>
    <w:docVar w:name="NE.Ref{47E4183A-DBED-42DF-895B-08A1CBDE8446}" w:val=" ADDIN NE.Ref.{47E4183A-DBED-42DF-895B-08A1CBDE8446}&lt;Citation&gt;&lt;Group&gt;&lt;References&gt;&lt;Item&gt;&lt;ID&gt;3241&lt;/ID&gt;&lt;UID&gt;{17721C63-6789-4427-A94C-6C2EDC5CBC08}&lt;/UID&gt;&lt;Title&gt;过量碘调节甲状腺细胞自噬和凋亡以及与桥本甲状腺炎关系的研究&lt;/Title&gt;&lt;Template&gt;Thesis&lt;/Template&gt;&lt;Star&gt;0&lt;/Star&gt;&lt;Tag&gt;0&lt;/Tag&gt;&lt;Author&gt;许铖铖&lt;/Author&gt;&lt;Year&gt;2015&lt;/Year&gt;&lt;Details&gt;&lt;_created&gt;65647382&lt;/_created&gt;&lt;_date&gt;2015-06-01&lt;/_date&gt;&lt;_db_provider&gt;北京万方数据股份有限公司&lt;/_db_provider&gt;&lt;_keywords&gt;桥本甲状腺炎; 发病机制; 碘过量; 细胞自噬; 诱导凋亡&lt;/_keywords&gt;&lt;_language&gt;chi&lt;/_language&gt;&lt;_modified&gt;65647382&lt;/_modified&gt;&lt;_publisher&gt;江苏大学&lt;/_publisher&gt;&lt;_section&gt;临床检验诊断学&lt;/_section&gt;&lt;_tertiary_author&gt;毛朝明&lt;/_tertiary_author&gt;&lt;_type_work&gt;硕士&lt;/_type_work&gt;&lt;_url&gt;https://d.wanfangdata.com.cn/thesis/ChhUaGVzaXNOZXdTMjAyNDA5MjAxNTE3MjUSCFkyNzk5OTY5GghqNmZ2NjQ4Yw%3D%3D&lt;/_url&gt;&lt;_translated_author&gt;Xu, Cheng cheng&lt;/_translated_author&gt;&lt;_translated_tertiary_author&gt;Mao, Chao ming&lt;/_translated_tertiary_author&gt;&lt;/Details&gt;&lt;Extra&gt;&lt;DBUID&gt;{F96A950B-833F-4880-A151-76DA2D6A2879}&lt;/DBUID&gt;&lt;/Extra&gt;&lt;/Item&gt;&lt;/References&gt;&lt;/Group&gt;&lt;Group&gt;&lt;References&gt;&lt;Item&gt;&lt;ID&gt;3242&lt;/ID&gt;&lt;UID&gt;{85B3ABEB-7CF7-42FF-86EC-B0785E8EA02E}&lt;/UID&gt;&lt;Title&gt;不同碘摄入量桥本甲状腺炎患者TNF-α、甲状腺自身抗体的相关性研究&lt;/Title&gt;&lt;Template&gt;Thesis&lt;/Template&gt;&lt;Star&gt;0&lt;/Star&gt;&lt;Tag&gt;0&lt;/Tag&gt;&lt;Author&gt;陈云霞&lt;/Author&gt;&lt;Year&gt;2011&lt;/Year&gt;&lt;Details&gt;&lt;_created&gt;65647389&lt;/_created&gt;&lt;_date&gt;2011-03-01&lt;/_date&gt;&lt;_db_provider&gt;北京万方数据股份有限公司&lt;/_db_provider&gt;&lt;_keywords&gt;桥本甲状腺炎; 尿碘测定; 甲状腺球蛋白; 抗甲状腺球蛋白抗体; 抗甲状腺过氧化物酶抗体; 肿瘤坏死因子-α; 免疫指标&lt;/_keywords&gt;&lt;_language&gt;chi&lt;/_language&gt;&lt;_modified&gt;65647389&lt;/_modified&gt;&lt;_publisher&gt;河北医科大学&lt;/_publisher&gt;&lt;_section&gt;内科学&lt;/_section&gt;&lt;_tertiary_author&gt;苏胜偶&lt;/_tertiary_author&gt;&lt;_type_work&gt;硕士&lt;/_type_work&gt;&lt;_url&gt;https://d.wanfangdata.com.cn/thesis/ChhUaGVzaXNOZXdTMjAyNDA5MjAxNTE3MjUSCFkxOTAxNTIyGgh3NzVramlydA%3D%3D&lt;/_url&gt;&lt;_translated_author&gt;Chen, Yun xia&lt;/_translated_author&gt;&lt;_translated_tertiary_author&gt;Su, Sheng&amp;apos;ou&lt;/_translated_tertiary_author&gt;&lt;/Details&gt;&lt;Extra&gt;&lt;DBUID&gt;{F96A950B-833F-4880-A151-76DA2D6A2879}&lt;/DBUID&gt;&lt;/Extra&gt;&lt;/Item&gt;&lt;/References&gt;&lt;/Group&gt;&lt;Group&gt;&lt;References&gt;&lt;Item&gt;&lt;ID&gt;3243&lt;/ID&gt;&lt;UID&gt;{AA04BD74-BA9D-446D-BFA6-577C8B5D9873}&lt;/UID&gt;&lt;Title&gt;过量碘诱导甲状腺细胞焦亡与桥本氏甲状腺炎相关机制研究&lt;/Title&gt;&lt;Template&gt;Journal Article&lt;/Template&gt;&lt;Star&gt;0&lt;/Star&gt;&lt;Tag&gt;0&lt;/Tag&gt;&lt;Author&gt;王森塬; 谭丽艳; 于学静&lt;/Author&gt;&lt;Year&gt;2021&lt;/Year&gt;&lt;Details&gt;&lt;_author_adr&gt;佳木斯大学附属第一医院|JG001164,佳木斯大学附属第一医院|JG001164&lt;/_author_adr&gt;&lt;_created&gt;65647405&lt;/_created&gt;&lt;_db_provider&gt;《中华医学杂志》社有限责任公司_x000d__x000a_{Language}：chi&lt;/_db_provider&gt;&lt;_isbn&gt;1673-4394&lt;/_isbn&gt;&lt;_issue&gt;06&lt;/_issue&gt;&lt;_journal&gt;国际免疫学杂志&lt;/_journal&gt;&lt;_keywords&gt;过量碘；细胞焦亡；桥本氏甲状腺炎_x000d__x000a_{Abstract}：目的_x000d__x000a_探究过量碘对甲状腺细胞焦亡的影响及焦亡与桥本氏甲状腺炎的相关性。_x000d__x000a__x000d__x000a_方法_x000d__x000a_将2019年1月至2020年2月佳木斯大学附属第一医院普外科手术取下的甲状腺腺瘤伴桥本甲状腺炎组织(实验组)及甲状腺结节周围正常组织样本(对照组)各6例立即保存于-80 ℃，提取RNA后实时荧光定量逆转录聚合酶链反应(quantificational real-time polymerase chain reaction，qRT-PCR)检测细胞焦亡相关因子NLR家族Pyrin域蛋白3( NLR family pyrin domain containing protein 3 ，NLRP3)、半胱氨酸天冬氨酸蛋白酶-1(cysteine-aspartic acid protease-1，caspase-1)以及白细胞介素-1β(interleukin-1β，IL-1β)的表达。应用不同浓度的碘化钾(1、10、20、50以及100 mmol/L)诱导甲状腺上皮细胞，12 h后进行CCK-8检测筛选最佳实验浓度并观察甲状腺细胞形态的变化以及NLRP3重组蛋白、caspase-1以及IL-1β的表达变化。加入caspase-1抑制剂后进一步观察NLRP3、caspase-1以及IL-1β的表达变化。_x000d__x000a__x000d__x000a_结果_x000d__x000a_桥本甲状腺炎患者手术组织标本中NLRP3、caspase-1以及IL-1β的表达水平升高[NLRP3：(3.58±0.98)比(1.02±0.29)；caspase-1：(3.37±0.46)比(1.03±0.47)；IL-1β：(3.48±0.87)比(1.09±0.61)，t值分别为9.863、9.057、7.875，P值均&amp;amp;lt;0.05]；在细胞实验中，以50 mmol/L碘化钾处理甲状腺上皮细胞时的细胞形态变化最显著，细胞中的NLRP3，caspase-1以及IL-1β的mRNA[NLRP3：(2.87±0.82)比(1.04±0.39)；caspase-1：(2.85±0.78)比(1.06±0.47)；IL-1β：(3.10±1.01)比(1.06±0.24), t值分别为7.702、5.121、6.263, P值均&amp;amp;lt;0.05]及蛋白质[NLRP3：(3.21±1.13)比(1.04±0.61)；caspase-1：(2.78±0.29)比(1.06±0.94)；IL-1β: (2.99±0.56)比(1.24±0.27)，t值分别为8.194、10.290、14.090，P值均&amp;amp;lt;0.05]表达水平升高，加入caspase-1抑制剂后这种变化被一定程度的逆转。_x000d__x000a__x000d__x000a_结论_x000d__x000a_过量碘通过影响甲状腺细胞的焦亡参与桥本氏甲状腺炎的发生发展。_x000d__x000a_{URL}：https://rs.yiigle.com/cmaid/1345501&lt;/_keywords&gt;&lt;_modified&gt;65647405&lt;/_modified&gt;&lt;_pages&gt;609-614&lt;/_pages&gt;&lt;_translated_title&gt;Excessive iodine-induced pyroptosis of thyroid cells and related mechanisms of Hashimoto&amp;apos;s thyroiditis&lt;/_translated_title&gt;&lt;_translated_author&gt;Wang, Sen yuan;Tan, Li yan;Yu, Xue jing&lt;/_translated_author&gt;&lt;/Details&gt;&lt;Extra&gt;&lt;DBUID&gt;{F96A950B-833F-4880-A151-76DA2D6A2879}&lt;/DBUID&gt;&lt;/Extra&gt;&lt;/Item&gt;&lt;/References&gt;&lt;/Group&gt;&lt;Group&gt;&lt;References&gt;&lt;Item&gt;&lt;ID&gt;3244&lt;/ID&gt;&lt;UID&gt;{0BF7C609-8CC8-45C5-9BFD-815C8368FB8D}&lt;/UID&gt;&lt;Title&gt;碘过量与桥本氏甲状腺炎之间关系的研究进展&lt;/Title&gt;&lt;Template&gt;Journal Article&lt;/Template&gt;&lt;Star&gt;0&lt;/Star&gt;&lt;Tag&gt;0&lt;/Tag&gt;&lt;Author&gt;陈雪梅; 刘燚; 范源; 瞿博&lt;/Author&gt;&lt;Year&gt;2014&lt;/Year&gt;&lt;Details&gt;&lt;_accessed&gt;65664814&lt;/_accessed&gt;&lt;_author_adr&gt;云南中医学院; 云南省中西医结合医院&lt;/_author_adr&gt;&lt;_created&gt;65647408&lt;/_created&gt;&lt;_db_provider&gt;北京万方数据股份有限公司&lt;/_db_provider&gt;&lt;_doi&gt;10.3969/j.issn.1003-4706.2014.12.048&lt;/_doi&gt;&lt;_issue&gt;12&lt;/_issue&gt;&lt;_journal&gt;昆明医科大学学报&lt;/_journal&gt;&lt;_keywords&gt;碘; 甲状腺; 桥本氏甲状腺炎&lt;/_keywords&gt;&lt;_language&gt;chi_x000d__x000a_基金项目:&lt;/_language&gt;&lt;_modified&gt;65664814&lt;/_modified&gt;&lt;_pages&gt;169-174&lt;/_pages&gt;&lt;_translated_author&gt;Xue-mei, CHE; Yi, LIU; Yuea, FAN; Bo, Q U&lt;/_translated_author&gt;&lt;_translated_title&gt;Research Progress of the of Relationship between Iodine excess and Hashimoto&amp;apos;s Thyroiditis&lt;/_translated_title&gt;&lt;_url&gt;https://d.wanfangdata.com.cn/periodical/ChlQZXJpb2RpY2FsQ0hJTmV3UzIwMjQwNzA0EhBrbXl4eXhiMjAxNDEyMDQ4Gghoc3RnNHczaQ==&lt;/_url&gt;&lt;_volume&gt;35&lt;/_volume&gt;&lt;/Details&gt;&lt;Extra&gt;&lt;DBUID&gt;{F96A950B-833F-4880-A151-76DA2D6A2879}&lt;/DBUID&gt;&lt;/Extra&gt;&lt;/Item&gt;&lt;/References&gt;&lt;/Group&gt;&lt;Group&gt;&lt;References&gt;&lt;Item&gt;&lt;ID&gt;3245&lt;/ID&gt;&lt;UID&gt;{08B33C3F-08C9-473A-AF8A-981227D3B984}&lt;/UID&gt;&lt;Title&gt;尿碘含量与桥本甲状腺炎的关系研究&lt;/Title&gt;&lt;Template&gt;Journal Article&lt;/Template&gt;&lt;Star&gt;0&lt;/Star&gt;&lt;Tag&gt;0&lt;/Tag&gt;&lt;Author&gt;张志宏; 张晋敏; 连文娟&lt;/Author&gt;&lt;Year&gt;2015&lt;/Year&gt;&lt;Details&gt;&lt;_author_adr&gt;山西省晋中市第二人民医院; 山西省晋中市第二人民医院; 山西省晋中市第二人民医院&lt;/_author_adr&gt;&lt;_created&gt;65647412&lt;/_created&gt;&lt;_db_provider&gt;北京万方数据股份有限公司&lt;/_db_provider&gt;&lt;_issue&gt;12&lt;/_issue&gt;&lt;_journal&gt;基层医学论坛&lt;/_journal&gt;&lt;_keywords&gt;桥本甲状腺炎; 尿碘; 关系; 临床研究&lt;/_keywords&gt;&lt;_language&gt;chi_x000d__x000a_基金项目:&lt;/_language&gt;&lt;_modified&gt;65647412&lt;/_modified&gt;&lt;_pages&gt;1599-1601&lt;/_pages&gt;&lt;_url&gt;https://d.wanfangdata.com.cn/periodical/ChlQZXJpb2RpY2FsQ0hJTmV3UzIwMjQwNzA0Eg9qY3l4bHQyMDE1MTIwMTIaCHkzbWNsN3Ro&lt;/_url&gt;&lt;_translated_author&gt;Zhang, Zhi hong;Zhang, Jin min;Lian, Wen juan&lt;/_translated_author&gt;&lt;/Details&gt;&lt;Extra&gt;&lt;DBUID&gt;{F96A950B-833F-4880-A151-76DA2D6A2879}&lt;/DBUID&gt;&lt;/Extra&gt;&lt;/Item&gt;&lt;/References&gt;&lt;/Group&gt;&lt;Group&gt;&lt;References&gt;&lt;Item&gt;&lt;ID&gt;3246&lt;/ID&gt;&lt;UID&gt;{8AD67773-E191-4E76-A28B-702B5433B1A5}&lt;/UID&gt;&lt;Title&gt;Excess iodine intake: sources, assessment, and effects on thyroid function&lt;/Title&gt;&lt;Template&gt;Journal Article&lt;/Template&gt;&lt;Star&gt;0&lt;/Star&gt;&lt;Tag&gt;0&lt;/Tag&gt;&lt;Author&gt;Farebrother, J; Zimmermann, M B; Andersson, M&lt;/Author&gt;&lt;Year&gt;2019&lt;/Year&gt;&lt;Details&gt;&lt;_accessed&gt;65664808&lt;/_accessed&gt;&lt;_accession_num&gt;30891786&lt;/_accession_num&gt;&lt;_author_adr&gt;Human Nutrition Laboratory, Institute of Food, Nutrition, and Health, ETH Zurich,  Zurich, Switzerland.; Department of Women and Children&amp;apos;s Health, King&amp;apos;s College London, London, UK.; Human Nutrition Laboratory, Institute of Food, Nutrition, and Health, ETH Zurich,  Zurich, Switzerland.; Iodine Global Network, Ottawa, Ontario, Canada.; Human Nutrition Laboratory, Institute of Food, Nutrition, and Health, ETH Zurich,  Zurich, Switzerland.; Iodine Global Network, Ottawa, Ontario, Canada.; Division of Gastroenterology and Nutrition, University Children&amp;apos;s Hospital  Zurich, Zurich, Switzerland.&lt;/_author_adr&gt;&lt;_created&gt;65647414&lt;/_created&gt;&lt;_date&gt;2019-06-01&lt;/_date&gt;&lt;_date_display&gt;2019 Jun&lt;/_date_display&gt;&lt;_doi&gt;10.1111/nyas.14041&lt;/_doi&gt;&lt;_impact_factor&gt;   6.499&lt;/_impact_factor&gt;&lt;_isbn&gt;1749-6632 (Electronic); 0077-8923 (Linking)&lt;/_isbn&gt;&lt;_issue&gt;1&lt;/_issue&gt;&lt;_journal&gt;Ann N Y Acad Sci&lt;/_journal&gt;&lt;_keywords&gt;iodine; iodine excess; iodized salt; thyroglobulin; thyroid autoimmunity&lt;/_keywords&gt;&lt;_language&gt;eng&lt;/_language&gt;&lt;_modified&gt;65664808&lt;/_modified&gt;&lt;_ori_publication&gt;© 2019 New York Academy of Sciences.&lt;/_ori_publication&gt;&lt;_pages&gt;44-65&lt;/_pages&gt;&lt;_subject_headings&gt;Adolescent; Adult; Child; Child, Preschool; *Guidelines as Topic; Humans; Hyperthyroidism/diagnosis/etiology; Hypothyroidism/diagnosis/etiology; Infant; Infant, Newborn; Iodine/*administration &amp;amp; dosage/adverse effects; Middle Aged; *Thyroid Function Tests&lt;/_subject_headings&gt;&lt;_tertiary_title&gt;Annals of the New York Academy of Sciences&lt;/_tertiary_title&gt;&lt;_type_work&gt;Journal Article; Research Support, Non-U.S. Gov&amp;apos;t&lt;/_type_work&gt;&lt;_url&gt;http://www.ncbi.nlm.nih.gov/entrez/query.fcgi?cmd=Retrieve&amp;amp;db=pubmed&amp;amp;dopt=Abstract&amp;amp;list_uids=30891786&amp;amp;query_hl=1&lt;/_url&gt;&lt;_volume&gt;1446&lt;/_volume&gt;&lt;/Details&gt;&lt;Extra&gt;&lt;DBUID&gt;{F96A950B-833F-4880-A151-76DA2D6A2879}&lt;/DBUID&gt;&lt;/Extra&gt;&lt;/Item&gt;&lt;/References&gt;&lt;/Group&gt;&lt;/Citation&gt;_x000a_"/>
    <w:docVar w:name="NE.Ref{49A5C14E-F47A-43E1-81ED-AB31451CB819}" w:val=" ADDIN NE.Ref.{49A5C14E-F47A-43E1-81ED-AB31451CB819}&lt;Citation&gt;&lt;Group&gt;&lt;References&gt;&lt;Item&gt;&lt;ID&gt;3379&lt;/ID&gt;&lt;UID&gt;{57CF56E2-9ACD-4AA6-A859-FDDC1FDF6B50}&lt;/UID&gt;&lt;Title&gt;慢性淋巴细胞性甲状腺炎合并甲状腺乳头状癌的研究进展&lt;/Title&gt;&lt;Template&gt;Journal Article&lt;/Template&gt;&lt;Star&gt;0&lt;/Star&gt;&lt;Tag&gt;0&lt;/Tag&gt;&lt;Author&gt;王尔黎; 徐钧&lt;/Author&gt;&lt;Year&gt;2017&lt;/Year&gt;&lt;Details&gt;&lt;_accessed&gt;65702389&lt;/_accessed&gt;&lt;_author_adr&gt;山西医科大学|JG009072,山西省肿瘤医院|JG000658&lt;/_author_adr&gt;&lt;_created&gt;65695046&lt;/_created&gt;&lt;_db_provider&gt;《中华医学杂志》社有限责任公司_x000d__x000a_{Language}：chi&lt;/_db_provider&gt;&lt;_isbn&gt;1006-9801&lt;/_isbn&gt;&lt;_issue&gt;05&lt;/_issue&gt;&lt;_journal&gt;肿瘤研究与临床&lt;/_journal&gt;&lt;_keywords&gt;慢性淋巴细胞性甲状腺炎；甲状腺肿瘤；癌，乳头状_x000d__x000a_{Abstract}：甲状腺癌是临床十分常见的恶性肿瘤，而甲状腺乳头状癌（PTC）是其中最为常见的病理类型，慢性淋巴细胞性甲状腺炎为自身免疫性疾病。近年来，越来越多的慢性淋巴细胞性甲状腺炎合并PTC的现象被临床发现，因此对于二者之间关系的研究也成为热点。文章从二者的流行病学、发病机制、病理形态三个方面的研究现状进行阐述。_x000d__x000a_{URL}：http://yiigle.meddata.com.cn:8089/getCore/downloadCore?loginName=zsdx&amp;amp;token=12fc22b31e0eb7c1523abc74c7482dce15&amp;amp;id=991083&lt;/_keywords&gt;&lt;_modified&gt;65702389&lt;/_modified&gt;&lt;_pages&gt;353-356&lt;/_pages&gt;&lt;_translated_title&gt;Progress of chronic lymphocytic thyroiditis combined with papillary thyroid carcinoma&lt;/_translated_title&gt;&lt;_translated_author&gt;Wang, Er li;Xu, Jun&lt;/_translated_author&gt;&lt;/Details&gt;&lt;Extra&gt;&lt;DBUID&gt;{F96A950B-833F-4880-A151-76DA2D6A2879}&lt;/DBUID&gt;&lt;/Extra&gt;&lt;/Item&gt;&lt;/References&gt;&lt;/Group&gt;&lt;/Citation&gt;_x000a_"/>
    <w:docVar w:name="NE.Ref{4AE412F8-84A0-4DC7-9FBA-39B5A716B04B}" w:val=" ADDIN NE.Ref.{4AE412F8-84A0-4DC7-9FBA-39B5A716B04B}&lt;Citation&gt;&lt;Group&gt;&lt;References&gt;&lt;Item&gt;&lt;ID&gt;3255&lt;/ID&gt;&lt;UID&gt;{B552FB66-A86E-49D3-BCC9-5E1245EA5406}&lt;/UID&gt;&lt;Title&gt;硒对桥本甲状腺炎患者IL-17、IL-22、IP-10的影响&lt;/Title&gt;&lt;Template&gt;Thesis&lt;/Template&gt;&lt;Star&gt;0&lt;/Star&gt;&lt;Tag&gt;0&lt;/Tag&gt;&lt;Author&gt;昃晓晨&lt;/Author&gt;&lt;Year&gt;2019&lt;/Year&gt;&lt;Details&gt;&lt;_created&gt;65647591&lt;/_created&gt;&lt;_db_provider&gt;CNKI&lt;/_db_provider&gt;&lt;_doi&gt;10.27262/d.cnki.gqdau.2019.001417&lt;/_doi&gt;&lt;_keywords&gt;桥本甲状腺炎;硒酵母;白细胞介素;趋化因子;甲状腺过氧化物酶抗体&lt;/_keywords&gt;&lt;_modified&gt;65647591&lt;/_modified&gt;&lt;_publisher&gt;青岛大学&lt;/_publisher&gt;&lt;_tertiary_author&gt;吴宁&lt;/_tertiary_author&gt;&lt;_type_work&gt;硕士&lt;/_type_work&gt;&lt;_url&gt;https://link.cnki.net/doi/10.27262/d.cnki.gqdau.2019.001417&lt;/_url&gt;&lt;_translated_author&gt;Ze, Xiao chen&lt;/_translated_author&gt;&lt;_translated_tertiary_author&gt;Wu, Ning&lt;/_translated_tertiary_author&gt;&lt;/Details&gt;&lt;Extra&gt;&lt;DBUID&gt;{F96A950B-833F-4880-A151-76DA2D6A2879}&lt;/DBUID&gt;&lt;/Extra&gt;&lt;/Item&gt;&lt;/References&gt;&lt;/Group&gt;&lt;Group&gt;&lt;References&gt;&lt;Item&gt;&lt;ID&gt;3257&lt;/ID&gt;&lt;UID&gt;{EEEB6890-E3C7-4BED-922A-15F030C2ED5D}&lt;/UID&gt;&lt;Title&gt;硒对桥本甲状腺炎患者TPOAb、TGAb及IL-10、IL-12的影响&lt;/Title&gt;&lt;Template&gt;Conference Proceedings&lt;/Template&gt;&lt;Star&gt;0&lt;/Star&gt;&lt;Tag&gt;0&lt;/Tag&gt;&lt;Author&gt;张薇; 王俊芳; 李昭英&lt;/Author&gt;&lt;Year&gt;2013&lt;/Year&gt;&lt;Details&gt;&lt;_author_adr&gt;山西医科大学;山西医科大学第一医院;&lt;/_author_adr&gt;&lt;_created&gt;65647591&lt;/_created&gt;&lt;_db_provider&gt;CNKI&lt;/_db_provider&gt;&lt;_keywords&gt;桥本甲状腺炎;TPOAb;IL-12&lt;/_keywords&gt;&lt;_modified&gt;65647591&lt;/_modified&gt;&lt;_pages&gt;1&lt;/_pages&gt;&lt;_place_published&gt;中国陕西西安&lt;/_place_published&gt;&lt;_secondary_title&gt;中华医学会第十二次全国内分泌学学术会议&lt;/_secondary_title&gt;&lt;_subsidiary_author&gt;中华医学会内分泌学分会中华医学会&lt;/_subsidiary_author&gt;&lt;_tertiary_title&gt;中华医学会第十二次全国内分泌学学术会议论文汇编&lt;/_tertiary_title&gt;&lt;_url&gt;https://next.cnki.net/middle/abstract?v=64ENavj7QCCmYSv9xr35-uTjGe3F-A7JpckFgJy3zkmZJeWhhY7FErdw88QTo97kryEnZl7IYeX7IOwuHrxPz8oeuuOHXeFrWm5paDVidetp9a-nm7lOqibQwzgbmOB9TtU1xhcxhQByvmbBq7f8xY-NvHxRvEF6rptRH__tw6eEXJdeqCRd0vl9B13KadcwuqUIOi1XBIA=&amp;amp;uniplatform=NZKPT&amp;amp;language=CHS&amp;amp;scence=null&lt;/_url&gt;&lt;_translated_author&gt;Zhang, Wei;Wang, Jun fang;Li, Zhao ying&lt;/_translated_author&gt;&lt;_translated_subsidiary_author&gt;Zhong, Hua yi xue hui&lt;/_translated_subsidiary_author&gt;&lt;/Details&gt;&lt;Extra&gt;&lt;DBUID&gt;{F96A950B-833F-4880-A151-76DA2D6A2879}&lt;/DBUID&gt;&lt;/Extra&gt;&lt;/Item&gt;&lt;/References&gt;&lt;/Group&gt;&lt;Group&gt;&lt;References&gt;&lt;Item&gt;&lt;ID&gt;3256&lt;/ID&gt;&lt;UID&gt;{0BD628B3-104D-4571-8867-3CCACA871F30}&lt;/UID&gt;&lt;Title&gt;硒对桥本甲状腺炎患者TPOAb的影响研究&lt;/Title&gt;&lt;Template&gt;Thesis&lt;/Template&gt;&lt;Star&gt;0&lt;/Star&gt;&lt;Tag&gt;0&lt;/Tag&gt;&lt;Author&gt;王超&lt;/Author&gt;&lt;Year&gt;2016&lt;/Year&gt;&lt;Details&gt;&lt;_created&gt;65647591&lt;/_created&gt;&lt;_db_provider&gt;CNKI&lt;/_db_provider&gt;&lt;_keywords&gt;硒;桥本甲状腺炎;甲状腺过氧化物酶抗体&lt;/_keywords&gt;&lt;_modified&gt;65647591&lt;/_modified&gt;&lt;_publisher&gt;安徽医科大学&lt;/_publisher&gt;&lt;_tertiary_author&gt;马维青&lt;/_tertiary_author&gt;&lt;_type_work&gt;硕士&lt;/_type_work&gt;&lt;_url&gt;https://next.cnki.net/middle/abstract?v=64ENavj7QCCDg9kdjq2kG4Wrs2lFCVvREDoQuF3ceosLr-PHmSDL00EJgaJMXTN7gjFtVRN2EAslk63j3sVVh_5euZMf7FbKryx2MxscX1eXtXcaOqvjI4xrBXLA6dVdWwSdT5poerZrPedRu2f_6CKS0nzlRVZq6fjsTNoc4oHkzo_u6dRzdkOxza5bQ_xijq2rLGr0Jl0uvYGOI6fveg==&amp;amp;uniplatform=NZKPT&amp;amp;language=CHS&amp;amp;scence=null&lt;/_url&gt;&lt;_translated_author&gt;Wang, Chao&lt;/_translated_author&gt;&lt;_translated_tertiary_author&gt;Ma, Wei qing&lt;/_translated_tertiary_author&gt;&lt;/Details&gt;&lt;Extra&gt;&lt;DBUID&gt;{F96A950B-833F-4880-A151-76DA2D6A2879}&lt;/DBUID&gt;&lt;/Extra&gt;&lt;/Item&gt;&lt;/References&gt;&lt;/Group&gt;&lt;/Citation&gt;_x000a_"/>
    <w:docVar w:name="NE.Ref{4F42D0AF-CD94-4429-89A8-21D2F04A58F6}" w:val=" ADDIN NE.Ref.{4F42D0AF-CD94-4429-89A8-21D2F04A58F6}&lt;Citation&gt;&lt;Group&gt;&lt;References&gt;&lt;Item&gt;&lt;ID&gt;3379&lt;/ID&gt;&lt;UID&gt;{57CF56E2-9ACD-4AA6-A859-FDDC1FDF6B50}&lt;/UID&gt;&lt;Title&gt;慢性淋巴细胞性甲状腺炎合并甲状腺乳头状癌的研究进展&lt;/Title&gt;&lt;Template&gt;Journal Article&lt;/Template&gt;&lt;Star&gt;0&lt;/Star&gt;&lt;Tag&gt;0&lt;/Tag&gt;&lt;Author&gt;王尔黎; 徐钧&lt;/Author&gt;&lt;Year&gt;2017&lt;/Year&gt;&lt;Details&gt;&lt;_accessed&gt;65702389&lt;/_accessed&gt;&lt;_author_adr&gt;山西医科大学|JG009072,山西省肿瘤医院|JG000658&lt;/_author_adr&gt;&lt;_created&gt;65695046&lt;/_created&gt;&lt;_db_provider&gt;《中华医学杂志》社有限责任公司_x000d__x000a_{Language}：chi&lt;/_db_provider&gt;&lt;_isbn&gt;1006-9801&lt;/_isbn&gt;&lt;_issue&gt;05&lt;/_issue&gt;&lt;_journal&gt;肿瘤研究与临床&lt;/_journal&gt;&lt;_keywords&gt;慢性淋巴细胞性甲状腺炎；甲状腺肿瘤；癌，乳头状_x000d__x000a_{Abstract}：甲状腺癌是临床十分常见的恶性肿瘤，而甲状腺乳头状癌（PTC）是其中最为常见的病理类型，慢性淋巴细胞性甲状腺炎为自身免疫性疾病。近年来，越来越多的慢性淋巴细胞性甲状腺炎合并PTC的现象被临床发现，因此对于二者之间关系的研究也成为热点。文章从二者的流行病学、发病机制、病理形态三个方面的研究现状进行阐述。_x000d__x000a_{URL}：http://yiigle.meddata.com.cn:8089/getCore/downloadCore?loginName=zsdx&amp;amp;token=12fc22b31e0eb7c1523abc74c7482dce15&amp;amp;id=991083&lt;/_keywords&gt;&lt;_modified&gt;65702389&lt;/_modified&gt;&lt;_pages&gt;353-356&lt;/_pages&gt;&lt;_translated_title&gt;Progress of chronic lymphocytic thyroiditis combined with papillary thyroid carcinoma&lt;/_translated_title&gt;&lt;_translated_author&gt;Wang, Er li;Xu, Jun&lt;/_translated_author&gt;&lt;/Details&gt;&lt;Extra&gt;&lt;DBUID&gt;{F96A950B-833F-4880-A151-76DA2D6A2879}&lt;/DBUID&gt;&lt;/Extra&gt;&lt;/Item&gt;&lt;/References&gt;&lt;/Group&gt;&lt;/Citation&gt;_x000a_"/>
    <w:docVar w:name="NE.Ref{50A0E4F0-6832-4B01-8224-E690DC5C9877}" w:val=" ADDIN NE.Ref.{50A0E4F0-6832-4B01-8224-E690DC5C9877}&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58FAF7F8-A4E8-486B-A081-79F5FB187BB4}" w:val=" ADDIN NE.Ref.{58FAF7F8-A4E8-486B-A081-79F5FB187BB4}&lt;Citation&gt;&lt;Group&gt;&lt;References&gt;&lt;Item&gt;&lt;ID&gt;468&lt;/ID&gt;&lt;UID&gt;{CFA8B741-A985-445F-B6E3-C6B2FDF6ABC3}&lt;/UID&gt;&lt;Title&gt;Efficacy and Safety of Long-Term Universal Salt Iodization on Thyroid Disorders:  Epidemiological Evidence from 31 Provinces of Mainland China&lt;/Title&gt;&lt;Template&gt;Journal Article&lt;/Template&gt;&lt;Star&gt;0&lt;/Star&gt;&lt;Tag&gt;0&lt;/Tag&gt;&lt;Author&gt;Li, Y; Teng, D; Ba, J; Chen, B; &amp;quot;Du J&amp;quot;; He, L; Lai, X; Teng, X; Shi, X; Li, Y; Chi, H; Liao, E; Liu, C; Liu, L; Qin, G; Qin, Y; Quan, H; Shi, B; Sun, H; Tang, X; Tong, N; Wang, G; Zhang, J A; Wang, Y; Xue, Y; Yan, L; Yang, J; Yang, L; Yao, Y; Ye, Z; Zhang, Q; Zhang, L; Zhu, J; Zhu, M; Ning, G; Mu, Y; Zhao, J; Shan, Z; Teng, W&lt;/Author&gt;&lt;Year&gt;2020&lt;/Year&gt;&lt;Details&gt;&lt;_accession_num&gt;32075540&lt;/_accession_num&gt;&lt;_author_adr&gt;Department of Endocrinology and Metabolism, The Institute of Endocrinology, The  First Hospital of China Medical University, Shenyang, P.R. China.; Department of Endocrinology and Metabolism, The Institute of Endocrinology, The  First Hospital of China Medical University, Shenyang, P.R. China.; Department of Endocrinology, Chinese PLA General Hospital, Beijing, P.R. China.; Department of Endocrinology, Southwest Hospital, Third Military Medical  University, Chongqing, P.R. China.; Department of Endocrinology, The First Affiliated Hospital of Dalian Medical  University, Dalian, P.R. China.; Department of Endocrinology, Cardiovascular and Cerebrovascular Disease Hospital  of Ningxia Medical University, Yinchuan, P.R. China.; Department of Endocrinology and Metabolism, The Second Affiliated Hospital of  Nanchang University, Nanchang, P.R. China.; Department of Endocrinology and Metabolism, The Institute of Endocrinology, The  First Hospital of China Medical University, Shenyang, P.R. China.; Department of Endocrinology and Metabolism, The Institute of Endocrinology, The  First Hospital of China Medical University, Shenyang, P.R. China.; Department of Endocrinology, The First Affiliated Hospital of Harbin Medical  University, Harbin, P.R. China.; Department of Endocrinology, Hohhot First Hospital, Hohhot, P.R. China.; Department of Endocrinology and Metabolism, The Second Xiangya Hospital, Central  South University, Changsha, P.R. China.; Research Center of Endocrine and Metabolic Diseases, Affiliated Hospital of  Integrated Traditional Chinese and Western Medicine, Nanjing University of  Chinese Medicine, Nanjing, P.R. China.; Department of Endocrinology and Metabolism, Fujian Institute of Endocrinology,  Fujian Medical University Union Hospital, Fuzhou, P.R. China.; Division of Endocrinology, Department of Internal Medicine, The First Affiliated  Hospital, Zhengzhou University, Zhengzhou, P.R. China.; Department of Endocrine, First Affiliated Hospital of Guangxi Medical University,  Nanning, P.R. China.; Department of Endocrinology, Hainan General Hospital, Haikou, P.R. China.; Department of Endocrinology, The First Affiliated Hospital of Xi&amp;apos;an Jiaotong  University, Xi&amp;apos;an, P.R. China.; Department of Endocrinology, Union Hospital, Tongji Medical College, Huazhong  University of Science and Technology, Wuhan, P.R. China.; Department of Endocrinology, The First Hospital of Lanzhou University, Lanzhou,  P.R. China.; Department of Endocrinology and Metabolism, State Key Laboratory of Biotherapy,  West China Hospital, Sichuan University, Chengdu, P.R. China.; Department of Endocrinology and Metabolism, The First Hospital of Jilin  University, Changchun, P.R. China.; Department of Endocrinology, Shanghai University of Medicine and Health Science  Affiliated Zhoupu Hospital, Shanghai, P.R. China.; Department of Endocrinology, The First Hospital of Anhui Medical University,  Hefei, P.R. China.; Department of Endocrinology, The First People&amp;apos;s Hospital of Yunnan Province,  Kunming, P.R. China.; Department of Endocrinology and Metabolism, Sun Yat-sen Memorial Hospital, Sun  Yat-sen University, Guangzhou, P.R. China.; Department of Endocrinology, The First Hospital of Shanxi Medical University,  Taiyuan, P.R. China.; Department of Endocrinology and Metabolism, People&amp;apos;s Hospital of Tibet Autonomous  Region, Lhasa, P.R. China.; Department of Endocrinology, Qinghai Provincial People&amp;apos;s Hospital, Xining, P.R.  China.; Zhejiang Provincial Center for Disease Control and Prevention, Hangzhou, P.R.  China.; Department of Endocrinology and Metabolism, Affiliated Hospital of Guiyang  Medical University, Guiyang, P.R. China.; Department of Endocrinology, Second Hospital of Hebei Medical University,  Shijiazhuang, P.R. China.; Department of Endocrinology, The First Affiliated Hospital of Xinjiang Medical  University, Urumqi, P.R. China.; Department of Endocrinology and Metabolism, Tianjin Medical University General  Hospital, Tianjin, P.R. China.; Department of Endocrinology and Metabolism, The Institute of Endocrinology,  Rui-Jin Hospital Affiliated with Shanghai Jiao-Tong University School of  Medicine, Shanghai, P.R. China.; Department of Endocrinology, Chinese PLA General Hospital, Beijing, P.R. China.; Department of Endocrinology, Shandong Provincial Hospital affiliated with  Shandong University, Ji&amp;apos;nan, P.R. China.; Department of Endocrinology and Metabolism, The Institute of Endocrinology, The  First Hospital of China Medical University, Shenyang, P.R. China.; Department of Endocrinology and Metabolism, The Institute of Endocrinology, The  First Hospital of China Medical University, Shenyang, P.R. China.&lt;/_author_adr&gt;&lt;_collection_scope&gt;SCIE&lt;/_collection_scope&gt;&lt;_created&gt;65604202&lt;/_created&gt;&lt;_date&gt;2020-04-01&lt;/_date&gt;&lt;_date_display&gt;2020 Apr&lt;/_date_display&gt;&lt;_doi&gt;10.1089/thy.2019.0067&lt;/_doi&gt;&lt;_impact_factor&gt;   6.506&lt;/_impact_factor&gt;&lt;_isbn&gt;1557-9077 (Electronic); 1050-7256 (Linking)&lt;/_isbn&gt;&lt;_issue&gt;4&lt;/_issue&gt;&lt;_journal&gt;Thyroid&lt;/_journal&gt;&lt;_keywords&gt;China; iodine; prevalence; thyroid disorders; universal salt iodization&lt;/_keywords&gt;&lt;_language&gt;eng&lt;/_language&gt;&lt;_modified&gt;65604202&lt;/_modified&gt;&lt;_pages&gt;568-579&lt;/_pages&gt;&lt;_social_category&gt;内分泌学与代谢(2)&lt;/_social_category&gt;&lt;_subject_headings&gt;Adolescent; Adult; Aged; Aged, 80 and over; China/epidemiology; Cross-Sectional Studies; Female; Humans; Hyperthyroidism/diagnostic imaging/*epidemiology/prevention &amp;amp; control; Hypothyroidism/diagnostic imaging/*epidemiology/prevention &amp;amp; control; Iodine/administration &amp;amp; dosage/adverse effects/*deficiency; Male; Middle Aged; Prevalence; Sodium Chloride, Dietary/*administration &amp;amp; dosage/adverse effects; Thyroid Gland/*diagnostic imaging; Ultrasonography; Young Adult&lt;/_subject_headings&gt;&lt;_tertiary_title&gt;Thyroid : official journal of the American Thyroid Association&lt;/_tertiary_title&gt;&lt;_type_work&gt;Journal Article; Research Support, Non-U.S. Gov&amp;apos;t&lt;/_type_work&gt;&lt;_url&gt;http://www.ncbi.nlm.nih.gov/entrez/query.fcgi?cmd=Retrieve&amp;amp;db=pubmed&amp;amp;dopt=Abstract&amp;amp;list_uids=32075540&amp;amp;query_hl=1&lt;/_url&gt;&lt;_volume&gt;30&lt;/_volume&gt;&lt;/Details&gt;&lt;Extra&gt;&lt;DBUID&gt;{F96A950B-833F-4880-A151-76DA2D6A2879}&lt;/DBUID&gt;&lt;/Extra&gt;&lt;/Item&gt;&lt;/References&gt;&lt;/Group&gt;&lt;/Citation&gt;_x000a_"/>
    <w:docVar w:name="NE.Ref{604052CF-4D3C-4A78-9DD4-5C2A8F2F86AA}" w:val=" ADDIN NE.Ref.{604052CF-4D3C-4A78-9DD4-5C2A8F2F86AA}&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6583681E-37B6-4FA3-9C4C-D7C7EF5BBD70}" w:val=" ADDIN NE.Ref.{6583681E-37B6-4FA3-9C4C-D7C7EF5BBD70}&lt;Citation&gt;&lt;Group&gt;&lt;References&gt;&lt;Item&gt;&lt;ID&gt;3237&lt;/ID&gt;&lt;UID&gt;{B56A6703-15E3-4C0F-8772-EC8901DFA552}&lt;/UID&gt;&lt;Title&gt;桥本甲状腺炎中医治疗策略&lt;/Title&gt;&lt;Template&gt;Journal Article&lt;/Template&gt;&lt;Star&gt;0&lt;/Star&gt;&lt;Tag&gt;0&lt;/Tag&gt;&lt;Author&gt;李艳杰; 赵康超; 吴善瑛; 闫琪; 倪青&lt;/Author&gt;&lt;Year&gt;2023&lt;/Year&gt;&lt;Details&gt;&lt;_author_adr&gt;北京核工业医院;北京中医药大学东直门医院;中国中医科学院广安门医院;&lt;/_author_adr&gt;&lt;_created&gt;65646214&lt;/_created&gt;&lt;_db_provider&gt;CNKI&lt;/_db_provider&gt;&lt;_isbn&gt;1672-6790&lt;/_isbn&gt;&lt;_issue&gt;05&lt;/_issue&gt;&lt;_journal&gt;中国临床保健杂志&lt;/_journal&gt;&lt;_keywords&gt;桥本病;瘿;中医药疗法;情志疗法;生活质量&lt;/_keywords&gt;&lt;_modified&gt;65646214&lt;/_modified&gt;&lt;_pages&gt;709-712&lt;/_pages&gt;&lt;_url&gt;https://next.cnki.net/middle/abstract?v=_W1AupcyYgZSqn95j5KJ7dlLN2akwADjOUm94hUjmnooDZ2xFwBkNWzLpymJysB40E0dzhnLjMXEBceylixW2FRmAiFd4x60Bs_C9vBz4we-qCL1bHAr9sL_Pu3mIq-05T8Ie6PDZvZ9nSAEN4RwaRtz6w0yMFDtqAjQpH6uF9xmwdYaAy2j3sQx3zejbFU8S432Q9yubbQ=&amp;amp;uniplatform=NZKPT&amp;amp;language=CHS&amp;amp;scence=null&lt;/_url&gt;&lt;_volume&gt;26&lt;/_volume&gt;&lt;_translated_author&gt;Li, Yan jie;Zhao, Kang chao;Wu, Shan ying;Yan, Qi;Ni, Qing&lt;/_translated_author&gt;&lt;/Details&gt;&lt;Extra&gt;&lt;DBUID&gt;{F96A950B-833F-4880-A151-76DA2D6A2879}&lt;/DBUID&gt;&lt;/Extra&gt;&lt;/Item&gt;&lt;/References&gt;&lt;/Group&gt;&lt;/Citation&gt;_x000a_"/>
    <w:docVar w:name="NE.Ref{67297653-783F-4158-AE74-3A83961A166A}" w:val=" ADDIN NE.Ref.{67297653-783F-4158-AE74-3A83961A166A}&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7B2F41AE-E33B-4FC9-B7C3-D2110D0D33AA}" w:val=" ADDIN NE.Ref.{7B2F41AE-E33B-4FC9-B7C3-D2110D0D33AA}&lt;Citation&gt;&lt;Group&gt;&lt;References&gt;&lt;Item&gt;&lt;ID&gt;495&lt;/ID&gt;&lt;UID&gt;{F250E003-0C2A-4F7F-86D9-650B5EE429D6}&lt;/UID&gt;&lt;Title&gt;Clinical aspects of Hashimoto&amp;apos;s thyroiditis&lt;/Title&gt;&lt;Template&gt;Journal Article&lt;/Template&gt;&lt;Star&gt;0&lt;/Star&gt;&lt;Tag&gt;0&lt;/Tag&gt;&lt;Author&gt;Radetti, G&lt;/Author&gt;&lt;Year&gt;2014&lt;/Year&gt;&lt;Details&gt;&lt;_accession_num&gt;25231451&lt;/_accession_num&gt;&lt;_author_adr&gt;Department of Paediatrics, General Hospital Bolzano, Bolzano, Italy.&lt;/_author_adr&gt;&lt;_created&gt;65604217&lt;/_created&gt;&lt;_date&gt;2014-01-20&lt;/_date&gt;&lt;_date_display&gt;2014&lt;/_date_display&gt;&lt;_doi&gt;10.1159/000363162&lt;/_doi&gt;&lt;_isbn&gt;1662-2979 (Electronic); 1421-7082 (Linking)&lt;/_isbn&gt;&lt;_journal&gt;Endocr Dev&lt;/_journal&gt;&lt;_language&gt;eng&lt;/_language&gt;&lt;_modified&gt;65604217&lt;/_modified&gt;&lt;_pages&gt;158-70&lt;/_pages&gt;&lt;_subject_headings&gt;Child; Hashimoto Disease/*diagnosis/immunology/physiopathology; Humans; Thyroid Gland/*immunology/physiopathology&lt;/_subject_headings&gt;&lt;_tertiary_title&gt;Endocrine development&lt;/_tertiary_title&gt;&lt;_type_work&gt;Journal Article; Review&lt;/_type_work&gt;&lt;_url&gt;http://www.ncbi.nlm.nih.gov/entrez/query.fcgi?cmd=Retrieve&amp;amp;db=pubmed&amp;amp;dopt=Abstract&amp;amp;list_uids=25231451&amp;amp;query_hl=1&lt;/_url&gt;&lt;_volume&gt;26&lt;/_volume&gt;&lt;/Details&gt;&lt;Extra&gt;&lt;DBUID&gt;{F96A950B-833F-4880-A151-76DA2D6A2879}&lt;/DBUID&gt;&lt;/Extra&gt;&lt;/Item&gt;&lt;/References&gt;&lt;/Group&gt;&lt;Group&gt;&lt;References&gt;&lt;Item&gt;&lt;ID&gt;3275&lt;/ID&gt;&lt;UID&gt;{C3722DC9-894E-4B1C-A85C-35B2EBC3EC75}&lt;/UID&gt;&lt;Title&gt;中医辨证分型与桥本氏甲状腺炎超声表现、甲状腺自身抗体、甲功的相关性研究&lt;/Title&gt;&lt;Template&gt;Thesis&lt;/Template&gt;&lt;Star&gt;0&lt;/Star&gt;&lt;Tag&gt;0&lt;/Tag&gt;&lt;Author&gt;谭辛汉&lt;/Author&gt;&lt;Year&gt;2023&lt;/Year&gt;&lt;Details&gt;&lt;_accessed&gt;65664803&lt;/_accessed&gt;&lt;_created&gt;65664789&lt;/_created&gt;&lt;_date&gt;2023-05-01&lt;/_date&gt;&lt;_db_provider&gt;北京万方数据股份有限公司&lt;/_db_provider&gt;&lt;_keywords&gt;桥本氏甲状腺炎; 中医分型; 超声图像; 血流信号&lt;/_keywords&gt;&lt;_language&gt;chi&lt;/_language&gt;&lt;_modified&gt;65664803&lt;/_modified&gt;&lt;_publisher&gt;广州医科大学&lt;/_publisher&gt;&lt;_section&gt;影像医学与核医学&lt;/_section&gt;&lt;_tertiary_author&gt;李征毅&lt;/_tertiary_author&gt;&lt;_type_work&gt;硕士&lt;/_type_work&gt;&lt;_url&gt;https://d.wanfangdata.com.cn/thesis/ChhUaGVzaXNOZXdTMjAyNDA5MjAxNTE3MjUSCUQwMzQwNjM0OBoINGVxbGtnN3o=&lt;/_url&gt;&lt;_translated_author&gt;Tan, Xin han&lt;/_translated_author&gt;&lt;_translated_tertiary_author&gt;Li, Zheng yi&lt;/_translated_tertiary_author&gt;&lt;/Details&gt;&lt;Extra&gt;&lt;DBUID&gt;{F96A950B-833F-4880-A151-76DA2D6A2879}&lt;/DBUID&gt;&lt;/Extra&gt;&lt;/Item&gt;&lt;/References&gt;&lt;/Group&gt;&lt;/Citation&gt;_x000a_"/>
    <w:docVar w:name="NE.Ref{82229AF1-513B-4407-AD59-FED5D1787ABC}" w:val=" ADDIN NE.Ref.{82229AF1-513B-4407-AD59-FED5D1787ABC}&lt;Citation&gt;&lt;Group&gt;&lt;References&gt;&lt;Item&gt;&lt;ID&gt;3251&lt;/ID&gt;&lt;UID&gt;{5B670C0A-4B23-4F1D-BFD2-4890E630B0D6}&lt;/UID&gt;&lt;Title&gt;维生素D对桥本甲状腺炎的影响及意义&lt;/Title&gt;&lt;Template&gt;Journal Article&lt;/Template&gt;&lt;Star&gt;0&lt;/Star&gt;&lt;Tag&gt;0&lt;/Tag&gt;&lt;Author&gt;王辉辉&lt;/Author&gt;&lt;Year&gt;2019&lt;/Year&gt;&lt;Details&gt;&lt;_author_adr&gt;河南理工大学第一附属医院&lt;/_author_adr&gt;&lt;_created&gt;65647422&lt;/_created&gt;&lt;_db_provider&gt;北京万方数据股份有限公司&lt;/_db_provider&gt;&lt;_doi&gt;10.3969/j.issn.1004-5511.2019.03.015&lt;/_doi&gt;&lt;_issue&gt;3&lt;/_issue&gt;&lt;_journal&gt;医学新知杂志&lt;/_journal&gt;&lt;_keywords&gt;维生素D; 桥本甲状腺炎; 血清总甲状腺素; 甲状腺过氧化物酶抗体&lt;/_keywords&gt;&lt;_language&gt;chi_x000d__x000a_基金项目:&lt;/_language&gt;&lt;_modified&gt;65647422&lt;/_modified&gt;&lt;_pages&gt;279-280,283&lt;/_pages&gt;&lt;_url&gt;https://d.wanfangdata.com.cn/periodical/ChlQZXJpb2RpY2FsQ0hJTmV3UzIwMjQwNzA0Eg95eHh6enoyMDE5MDMwMTUaCDlwMXF4bHFl&lt;/_url&gt;&lt;_volume&gt;29&lt;/_volume&gt;&lt;_translated_author&gt;Wang, Hui hui&lt;/_translated_author&gt;&lt;/Details&gt;&lt;Extra&gt;&lt;DBUID&gt;{F96A950B-833F-4880-A151-76DA2D6A2879}&lt;/DBUID&gt;&lt;/Extra&gt;&lt;/Item&gt;&lt;/References&gt;&lt;/Group&gt;&lt;Group&gt;&lt;References&gt;&lt;Item&gt;&lt;ID&gt;3249&lt;/ID&gt;&lt;UID&gt;{4DFFF2AE-4A68-4D91-AA8E-1F19DE195AD5}&lt;/UID&gt;&lt;Title&gt;维生素D缺乏与桥本甲状腺炎及相关因素的研究&lt;/Title&gt;&lt;Template&gt;Journal Article&lt;/Template&gt;&lt;Star&gt;0&lt;/Star&gt;&lt;Tag&gt;0&lt;/Tag&gt;&lt;Author&gt;付佳闻; 李晓华; 张宏利; 徐艳红; 朱祎&lt;/Author&gt;&lt;Year&gt;2021&lt;/Year&gt;&lt;Details&gt;&lt;_author_adr&gt;上海中医药大学附属第七人民医院&lt;/_author_adr&gt;&lt;_created&gt;65647422&lt;/_created&gt;&lt;_db_provider&gt;北京万方数据股份有限公司&lt;/_db_provider&gt;&lt;_doi&gt;10.16138/j.1673-6087.2021.01.007&lt;/_doi&gt;&lt;_issue&gt;1&lt;/_issue&gt;&lt;_journal&gt;内科理论与实践&lt;/_journal&gt;&lt;_keywords&gt;桥本甲状腺炎; 维生素D; 促甲状腺激素; 免疫性疾病&lt;/_keywords&gt;&lt;_language&gt;chi_x000d__x000a_基金项目::中医专科重点培育项目; PWZzb2017-28:浦东新区卫计委浦东新区甲状腺特色专病建设项目; XX2020-20:人才培养项目&lt;/_language&gt;&lt;_modified&gt;65647422&lt;/_modified&gt;&lt;_pages&gt;27-31&lt;/_pages&gt;&lt;_translated_author&gt;Jiawen, F U; Xiaohu, L I; Hongli, ZHANG; Yanhong, X U; Yi, ZHU&lt;/_translated_author&gt;&lt;_translated_title&gt;Study on the relationship between vitamin D deficiency and Hashimoto&amp;apos;s thyroiditis&lt;/_translated_title&gt;&lt;_url&gt;https://d.wanfangdata.com.cn/periodical/ChlQZXJpb2RpY2FsQ0hJTmV3UzIwMjQwNzA0EhBua2xseXNqMjAyMTAxMDA3Ggg5cDFxeGxxZQ%3D%3D&lt;/_url&gt;&lt;_volume&gt;16&lt;/_volume&gt;&lt;/Details&gt;&lt;Extra&gt;&lt;DBUID&gt;{F96A950B-833F-4880-A151-76DA2D6A2879}&lt;/DBUID&gt;&lt;/Extra&gt;&lt;/Item&gt;&lt;/References&gt;&lt;/Group&gt;&lt;Group&gt;&lt;References&gt;&lt;Item&gt;&lt;ID&gt;3247&lt;/ID&gt;&lt;UID&gt;{0898E9F7-956B-407F-BA16-F6B6C351D1E7}&lt;/UID&gt;&lt;Title&gt;维生素D缺乏与桥本氏甲状腺炎的相关性研究&lt;/Title&gt;&lt;Template&gt;Journal Article&lt;/Template&gt;&lt;Star&gt;0&lt;/Star&gt;&lt;Tag&gt;0&lt;/Tag&gt;&lt;Author&gt;杜丽莉&lt;/Author&gt;&lt;Year&gt;2014&lt;/Year&gt;&lt;Details&gt;&lt;_author_adr&gt;哈尔滨医科大学第四附属医院&lt;/_author_adr&gt;&lt;_created&gt;65647422&lt;/_created&gt;&lt;_db_provider&gt;北京万方数据股份有限公司&lt;/_db_provider&gt;&lt;_doi&gt;10.3969/j.ISSN.1000-744X.2014.12.002&lt;/_doi&gt;&lt;_issue&gt;12&lt;/_issue&gt;&lt;_journal&gt;贵州医药&lt;/_journal&gt;&lt;_keywords&gt;桥本氏甲状腺炎; 维生素 D&lt;/_keywords&gt;&lt;_language&gt;chi_x000d__x000a_基金项目:&lt;/_language&gt;&lt;_modified&gt;65647422&lt;/_modified&gt;&lt;_pages&gt;1064-1066&lt;/_pages&gt;&lt;_translated_author&gt;&amp;quot;Du Lili&amp;quot;&lt;/_translated_author&gt;&lt;_translated_title&gt;Correlation study on between deficiency of vitamin D and Hashimoto’s Thyroiditis&lt;/_translated_title&gt;&lt;_url&gt;https://d.wanfangdata.com.cn/periodical/ChlQZXJpb2RpY2FsQ0hJTmV3UzIwMjQwNzA0EhJndWl6aG91eXkyMDE0MTIwMDIaCDlwMXF4bHFl&lt;/_url&gt;&lt;/Details&gt;&lt;Extra&gt;&lt;DBUID&gt;{F96A950B-833F-4880-A151-76DA2D6A2879}&lt;/DBUID&gt;&lt;/Extra&gt;&lt;/Item&gt;&lt;/References&gt;&lt;/Group&gt;&lt;Group&gt;&lt;References&gt;&lt;Item&gt;&lt;ID&gt;3248&lt;/ID&gt;&lt;UID&gt;{4BED69A9-B9CC-4545-809B-365CE27CAAE5}&lt;/UID&gt;&lt;Title&gt;维生素D在自身免疫性甲状腺病中的研究进展&lt;/Title&gt;&lt;Template&gt;Journal Article&lt;/Template&gt;&lt;Star&gt;0&lt;/Star&gt;&lt;Tag&gt;0&lt;/Tag&gt;&lt;Author&gt;董成贞; 刘璟瑜; 卢永霞&lt;/Author&gt;&lt;Year&gt;2024&lt;/Year&gt;&lt;Details&gt;&lt;_author_adr&gt;成都市第七人民医院&lt;/_author_adr&gt;&lt;_created&gt;65647422&lt;/_created&gt;&lt;_db_provider&gt;北京万方数据股份有限公司&lt;/_db_provider&gt;&lt;_doi&gt;10.14033/j.cnki.cfmr.2024.03.045&lt;/_doi&gt;&lt;_issue&gt;3&lt;/_issue&gt;&lt;_journal&gt;中外医学研究&lt;/_journal&gt;&lt;_keywords&gt;维生素D; 自身免疫性甲状腺病; 桥本甲状腺炎; 防治&lt;/_keywords&gt;&lt;_language&gt;chi_x000d__x000a_基金项目:&lt;/_language&gt;&lt;_modified&gt;65647422&lt;/_modified&gt;&lt;_pages&gt;176-180&lt;/_pages&gt;&lt;_translated_author&gt;Chengzhen, DONG; Jingyu, LIU; Yongxia, L U&lt;/_translated_author&gt;&lt;_translated_title&gt;Research Progress of Vitamin D in Autoimmune Thyroid Diseases&lt;/_translated_title&gt;&lt;_url&gt;https://d.wanfangdata.com.cn/periodical/ChlQZXJpb2RpY2FsQ0hJTmV3UzIwMjQwNzA0Eg96d3l4eWoyMDI0MDMwNDUaCDlwMXF4bHFl&lt;/_url&gt;&lt;_volume&gt;22&lt;/_volume&gt;&lt;/Details&gt;&lt;Extra&gt;&lt;DBUID&gt;{F96A950B-833F-4880-A151-76DA2D6A2879}&lt;/DBUID&gt;&lt;/Extra&gt;&lt;/Item&gt;&lt;/References&gt;&lt;/Group&gt;&lt;Group&gt;&lt;References&gt;&lt;Item&gt;&lt;ID&gt;3250&lt;/ID&gt;&lt;UID&gt;{D69F0089-98ED-433E-BE5B-EBC90C159FDE}&lt;/UID&gt;&lt;Title&gt;血清维生素D水平与桥本氏甲状腺炎的相关性研究&lt;/Title&gt;&lt;Template&gt;Journal Article&lt;/Template&gt;&lt;Star&gt;0&lt;/Star&gt;&lt;Tag&gt;0&lt;/Tag&gt;&lt;Author&gt;高琳; 谭静; 吴孟水&lt;/Author&gt;&lt;Year&gt;2023&lt;/Year&gt;&lt;Details&gt;&lt;_author_adr&gt;230041 合肥&lt;/_author_adr&gt;&lt;_created&gt;65647422&lt;/_created&gt;&lt;_db_provider&gt;北京万方数据股份有限公司&lt;/_db_provider&gt;&lt;_doi&gt;10.3969/j.issn.1004-3594.2023.05.004&lt;/_doi&gt;&lt;_issue&gt;5&lt;/_issue&gt;&lt;_journal&gt;武警医学&lt;/_journal&gt;&lt;_keywords&gt;维生素D; 桥本氏甲状腺炎; 自身免疫性甲状腺疾病&lt;/_keywords&gt;&lt;_language&gt;chi_x000d__x000a_基金项目:&lt;/_language&gt;&lt;_modified&gt;65647422&lt;/_modified&gt;&lt;_pages&gt;380-383&lt;/_pages&gt;&lt;_translated_author&gt;Lin, GAO; Jing, TAN; Mengshui, W U&lt;/_translated_author&gt;&lt;_translated_title&gt;Association between vitamin D and Hashimoto&amp;apos; s thyroiditis&lt;/_translated_title&gt;&lt;_url&gt;https://d.wanfangdata.com.cn/periodical/ChlQZXJpb2RpY2FsQ0hJTmV3UzIwMjQwNzA0Eg13anl4MjAyMzA1MDA0Ggg5cDFxeGxxZQ%3D%3D&lt;/_url&gt;&lt;_volume&gt;34&lt;/_volume&gt;&lt;/Details&gt;&lt;Extra&gt;&lt;DBUID&gt;{F96A950B-833F-4880-A151-76DA2D6A2879}&lt;/DBUID&gt;&lt;/Extra&gt;&lt;/Item&gt;&lt;/References&gt;&lt;/Group&gt;&lt;/Citation&gt;_x000a_"/>
    <w:docVar w:name="NE.Ref{9FC7B755-9911-4089-AB81-890FE3F25FCD}" w:val=" ADDIN NE.Ref.{9FC7B755-9911-4089-AB81-890FE3F25FCD}&lt;Citation&gt;&lt;Group&gt;&lt;References&gt;&lt;Item&gt;&lt;ID&gt;2968&lt;/ID&gt;&lt;UID&gt;{ABD3714F-1C09-4548-823A-EA47A646A090}&lt;/UID&gt;&lt;Title&gt;中国甲状腺疾病诊治指南——甲状腺炎&lt;/Title&gt;&lt;Template&gt;Journal Article&lt;/Template&gt;&lt;Star&gt;0&lt;/Star&gt;&lt;Tag&gt;0&lt;/Tag&gt;&lt;Author&gt;编写中华医学会内分泌学分会中国甲状腺疾病诊治指南&lt;/Author&gt;&lt;Year&gt;2008&lt;/Year&gt;&lt;Details&gt;&lt;_collection_scope&gt;PKU;CSCD&lt;/_collection_scope&gt;&lt;_created&gt;65634608&lt;/_created&gt;&lt;_db_provider&gt;北京万方数据股份有限公司&lt;/_db_provider&gt;&lt;_doi&gt;10.3321/j.issn:0578-1426.2008.09.032&lt;/_doi&gt;&lt;_issue&gt;9&lt;/_issue&gt;&lt;_journal&gt;中华内科杂志&lt;/_journal&gt;&lt;_language&gt;chi _x000d__x000a_基金项目:&lt;/_language&gt;&lt;_modified&gt;65634608&lt;/_modified&gt;&lt;_pages&gt;784-788&lt;/_pages&gt;&lt;_url&gt;https://d.wanfangdata.com.cn/periodical/ChlQZXJpb2RpY2FsQ0hJTmV3UzIwMjQwNzA0Eg16aG5rMjAwODA5MDMyGghjeHBudzgxbQ%3D%3D&lt;/_url&gt;&lt;_volume&gt;47&lt;/_volume&gt;&lt;_translated_author&gt;Bian, Xie zhong hua yi&lt;/_translated_author&gt;&lt;/Details&gt;&lt;Extra&gt;&lt;DBUID&gt;{F96A950B-833F-4880-A151-76DA2D6A2879}&lt;/DBUID&gt;&lt;/Extra&gt;&lt;/Item&gt;&lt;/References&gt;&lt;/Group&gt;&lt;/Citation&gt;_x000a_"/>
    <w:docVar w:name="NE.Ref{A55F78D5-DD08-4CDB-91BB-439829D06D39}" w:val=" ADDIN NE.Ref.{A55F78D5-DD08-4CDB-91BB-439829D06D39}&lt;Citation&gt;&lt;Group&gt;&lt;References&gt;&lt;Item&gt;&lt;ID&gt;3379&lt;/ID&gt;&lt;UID&gt;{57CF56E2-9ACD-4AA6-A859-FDDC1FDF6B50}&lt;/UID&gt;&lt;Title&gt;慢性淋巴细胞性甲状腺炎合并甲状腺乳头状癌的研究进展&lt;/Title&gt;&lt;Template&gt;Journal Article&lt;/Template&gt;&lt;Star&gt;0&lt;/Star&gt;&lt;Tag&gt;0&lt;/Tag&gt;&lt;Author&gt;王尔黎; 徐钧&lt;/Author&gt;&lt;Year&gt;2017&lt;/Year&gt;&lt;Details&gt;&lt;_accessed&gt;65702389&lt;/_accessed&gt;&lt;_author_adr&gt;山西医科大学|JG009072,山西省肿瘤医院|JG000658&lt;/_author_adr&gt;&lt;_created&gt;65695046&lt;/_created&gt;&lt;_db_provider&gt;《中华医学杂志》社有限责任公司_x000d__x000a_{Language}：chi&lt;/_db_provider&gt;&lt;_isbn&gt;1006-9801&lt;/_isbn&gt;&lt;_issue&gt;05&lt;/_issue&gt;&lt;_journal&gt;肿瘤研究与临床&lt;/_journal&gt;&lt;_keywords&gt;慢性淋巴细胞性甲状腺炎；甲状腺肿瘤；癌，乳头状_x000d__x000a_{Abstract}：甲状腺癌是临床十分常见的恶性肿瘤，而甲状腺乳头状癌（PTC）是其中最为常见的病理类型，慢性淋巴细胞性甲状腺炎为自身免疫性疾病。近年来，越来越多的慢性淋巴细胞性甲状腺炎合并PTC的现象被临床发现，因此对于二者之间关系的研究也成为热点。文章从二者的流行病学、发病机制、病理形态三个方面的研究现状进行阐述。_x000d__x000a_{URL}：http://yiigle.meddata.com.cn:8089/getCore/downloadCore?loginName=zsdx&amp;amp;token=12fc22b31e0eb7c1523abc74c7482dce15&amp;amp;id=991083&lt;/_keywords&gt;&lt;_modified&gt;65702389&lt;/_modified&gt;&lt;_pages&gt;353-356&lt;/_pages&gt;&lt;_translated_title&gt;Progress of chronic lymphocytic thyroiditis combined with papillary thyroid carcinoma&lt;/_translated_title&gt;&lt;_translated_author&gt;Wang, Er li;Xu, Jun&lt;/_translated_author&gt;&lt;/Details&gt;&lt;Extra&gt;&lt;DBUID&gt;{F96A950B-833F-4880-A151-76DA2D6A2879}&lt;/DBUID&gt;&lt;/Extra&gt;&lt;/Item&gt;&lt;/References&gt;&lt;/Group&gt;&lt;/Citation&gt;_x000a_"/>
    <w:docVar w:name="NE.Ref{A8C75AC8-F058-4F4B-A597-2220435863ED}" w:val=" ADDIN NE.Ref.{A8C75AC8-F058-4F4B-A597-2220435863ED}&lt;Citation&gt;&lt;Group&gt;&lt;References&gt;&lt;Item&gt;&lt;ID&gt;484&lt;/ID&gt;&lt;UID&gt;{5C735587-03B7-415D-BFFC-6B82C71B4627}&lt;/UID&gt;&lt;Title&gt;Avidity of thyroglobulin antibody in sera from patients with Hashimoto&amp;apos;s  thyroiditis with different thyroid functional status&lt;/Title&gt;&lt;Template&gt;Journal Article&lt;/Template&gt;&lt;Star&gt;0&lt;/Star&gt;&lt;Tag&gt;0&lt;/Tag&gt;&lt;Author&gt;Zhang, Y; Gao, Y; Li, M; Xie, L; Huang, Y; Gao, Y; Guo, X&lt;/Author&gt;&lt;Year&gt;2010&lt;/Year&gt;&lt;Details&gt;&lt;_accession_num&gt;20491790&lt;/_accession_num&gt;&lt;_author_adr&gt;Department of Endocrinology, University First Hospital, Beijing, China.&lt;/_author_adr&gt;&lt;_collection_scope&gt;SCIE&lt;/_collection_scope&gt;&lt;_created&gt;65604212&lt;/_created&gt;&lt;_date&gt;2010-07-01&lt;/_date&gt;&lt;_date_display&gt;2010 Jul 1&lt;/_date_display&gt;&lt;_doi&gt;10.1111/j.1365-2249.2010.04155.x&lt;/_doi&gt;&lt;_impact_factor&gt;   5.732&lt;/_impact_factor&gt;&lt;_isbn&gt;1365-2249 (Electronic); 0009-9104 (Print); 0009-9104 (Linking)&lt;/_isbn&gt;&lt;_issue&gt;1&lt;/_issue&gt;&lt;_journal&gt;Clin Exp Immunol&lt;/_journal&gt;&lt;_language&gt;eng&lt;/_language&gt;&lt;_modified&gt;65604212&lt;/_modified&gt;&lt;_pages&gt;65-70&lt;/_pages&gt;&lt;_social_category&gt;免疫学(3)&lt;/_social_category&gt;&lt;_subject_headings&gt;Adolescent; Adult; Aged; Aged, 80 and over; *Antibody Affinity; Autoantibodies/blood/*immunology; Autoantigens/*immunology; Disease Progression; Female; Hashimoto Disease/blood/complications/*immunology/physiopathology; Humans; Hypothyroidism/blood/etiology/immunology; Male; Middle Aged; Thyroglobulin/*immunology; Thyroid Gland/immunology/*physiopathology; Thyroid Hormones/blood; Thyrotropin/blood; Young Adult&lt;/_subject_headings&gt;&lt;_tertiary_title&gt;Clinical and experimental immunology&lt;/_tertiary_title&gt;&lt;_type_work&gt;Comparative Study; Journal Article; Research Support, Non-U.S. Gov&amp;apos;t&lt;/_type_work&gt;&lt;_url&gt;http://www.ncbi.nlm.nih.gov/entrez/query.fcgi?cmd=Retrieve&amp;amp;db=pubmed&amp;amp;dopt=Abstract&amp;amp;list_uids=20491790&amp;amp;query_hl=1&lt;/_url&gt;&lt;_volume&gt;161&lt;/_volume&gt;&lt;/Details&gt;&lt;Extra&gt;&lt;DBUID&gt;{F96A950B-833F-4880-A151-76DA2D6A2879}&lt;/DBUID&gt;&lt;/Extra&gt;&lt;/Item&gt;&lt;/References&gt;&lt;/Group&gt;&lt;/Citation&gt;_x000a_"/>
    <w:docVar w:name="NE.Ref{B525B5FF-B404-49E5-820B-470F7D6E3152}" w:val=" ADDIN NE.Ref.{B525B5FF-B404-49E5-820B-470F7D6E3152}&lt;Citation&gt;&lt;Group&gt;&lt;References&gt;&lt;Item&gt;&lt;ID&gt;3259&lt;/ID&gt;&lt;UID&gt;{EDC7763F-CFE3-45B0-91EB-5D3DE95F74BC}&lt;/UID&gt;&lt;Title&gt;桥本甲状腺炎免疫相关机制的研究进展&lt;/Title&gt;&lt;Template&gt;Journal Article&lt;/Template&gt;&lt;Star&gt;0&lt;/Star&gt;&lt;Tag&gt;0&lt;/Tag&gt;&lt;Author&gt;李建婷; 张海清; 李明龙&lt;/Author&gt;&lt;Year&gt;2014&lt;/Year&gt;&lt;Details&gt;&lt;_author_adr&gt;山东大学附属省立医院内分泌科;&lt;/_author_adr&gt;&lt;_collection_scope&gt;PKU&lt;/_collection_scope&gt;&lt;_created&gt;65647620&lt;/_created&gt;&lt;_db_provider&gt;CNKI&lt;/_db_provider&gt;&lt;_doi&gt;10.13423/j.cnki.cjcmi.007018&lt;/_doi&gt;&lt;_isbn&gt;1007-8738&lt;/_isbn&gt;&lt;_issue&gt;07&lt;/_issue&gt;&lt;_journal&gt;细胞与分子免疫学杂志&lt;/_journal&gt;&lt;_keywords&gt;桥本甲状腺炎;辅助性T细胞;调节性T细胞;CD4/CD8;NK细胞;综述&lt;/_keywords&gt;&lt;_modified&gt;65647620&lt;/_modified&gt;&lt;_pages&gt;771-773&lt;/_pages&gt;&lt;_url&gt;https://link.cnki.net/doi/10.13423/j.cnki.cjcmi.007018&lt;/_url&gt;&lt;_volume&gt;30&lt;/_volume&gt;&lt;_translated_author&gt;Li, Jian ting;Zhang, Hai qing;Li, Ming long&lt;/_translated_author&gt;&lt;/Details&gt;&lt;Extra&gt;&lt;DBUID&gt;{F96A950B-833F-4880-A151-76DA2D6A2879}&lt;/DBUID&gt;&lt;/Extra&gt;&lt;/Item&gt;&lt;/References&gt;&lt;/Group&gt;&lt;Group&gt;&lt;References&gt;&lt;Item&gt;&lt;ID&gt;3260&lt;/ID&gt;&lt;UID&gt;{4A65031E-9894-4B1E-B97C-3E0B58F9A916}&lt;/UID&gt;&lt;Title&gt;MicroRNA-326调节ADAM17促进Th17细胞分化参与桥本甲状腺炎发病的研究&lt;/Title&gt;&lt;Template&gt;Thesis&lt;/Template&gt;&lt;Star&gt;0&lt;/Star&gt;&lt;Tag&gt;0&lt;/Tag&gt;&lt;Author&gt;刘咏萍&lt;/Author&gt;&lt;Year&gt;2018&lt;/Year&gt;&lt;Details&gt;&lt;_created&gt;65647629&lt;/_created&gt;&lt;_db_provider&gt;CNKI&lt;/_db_provider&gt;&lt;_keywords&gt;microRNA-326;桥本甲状腺炎;Th17细胞;ADAM17;IL-23R&lt;/_keywords&gt;&lt;_modified&gt;65647629&lt;/_modified&gt;&lt;_publisher&gt;中国医科大学&lt;/_publisher&gt;&lt;_tertiary_author&gt;李玉姝&lt;/_tertiary_author&gt;&lt;_type_work&gt;博士&lt;/_type_work&gt;&lt;_url&gt;https://next.cnki.net/middle/abstract?v=64ENavj7QCA2cZmMXbytNmXS4QJG2s3RmUCTunlW5Pf4TfxZsFULc06RlMWwm1LmCHNeMc103ErXwUm4KMRJmaQXJjbI3ax1pPX37-Cw2VlgAAK1w01XNhtY22y8yze2LsZEQFUNsk4FUr7HCsQ7pniR8PkiWX1APxk-0DV1PdYqGComdRxc7QIB5reFi5b1rvlaJaLMDoUfq0m7DMhugQ==&amp;amp;uniplatform=NZKPT&amp;amp;language=CHS&amp;amp;scence=null&lt;/_url&gt;&lt;_translated_author&gt;Liu, Yong ping&lt;/_translated_author&gt;&lt;_translated_tertiary_author&gt;Li, Yu shu&lt;/_translated_tertiary_author&gt;&lt;/Details&gt;&lt;Extra&gt;&lt;DBUID&gt;{F96A950B-833F-4880-A151-76DA2D6A2879}&lt;/DBUID&gt;&lt;/Extra&gt;&lt;/Item&gt;&lt;/References&gt;&lt;/Group&gt;&lt;Group&gt;&lt;References&gt;&lt;Item&gt;&lt;ID&gt;3261&lt;/ID&gt;&lt;UID&gt;{15553F62-357C-4C17-9659-4C5CA513885A}&lt;/UID&gt;&lt;Title&gt;桥本甲状腺炎患者Th17细胞变化及相关调控因素的研究&lt;/Title&gt;&lt;Template&gt;Thesis&lt;/Template&gt;&lt;Star&gt;0&lt;/Star&gt;&lt;Tag&gt;0&lt;/Tag&gt;&lt;Author&gt;柳迎昭&lt;/Author&gt;&lt;Year&gt;2014&lt;/Year&gt;&lt;Details&gt;&lt;_created&gt;65647629&lt;/_created&gt;&lt;_db_provider&gt;CNKI&lt;/_db_provider&gt;&lt;_keywords&gt;桥本甲状腺炎;Th17细胞;调节性T细胞(Treg);糖皮质激素诱导的肿瘤坏死因子受体相关配体(GITRL);白介素-23受体(IL-23R);microRNA-125a-3p;自身抗体&lt;/_keywords&gt;&lt;_modified&gt;65647629&lt;/_modified&gt;&lt;_publisher&gt;江苏大学&lt;/_publisher&gt;&lt;_tertiary_author&gt;许化溪&lt;/_tertiary_author&gt;&lt;_type_work&gt;博士&lt;/_type_work&gt;&lt;_url&gt;https://next.cnki.net/middle/abstract?v=64ENavj7QCBxWJ27nM_2sFIIRHTCHkFEQ9MGDigxnvrafcQWQJEnV6hq1htAuBioWpd2fvd6WwDsIx-TQHJoh9bDUx_4L784qUBXE1v-eyINarIXy75OE1Mw0PsugWz5ypmdU0Xvv6qWGOxNIDAdpMfOSFi3ENP-0DKzNZJvIghp9PJAHgQoR8P7eGrZKbotJEDQqFyumso=&amp;amp;uniplatform=NZKPT&amp;amp;language=CHS&amp;amp;scence=null&lt;/_url&gt;&lt;_translated_author&gt;Liu, Ying zhao&lt;/_translated_author&gt;&lt;_translated_tertiary_author&gt;Xu, Hua xi&lt;/_translated_tertiary_author&gt;&lt;/Details&gt;&lt;Extra&gt;&lt;DBUID&gt;{F96A950B-833F-4880-A151-76DA2D6A2879}&lt;/DBUID&gt;&lt;/Extra&gt;&lt;/Item&gt;&lt;/References&gt;&lt;/Group&gt;&lt;/Citation&gt;_x000a_"/>
    <w:docVar w:name="NE.Ref{B73382D7-475E-4BA5-A512-0178EAA43912}" w:val=" ADDIN NE.Ref.{B73382D7-475E-4BA5-A512-0178EAA43912}&lt;Citation&gt;&lt;Group&gt;&lt;References&gt;&lt;Item&gt;&lt;ID&gt;469&lt;/ID&gt;&lt;UID&gt;{6DB20D78-5F78-4C46-A66F-6F75B27AC52D}&lt;/UID&gt;&lt;Title&gt;Assessment of thyroid function during the long course of Hashimoto&amp;apos;s thyroiditis  in children and adolescents&lt;/Title&gt;&lt;Template&gt;Journal Article&lt;/Template&gt;&lt;Star&gt;0&lt;/Star&gt;&lt;Tag&gt;0&lt;/Tag&gt;&lt;Author&gt;Demirbilek, H; Kandemir, N; Gonc, E N; Ozon, A; Alikasifoglu, A&lt;/Author&gt;&lt;Year&gt;2009&lt;/Year&gt;&lt;Details&gt;&lt;_accessed&gt;65707855&lt;/_accessed&gt;&lt;_accession_num&gt;19094075&lt;/_accession_num&gt;&lt;_author_adr&gt;Division of Paediatric Endocrinology, Hacettepe University Faculty of Medicine,  Ankara, Turkey. Dr_huseyin@hotmail.com&lt;/_author_adr&gt;&lt;_collection_scope&gt;SCIE&lt;/_collection_scope&gt;&lt;_created&gt;65604203&lt;/_created&gt;&lt;_date&gt;2009-09-01&lt;/_date&gt;&lt;_date_display&gt;2009 Sep&lt;/_date_display&gt;&lt;_doi&gt;10.1111/j.1365-2265.2008.03501.x&lt;/_doi&gt;&lt;_impact_factor&gt;   3.523&lt;/_impact_factor&gt;&lt;_isbn&gt;1365-2265 (Electronic); 0300-0664 (Linking)&lt;/_isbn&gt;&lt;_issue&gt;3&lt;/_issue&gt;&lt;_journal&gt;Clin Endocrinol (Oxf)&lt;/_journal&gt;&lt;_language&gt;eng&lt;/_language&gt;&lt;_modified&gt;65707855&lt;/_modified&gt;&lt;_pages&gt;451-4&lt;/_pages&gt;&lt;_social_category&gt;内分泌学与代谢(3)&lt;/_social_category&gt;&lt;_subject_headings&gt;Adolescent; Child; Child, Preschool; Female; Follow-Up Studies; Hashimoto Disease/*physiopathology; Humans; Infant; Male; Thyroid Function Tests; Thyroid Gland/*physiopathology&lt;/_subject_headings&gt;&lt;_tertiary_title&gt;Clinical endocrinology&lt;/_tertiary_title&gt;&lt;_type_work&gt;Journal Article&lt;/_type_work&gt;&lt;_url&gt;http://www.ncbi.nlm.nih.gov/entrez/query.fcgi?cmd=Retrieve&amp;amp;db=pubmed&amp;amp;dopt=Abstract&amp;amp;list_uids=19094075&amp;amp;query_hl=1&lt;/_url&gt;&lt;_volume&gt;71&lt;/_volume&gt;&lt;/Details&gt;&lt;Extra&gt;&lt;DBUID&gt;{F96A950B-833F-4880-A151-76DA2D6A2879}&lt;/DBUID&gt;&lt;/Extra&gt;&lt;/Item&gt;&lt;/References&gt;&lt;/Group&gt;&lt;Group&gt;&lt;References&gt;&lt;Item&gt;&lt;ID&gt;470&lt;/ID&gt;&lt;UID&gt;{46AECC0D-52C9-42DA-851E-97411190D4A1}&lt;/UID&gt;&lt;Title&gt;Ten-year follow-up study of thyroid function in euthyroid patients with simple  goiter or Hashimoto&amp;apos;s thyroiditis&lt;/Title&gt;&lt;Template&gt;Journal Article&lt;/Template&gt;&lt;Star&gt;0&lt;/Star&gt;&lt;Tag&gt;0&lt;/Tag&gt;&lt;Author&gt;Sato, A; Aizawa, T; Koizumi, Y; Komiya, I; Ichikawa, K; Takemura, Y; Yamada, T&lt;/Author&gt;&lt;Year&gt;1995&lt;/Year&gt;&lt;Details&gt;&lt;_accession_num&gt;7647404&lt;/_accession_num&gt;&lt;_author_adr&gt;Department of Medicine, School of Medicine, Dokkyo University, Koshigaya  Hospital, Koshigaya.&lt;/_author_adr&gt;&lt;_collection_scope&gt;SCIE&lt;/_collection_scope&gt;&lt;_created&gt;65604204&lt;/_created&gt;&lt;_date&gt;1995-05-01&lt;/_date&gt;&lt;_date_display&gt;1995 May&lt;/_date_display&gt;&lt;_doi&gt;10.2169/internalmedicine.34.371&lt;/_doi&gt;&lt;_impact_factor&gt;   1.282&lt;/_impact_factor&gt;&lt;_isbn&gt;0918-2918 (Print); 0918-2918 (Linking)&lt;/_isbn&gt;&lt;_issue&gt;5&lt;/_issue&gt;&lt;_journal&gt;Intern Med&lt;/_journal&gt;&lt;_language&gt;eng&lt;/_language&gt;&lt;_modified&gt;65604204&lt;/_modified&gt;&lt;_pages&gt;371-5&lt;/_pages&gt;&lt;_social_category&gt;医学：内科(4)&lt;/_social_category&gt;&lt;_subject_headings&gt;Adolescent; Adult; Aged; Autoantibodies/blood; Child; Exophthalmos/etiology; Female; Follow-Up Studies; Goiter, Nodular/blood/*physiopathology; Graves Disease/blood/*physiopathology; Histocompatibility Testing; Humans; Male; Middle Aged; Thyroid Gland/immunology/*physiopathology; Thyroid Hormones/blood; Thyroiditis, Autoimmune/blood/*physiopathology&lt;/_subject_headings&gt;&lt;_tertiary_title&gt;Internal medicine (Tokyo, Japan)&lt;/_tertiary_title&gt;&lt;_type_work&gt;Comparative Study; Journal Article&lt;/_type_work&gt;&lt;_url&gt;http://www.ncbi.nlm.nih.gov/entrez/query.fcgi?cmd=Retrieve&amp;amp;db=pubmed&amp;amp;dopt=Abstract&amp;amp;list_uids=7647404&amp;amp;query_hl=1&lt;/_url&gt;&lt;_volume&gt;34&lt;/_volume&gt;&lt;/Details&gt;&lt;Extra&gt;&lt;DBUID&gt;{F96A950B-833F-4880-A151-76DA2D6A2879}&lt;/DBUID&gt;&lt;/Extra&gt;&lt;/Item&gt;&lt;/References&gt;&lt;/Group&gt;&lt;Group&gt;&lt;References&gt;&lt;Item&gt;&lt;ID&gt;471&lt;/ID&gt;&lt;UID&gt;{AF050F01-013B-4A43-830B-A8C094D3A890}&lt;/UID&gt;&lt;Title&gt;Long-term outcome of hormonal status in Taiwanese children with Hashimoto&amp;apos;s  thyroiditis&lt;/Title&gt;&lt;Template&gt;Journal Article&lt;/Template&gt;&lt;Star&gt;0&lt;/Star&gt;&lt;Tag&gt;0&lt;/Tag&gt;&lt;Author&gt;Wang, S Y; Tung, Y C; Tsai, W Y; Lee, J S; Hsiao, P H&lt;/Author&gt;&lt;Year&gt;2006&lt;/Year&gt;&lt;Details&gt;&lt;_accession_num&gt;16557403&lt;/_accession_num&gt;&lt;_author_adr&gt;Department of Pediatrics, National Taiwan University Hospital and College of  Medicine, National Taiwan University, Taipei, Taiwan, Republic of China.&lt;/_author_adr&gt;&lt;_collection_scope&gt;SCIE&lt;/_collection_scope&gt;&lt;_created&gt;65604204&lt;/_created&gt;&lt;_date&gt;2006-07-01&lt;/_date&gt;&lt;_date_display&gt;2006 Jul&lt;/_date_display&gt;&lt;_doi&gt;10.1007/s00431-006-0112-5&lt;/_doi&gt;&lt;_impact_factor&gt;   3.860&lt;/_impact_factor&gt;&lt;_isbn&gt;0340-6199 (Print); 0340-6199 (Linking)&lt;/_isbn&gt;&lt;_issue&gt;7&lt;/_issue&gt;&lt;_journal&gt;Eur J Pediatr&lt;/_journal&gt;&lt;_language&gt;eng&lt;/_language&gt;&lt;_modified&gt;65604204&lt;/_modified&gt;&lt;_pages&gt;481-3&lt;/_pages&gt;&lt;_social_category&gt;儿科(2)&lt;/_social_category&gt;&lt;_subject_headings&gt;Adolescent; Chi-Square Distribution; Child; Child, Preschool; Female; Hashimoto Disease/*drug therapy/epidemiology; Humans; Male; Prospective Studies; Taiwan/epidemiology; Thyroid Function Tests; Thyroxine/*therapeutic use; Treatment Outcome&lt;/_subject_headings&gt;&lt;_tertiary_title&gt;European journal of pediatrics&lt;/_tertiary_title&gt;&lt;_type_work&gt;Journal Article&lt;/_type_work&gt;&lt;_url&gt;http://www.ncbi.nlm.nih.gov/entrez/query.fcgi?cmd=Retrieve&amp;amp;db=pubmed&amp;amp;dopt=Abstract&amp;amp;list_uids=16557403&amp;amp;query_hl=1&lt;/_url&gt;&lt;_volume&gt;165&lt;/_volume&gt;&lt;/Details&gt;&lt;Extra&gt;&lt;DBUID&gt;{F96A950B-833F-4880-A151-76DA2D6A2879}&lt;/DBUID&gt;&lt;/Extra&gt;&lt;/Item&gt;&lt;/References&gt;&lt;/Group&gt;&lt;Group&gt;&lt;References&gt;&lt;Item&gt;&lt;ID&gt;3274&lt;/ID&gt;&lt;UID&gt;{95CD3E50-348B-41CA-9FD8-84E53453AD5A}&lt;/UID&gt;&lt;Title&gt;桥本氏甲状腺炎&lt;/Title&gt;&lt;Template&gt;Journal Article&lt;/Template&gt;&lt;Star&gt;0&lt;/Star&gt;&lt;Tag&gt;0&lt;/Tag&gt;&lt;Author&gt;张振东&lt;/Author&gt;&lt;Year&gt;2022&lt;/Year&gt;&lt;Details&gt;&lt;_accessed&gt;65664789&lt;/_accessed&gt;&lt;_author_adr&gt;天津市人民医院&lt;/_author_adr&gt;&lt;_created&gt;65664710&lt;/_created&gt;&lt;_db_provider&gt;北京万方数据股份有限公司&lt;/_db_provider&gt;&lt;_issue&gt;6&lt;/_issue&gt;&lt;_journal&gt;开卷有益（求医问药）&lt;/_journal&gt;&lt;_language&gt;chi_x000d__x000a_基金项目:&lt;/_language&gt;&lt;_modified&gt;65664789&lt;/_modified&gt;&lt;_pages&gt;22&lt;/_pages&gt;&lt;_url&gt;https://d.wanfangdata.com.cn/periodical/ChlQZXJpb2RpY2FsQ0hJTmV3UzIwMjQwNzA0EhJranl5LXF5d3kyMDIyMDYwMTgaCHVxZnVxaDJu&lt;/_url&gt;&lt;_translated_author&gt;Zhang, Zhen dong&lt;/_translated_author&gt;&lt;/Details&gt;&lt;Extra&gt;&lt;DBUID&gt;{F96A950B-833F-4880-A151-76DA2D6A2879}&lt;/DBUID&gt;&lt;/Extra&gt;&lt;/Item&gt;&lt;/References&gt;&lt;/Group&gt;&lt;/Citation&gt;_x000a_"/>
    <w:docVar w:name="NE.Ref{B76F802B-CBA0-4C52-8D14-6BA1526B3B7B}" w:val=" ADDIN NE.Ref.{B76F802B-CBA0-4C52-8D14-6BA1526B3B7B}&lt;Citation&gt;&lt;Group&gt;&lt;References&gt;&lt;Item&gt;&lt;ID&gt;480&lt;/ID&gt;&lt;UID&gt;{A2AE77FE-6FB9-4490-83FC-C004FD623542}&lt;/UID&gt;&lt;Title&gt;Hashimoto&amp;apos;s thyroiditis: relative recurrence risk ratio and implications for  screening of first-degree relatives&lt;/Title&gt;&lt;Template&gt;Journal Article&lt;/Template&gt;&lt;Star&gt;0&lt;/Star&gt;&lt;Tag&gt;0&lt;/Tag&gt;&lt;Author&gt;Bothra, N; Shah, N; Goroshi, M; Jadhav, S; Padalkar, S; Thakkar, H; Toteja, G S; Shivane, V; Lila, A; Bandgar, T&lt;/Author&gt;&lt;Year&gt;2017&lt;/Year&gt;&lt;Details&gt;&lt;_accessed&gt;65604210&lt;/_accessed&gt;&lt;_accession_num&gt;28273382&lt;/_accession_num&gt;&lt;_author_adr&gt;Department of Endocrinology, Seth GSMC and KEM Hospital, Mumbai, India.; Department of Endocrinology, Seth GSMC and KEM Hospital, Mumbai, India.; Department of Endocrinology, Seth GSMC and KEM Hospital, Mumbai, India.; Department of Endocrinology, Seth GSMC and KEM Hospital, Mumbai, India.; Department of Radiology, Seth GSMC and KEM Hospital, Mumbai, India.; Department of Radiology, Seth GSMC and KEM Hospital, Mumbai, India.; Scientist-&amp;apos;G&amp;apos; &amp;amp; Head (Nutrition), Indian Council of Medical Research, Department  of Health Research, Ministry of Health &amp;amp; Family Welfare, Govt. of India, New  Delhi, India.; Department of Endocrinology, Seth GSMC and KEM Hospital, Mumbai, India.; Department of Endocrinology, Seth GSMC and KEM Hospital, Mumbai, India.; Department of Endocrinology, Seth GSMC and KEM Hospital, Mumbai, India.&lt;/_author_adr&gt;&lt;_collection_scope&gt;SCIE&lt;/_collection_scope&gt;&lt;_created&gt;65604210&lt;/_created&gt;&lt;_date&gt;2017-08-01&lt;/_date&gt;&lt;_date_display&gt;2017 Aug&lt;/_date_display&gt;&lt;_doi&gt;10.1111/cen.13323&lt;/_doi&gt;&lt;_impact_factor&gt;   3.523&lt;/_impact_factor&gt;&lt;_isbn&gt;1365-2265 (Electronic); 0300-0664 (Linking)&lt;/_isbn&gt;&lt;_issue&gt;2&lt;/_issue&gt;&lt;_journal&gt;Clin Endocrinol (Oxf)&lt;/_journal&gt;&lt;_language&gt;eng&lt;/_language&gt;&lt;_modified&gt;65604210&lt;/_modified&gt;&lt;_ori_publication&gt;© 2017 John Wiley &amp;amp; Sons Ltd.&lt;/_ori_publication&gt;&lt;_pages&gt;201-206&lt;/_pages&gt;&lt;_social_category&gt;内分泌学与代谢(3)&lt;/_social_category&gt;&lt;_subject_headings&gt;Adolescent; Adult; Age Factors; Antibodies/blood; Child; Disease Susceptibility; *Family Health; Female; Hashimoto Disease/diagnosis/*epidemiology/pathology; Humans; Male; Odds Ratio; Prevalence; Recurrence; Sex Factors; Thyroid Gland/immunology; Young Adult&lt;/_subject_headings&gt;&lt;_tertiary_title&gt;Clinical endocrinology&lt;/_tertiary_title&gt;&lt;_type_work&gt;Journal Article&lt;/_type_work&gt;&lt;_url&gt;http://www.ncbi.nlm.nih.gov/entrez/query.fcgi?cmd=Retrieve&amp;amp;db=pubmed&amp;amp;dopt=Abstract&amp;amp;list_uids=28273382&amp;amp;query_hl=1&lt;/_url&gt;&lt;_volume&gt;87&lt;/_volume&gt;&lt;/Details&gt;&lt;Extra&gt;&lt;DBUID&gt;{F96A950B-833F-4880-A151-76DA2D6A2879}&lt;/DBUID&gt;&lt;/Extra&gt;&lt;/Item&gt;&lt;/References&gt;&lt;/Group&gt;&lt;/Citation&gt;_x000a_"/>
    <w:docVar w:name="NE.Ref{B7D466E0-0C4B-4D2C-92F9-2DCC0506D60F}" w:val=" ADDIN NE.Ref.{B7D466E0-0C4B-4D2C-92F9-2DCC0506D60F}&lt;Citation&gt;&lt;Group&gt;&lt;References&gt;&lt;Item&gt;&lt;ID&gt;486&lt;/ID&gt;&lt;UID&gt;{709E8690-F350-40BA-866A-F7557FEC7303}&lt;/UID&gt;&lt;Title&gt;Antithyroperoxidase and antithyroglobulin antibodies in a five-year follow-up  survey of populations with different iodine intakes&lt;/Title&gt;&lt;Template&gt;Journal Article&lt;/Template&gt;&lt;Star&gt;0&lt;/Star&gt;&lt;Tag&gt;0&lt;/Tag&gt;&lt;Author&gt;Li, Y; Teng, D; Shan, Z; Teng, X; Guan, H; Yu, X; Fan, C; Chong, W; Yang, F; Dai, H; Gu, X; Yu, Y; Mao, J; Zhao, D; Li, J; Chen, Y; Yang, R; Li, C; Teng, W&lt;/Author&gt;&lt;Year&gt;2008&lt;/Year&gt;&lt;Details&gt;&lt;_accession_num&gt;18270254&lt;/_accession_num&gt;&lt;_author_adr&gt;Department of Endocrinology and Metabolism, and the Institute of Endocrinology,  First Affiliated Hospital, China Medical University, no.155 Nanjing Bei Street,  Heping District, Shenyang, China.&lt;/_author_adr&gt;&lt;_collection_scope&gt;SCIE&lt;/_collection_scope&gt;&lt;_created&gt;65604213&lt;/_created&gt;&lt;_date&gt;2008-05-01&lt;/_date&gt;&lt;_date_display&gt;2008 May&lt;/_date_display&gt;&lt;_doi&gt;10.1210/jc.2007-2368&lt;/_doi&gt;&lt;_impact_factor&gt;   6.134&lt;/_impact_factor&gt;&lt;_isbn&gt;0021-972X (Print); 0021-972X (Linking)&lt;/_isbn&gt;&lt;_issue&gt;5&lt;/_issue&gt;&lt;_journal&gt;J Clin Endocrinol Metab&lt;/_journal&gt;&lt;_language&gt;eng&lt;/_language&gt;&lt;_modified&gt;65604213&lt;/_modified&gt;&lt;_pages&gt;1751-7&lt;/_pages&gt;&lt;_social_category&gt;内分泌学与代谢(2)&lt;/_social_category&gt;&lt;_subject_headings&gt;Adolescent; Adult; Aged; Autoantibodies/*blood; Female; Follow-Up Studies; Humans; Iodide Peroxidase/*immunology; Iodine/*administration &amp;amp; dosage; Male; Middle Aged; Thyrotropin/blood&lt;/_subject_headings&gt;&lt;_tertiary_title&gt;The Journal of clinical endocrinology and metabolism&lt;/_tertiary_title&gt;&lt;_type_work&gt;Journal Article; Research Support, Non-U.S. Gov&amp;apos;t&lt;/_type_work&gt;&lt;_url&gt;http://www.ncbi.nlm.nih.gov/entrez/query.fcgi?cmd=Retrieve&amp;amp;db=pubmed&amp;amp;dopt=Abstract&amp;amp;list_uids=18270254&amp;amp;query_hl=1&lt;/_url&gt;&lt;_volume&gt;93&lt;/_volume&gt;&lt;/Details&gt;&lt;Extra&gt;&lt;DBUID&gt;{F96A950B-833F-4880-A151-76DA2D6A2879}&lt;/DBUID&gt;&lt;/Extra&gt;&lt;/Item&gt;&lt;/References&gt;&lt;/Group&gt;&lt;/Citation&gt;_x000a_"/>
    <w:docVar w:name="NE.Ref{B82313D5-E0F6-495E-9D37-B1FE2EEEC0BE}" w:val=" ADDIN NE.Ref.{B82313D5-E0F6-495E-9D37-B1FE2EEEC0BE}&lt;Citation&gt;&lt;Group&gt;&lt;References&gt;&lt;Item&gt;&lt;ID&gt;485&lt;/ID&gt;&lt;UID&gt;{D41A4BAA-2BE0-4410-BF32-3A7794EE46B4}&lt;/UID&gt;&lt;Title&gt;The natural history of euthyroid Hashimoto&amp;apos;s thyroiditis in children&lt;/Title&gt;&lt;Template&gt;Journal Article&lt;/Template&gt;&lt;Star&gt;0&lt;/Star&gt;&lt;Tag&gt;0&lt;/Tag&gt;&lt;Author&gt;Radetti, G; Gottardi, E; Bona, G; Corrias, A; Salardi, S; Loche, S&lt;/Author&gt;&lt;Year&gt;2006&lt;/Year&gt;&lt;Details&gt;&lt;_accession_num&gt;17137901&lt;/_accession_num&gt;&lt;_author_adr&gt;Department of Pediatrics, Regional Hospital, Bolzano, Italy.  giorgio.radetti@asbz.it&lt;/_author_adr&gt;&lt;_collection_scope&gt;SCIE&lt;/_collection_scope&gt;&lt;_created&gt;65604212&lt;/_created&gt;&lt;_date&gt;2006-12-01&lt;/_date&gt;&lt;_date_display&gt;2006 Dec&lt;/_date_display&gt;&lt;_doi&gt;10.1016/j.jpeds.2006.08.045&lt;/_doi&gt;&lt;_impact_factor&gt;   6.314&lt;/_impact_factor&gt;&lt;_isbn&gt;0022-3476 (Print); 0022-3476 (Linking)&lt;/_isbn&gt;&lt;_issue&gt;6&lt;/_issue&gt;&lt;_journal&gt;J Pediatr&lt;/_journal&gt;&lt;_language&gt;eng&lt;/_language&gt;&lt;_modified&gt;65604212&lt;/_modified&gt;&lt;_pages&gt;827-32&lt;/_pages&gt;&lt;_social_category&gt;儿科(1)&lt;/_social_category&gt;&lt;_subject_headings&gt;Child; Female; Follow-Up Studies; Hashimoto Disease/*diagnosis; Humans; Male; Retrospective Studies&lt;/_subject_headings&gt;&lt;_tertiary_title&gt;The Journal of pediatrics&lt;/_tertiary_title&gt;&lt;_type_work&gt;Journal Article; Multicenter Study&lt;/_type_work&gt;&lt;_url&gt;http://www.ncbi.nlm.nih.gov/entrez/query.fcgi?cmd=Retrieve&amp;amp;db=pubmed&amp;amp;dopt=Abstract&amp;amp;list_uids=17137901&amp;amp;query_hl=1&lt;/_url&gt;&lt;_volume&gt;149&lt;/_volume&gt;&lt;/Details&gt;&lt;Extra&gt;&lt;DBUID&gt;{F96A950B-833F-4880-A151-76DA2D6A2879}&lt;/DBUID&gt;&lt;/Extra&gt;&lt;/Item&gt;&lt;/References&gt;&lt;/Group&gt;&lt;/Citation&gt;_x000a_"/>
    <w:docVar w:name="NE.Ref{C8450150-AB96-4EFA-A8E5-41EFEBE4BE5D}" w:val=" ADDIN NE.Ref.{C8450150-AB96-4EFA-A8E5-41EFEBE4BE5D}&lt;Citation&gt;&lt;Group&gt;&lt;References&gt;&lt;Item&gt;&lt;ID&gt;3238&lt;/ID&gt;&lt;UID&gt;{7FD42FBD-9CDD-4641-9997-435A01B372D6}&lt;/UID&gt;&lt;Title&gt;扶正消瘿八法治疗桥本甲状腺炎&lt;/Title&gt;&lt;Template&gt;Journal Article&lt;/Template&gt;&lt;Star&gt;0&lt;/Star&gt;&lt;Tag&gt;0&lt;/Tag&gt;&lt;Author&gt;刘昕怡; 彭婧; 夏仲元&lt;/Author&gt;&lt;Year&gt;2020&lt;/Year&gt;&lt;Details&gt;&lt;_author_adr&gt;北京中医药大学第三附属医院;北京中医药大学;中日友好医院;&lt;/_author_adr&gt;&lt;_created&gt;65646214&lt;/_created&gt;&lt;_db_provider&gt;CNKI&lt;/_db_provider&gt;&lt;_isbn&gt;1672-6790&lt;/_isbn&gt;&lt;_issue&gt;05&lt;/_issue&gt;&lt;_journal&gt;中国临床保健杂志&lt;/_journal&gt;&lt;_keywords&gt;桥本病;中医学;名医经验;综述&lt;/_keywords&gt;&lt;_modified&gt;65646214&lt;/_modified&gt;&lt;_pages&gt;717-720&lt;/_pages&gt;&lt;_url&gt;https://next.cnki.net/middle/abstract?v=_W1AupcyYgZCWAFSleR13PDSz_7TmesJUJ8xRwz3ZssVacV8UoVNezM1BtabshbBpY1dJILc7QCEsXfWcxjjhi5TlxqAdahdbtJpUS0FeB5JEMRu1oi6fbmwIEWnhqg3NLrOM3bhPoK7w5wvwSfL9uuwIfv8bDG6gNR80LegklRv5xByG5ocYQIjK9zL30p4mtzXQwZct3c=&amp;amp;uniplatform=NZKPT&amp;amp;language=CHS&amp;amp;scence=null&lt;/_url&gt;&lt;_volume&gt;23&lt;/_volume&gt;&lt;_translated_author&gt;Liu, Xin yi;Peng, Jing;Xia, Zhong yuan&lt;/_translated_author&gt;&lt;/Details&gt;&lt;Extra&gt;&lt;DBUID&gt;{F96A950B-833F-4880-A151-76DA2D6A2879}&lt;/DBUID&gt;&lt;/Extra&gt;&lt;/Item&gt;&lt;/References&gt;&lt;/Group&gt;&lt;/Citation&gt;_x000a_"/>
    <w:docVar w:name="NE.Ref{D72BB683-9770-468F-87C9-6AC3A41331D6}" w:val=" ADDIN NE.Ref.{D72BB683-9770-468F-87C9-6AC3A41331D6}&lt;Citation&gt;&lt;Group&gt;&lt;References&gt;&lt;Item&gt;&lt;ID&gt;3378&lt;/ID&gt;&lt;UID&gt;{38A97ACE-1771-45AB-9E90-424EE4496E3B}&lt;/UID&gt;&lt;Title&gt;产后甲状腺炎&lt;/Title&gt;&lt;Template&gt;Journal Article&lt;/Template&gt;&lt;Star&gt;0&lt;/Star&gt;&lt;Tag&gt;0&lt;/Tag&gt;&lt;Author&gt;Epp, Riley; Malcolm, Janine; Jolin-Dahel, Khiera; Clermont, Michaela; Keely, Erin; 赵茵&lt;/Author&gt;&lt;Year&gt;2021&lt;/Year&gt;&lt;Details&gt;&lt;_accessed&gt;65707859&lt;/_accessed&gt;&lt;_created&gt;65695038&lt;/_created&gt;&lt;_db_provider&gt;《中华医学杂志》社有限责任公司_x000d__x000a_{Language}：chi&lt;/_db_provider&gt;&lt;_isbn&gt;1007-9742&lt;/_isbn&gt;&lt;_issue&gt;12&lt;/_issue&gt;&lt;_journal&gt;英国医学杂志中文版&lt;/_journal&gt;&lt;_keywords&gt;{Abstract}：_x000d__x000a_{URL}：http://yiigle.meddata.com.cn:8089/getCore/downloadCore?loginName=zsdx&amp;amp;token=12fc22b31e0eb7c1523abc74c7482dce15&amp;amp;id=1345090&lt;/_keywords&gt;&lt;_modified&gt;65707859&lt;/_modified&gt;&lt;_pages&gt;726-731&lt;/_pages&gt;&lt;_translated_title&gt;Postpartum thyroiditis&lt;/_translated_title&gt;&lt;_translated_author&gt;Epp, Riley;Malcolm, Janine;Jolin-Dahel, Khiera;Clermont, Michaela;Keely, Erin;Zhao, Yin&lt;/_translated_author&gt;&lt;/Details&gt;&lt;Extra&gt;&lt;DBUID&gt;{F96A950B-833F-4880-A151-76DA2D6A2879}&lt;/DBUID&gt;&lt;/Extra&gt;&lt;/Item&gt;&lt;/References&gt;&lt;/Group&gt;&lt;/Citation&gt;_x000a_"/>
    <w:docVar w:name="NE.Ref{D91502B3-B43B-4D51-9C35-3078485CF4C1}" w:val=" ADDIN NE.Ref.{D91502B3-B43B-4D51-9C35-3078485CF4C1}&lt;Citation&gt;&lt;Group&gt;&lt;References&gt;&lt;Item&gt;&lt;ID&gt;3239&lt;/ID&gt;&lt;UID&gt;{15C6293E-5931-43A9-9466-0631E3CAF285}&lt;/UID&gt;&lt;Title&gt;从脾肾论治桥本甲状腺炎合并甲状腺功能减退&lt;/Title&gt;&lt;Template&gt;Journal Article&lt;/Template&gt;&lt;Star&gt;0&lt;/Star&gt;&lt;Tag&gt;0&lt;/Tag&gt;&lt;Author&gt;周凯伦; 王旭&lt;/Author&gt;&lt;Year&gt;2018&lt;/Year&gt;&lt;Details&gt;&lt;_author_adr&gt;南京中医药大学第一临床医学院;&lt;/_author_adr&gt;&lt;_collection_scope&gt;CSCD;PKU&lt;/_collection_scope&gt;&lt;_created&gt;65646214&lt;/_created&gt;&lt;_db_provider&gt;CNKI&lt;/_db_provider&gt;&lt;_doi&gt;10.19945/j.cnki.issn.1006-3250.2018.02.014&lt;/_doi&gt;&lt;_isbn&gt;1006-3250&lt;/_isbn&gt;&lt;_issue&gt;02&lt;/_issue&gt;&lt;_journal&gt;中国中医基础医学杂志&lt;/_journal&gt;&lt;_keywords&gt;桥本甲状腺炎;甲状腺功能减退;脾肾;益火补土&lt;/_keywords&gt;&lt;_modified&gt;65646214&lt;/_modified&gt;&lt;_pages&gt;170-172&lt;/_pages&gt;&lt;_url&gt;https://link.cnki.net/doi/10.19945/j.cnki.issn.1006-3250.2018.02.014&lt;/_url&gt;&lt;_volume&gt;24&lt;/_volume&gt;&lt;_translated_author&gt;Zhou, Kai lun;Wang, Xu&lt;/_translated_author&gt;&lt;/Details&gt;&lt;Extra&gt;&lt;DBUID&gt;{F96A950B-833F-4880-A151-76DA2D6A2879}&lt;/DBUID&gt;&lt;/Extra&gt;&lt;/Item&gt;&lt;/References&gt;&lt;/Group&gt;&lt;/Citation&gt;_x000a_"/>
    <w:docVar w:name="NE.Ref{E7880089-49D1-4E17-A3CC-E8DE019E9CC0}" w:val=" ADDIN NE.Ref.{E7880089-49D1-4E17-A3CC-E8DE019E9CC0}&lt;Citation&gt;&lt;Group&gt;&lt;References&gt;&lt;Item&gt;&lt;ID&gt;3280&lt;/ID&gt;&lt;UID&gt;{A70EC962-6557-4C64-B251-580459574A12}&lt;/UID&gt;&lt;Title&gt;Diagnosis and Management of Thyroiditis: Hashimoto&lt;/Title&gt;&lt;Template&gt;Journal Article&lt;/Template&gt;&lt;Star&gt;0&lt;/Star&gt;&lt;Tag&gt;0&lt;/Tag&gt;&lt;Author&gt;Russell, M D; Chiang, J&lt;/Author&gt;&lt;Year&gt;2022&lt;/Year&gt;&lt;Details&gt;&lt;_accessed&gt;65664972&lt;/_accessed&gt;&lt;_created&gt;65664926&lt;/_created&gt;&lt;_issue&gt; 19 January&lt;/_issue&gt;&lt;_journal&gt;Endocrine Surgery Comprehensive Board Exam Guide&lt;/_journal&gt;&lt;_modified&gt;65664972&lt;/_modified&gt;&lt;_pages&gt; 83-105&lt;/_pages&gt;&lt;/Details&gt;&lt;Extra&gt;&lt;DBUID&gt;{F96A950B-833F-4880-A151-76DA2D6A2879}&lt;/DBUID&gt;&lt;/Extra&gt;&lt;/Item&gt;&lt;/References&gt;&lt;/Group&gt;&lt;/Citation&gt;_x000a_"/>
    <w:docVar w:name="NE.Ref{EA106DCE-E48C-4E16-A214-CA36E648DCDF}" w:val=" ADDIN NE.Ref.{EA106DCE-E48C-4E16-A214-CA36E648DCDF}&lt;Citation&gt;&lt;Group&gt;&lt;References&gt;&lt;Item&gt;&lt;ID&gt;3281&lt;/ID&gt;&lt;UID&gt;{8C11C38A-8DF2-4B43-83C0-A0615126C79D}&lt;/UID&gt;&lt;Title&gt;桥本氏甲状腺炎的超声诊断与鉴别诊断&lt;/Title&gt;&lt;Template&gt;Journal Article&lt;/Template&gt;&lt;Star&gt;0&lt;/Star&gt;&lt;Tag&gt;0&lt;/Tag&gt;&lt;Author&gt;朱霞; 黄道中; 刘景云; 吴亮; 张青萍&lt;/Author&gt;&lt;Year&gt;2007&lt;/Year&gt;&lt;Details&gt;&lt;_accessed&gt;65664973&lt;/_accessed&gt;&lt;_created&gt;65664972&lt;/_created&gt;&lt;_issue&gt;6&lt;/_issue&gt;&lt;_journal&gt;临床超声医学杂志&lt;/_journal&gt;&lt;_modified&gt;65664973&lt;/_modified&gt;&lt;_pages&gt;4&lt;/_pages&gt;&lt;_volume&gt;9&lt;/_volume&gt;&lt;_translated_author&gt;Zhu, Xia;Huang, Dao zhong;Liu, Jing yun;Wu, Liang;Zhang, Qing ping&lt;/_translated_author&gt;&lt;/Details&gt;&lt;Extra&gt;&lt;DBUID&gt;{F96A950B-833F-4880-A151-76DA2D6A2879}&lt;/DBUID&gt;&lt;/Extra&gt;&lt;/Item&gt;&lt;/References&gt;&lt;/Group&gt;&lt;/Citation&gt;_x000a_"/>
    <w:docVar w:name="NE.Ref{EAD66D57-EBBE-4527-BC80-566262E2DC07}" w:val=" ADDIN NE.Ref.{EAD66D57-EBBE-4527-BC80-566262E2DC07}&lt;Citation&gt;&lt;Group&gt;&lt;References&gt;&lt;Item&gt;&lt;ID&gt;496&lt;/ID&gt;&lt;UID&gt;{2BA42B4E-7259-42AA-BBE0-56D23FB78CCC}&lt;/UID&gt;&lt;Title&gt;桥本氏甲状腺炎中西医结合质量控制指标体系北京专家共识（2021版）&lt;/Title&gt;&lt;Template&gt;Journal Article&lt;/Template&gt;&lt;Star&gt;0&lt;/Star&gt;&lt;Tag&gt;0&lt;/Tag&gt;&lt;Author/&gt;&lt;Year&gt;2021&lt;/Year&gt;&lt;Details&gt;&lt;_author_adr&gt;北京中西医结合学会甲状腺病专业委员会;&lt;/_author_adr&gt;&lt;_created&gt;65604222&lt;/_created&gt;&lt;_db_provider&gt;CNKI&lt;/_db_provider&gt;&lt;_isbn&gt;1001-0025&lt;/_isbn&gt;&lt;_issue&gt;06&lt;/_issue&gt;&lt;_journal&gt;中日友好医院学报&lt;/_journal&gt;&lt;_keywords&gt;桥本氏甲状腺炎;中西医结合;医疗质量;质量控制;专家共识&lt;/_keywords&gt;&lt;_modified&gt;65604222&lt;/_modified&gt;&lt;_pages&gt;323-327&lt;/_pages&gt;&lt;_url&gt;https://kns.cnki.net/kcms2/article/abstract?v=Fc1KeZPKhRHbb5eiWLVs8FxsIvbawiK74AzoPiWDfy6-dzM_pbqNr75qJrfkjq1GGGqhkwau39CJZYmTd0RRgSdEn0r0aC4nBzpOlcIJ-DyEGBVOtM8IP_kVBzapjv7AmmoGoVQtPL0Mh0lvUSbNLs1leqQFE6MK3rjRHxQnmk0V6axhfF9Pvt8Bfmsg5HLxQkdHb2s8KtE=&amp;amp;uniplatform=NZKPT&amp;amp;language=CHS&lt;/_url&gt;&lt;_volume&gt;35&lt;/_volume&gt;&lt;/Details&gt;&lt;Extra&gt;&lt;DBUID&gt;{F96A950B-833F-4880-A151-76DA2D6A2879}&lt;/DBUID&gt;&lt;/Extra&gt;&lt;/Item&gt;&lt;/References&gt;&lt;/Group&gt;&lt;/Citation&gt;_x000a_"/>
    <w:docVar w:name="NE.Ref{EAE1C16C-9181-4949-9DC9-5295F9A509AF}" w:val=" ADDIN NE.Ref.{EAE1C16C-9181-4949-9DC9-5295F9A509AF}&lt;Citation&gt;&lt;Group&gt;&lt;References&gt;&lt;Item&gt;&lt;ID&gt;472&lt;/ID&gt;&lt;UID&gt;{805F2F59-4B1B-4963-A726-B5974006060C}&lt;/UID&gt;&lt;Title&gt;Effects of vitamin D on thyroid autoimmunity markers in Hashimoto&amp;apos;s thyroiditis:  systematic review and meta-analysis&lt;/Title&gt;&lt;Template&gt;Journal Article&lt;/Template&gt;&lt;Star&gt;0&lt;/Star&gt;&lt;Tag&gt;0&lt;/Tag&gt;&lt;Author&gt;Zhang, J; Chen, Y; Li, H; Li, H&lt;/Author&gt;&lt;Year&gt;2021&lt;/Year&gt;&lt;Details&gt;&lt;_accession_num&gt;34871506&lt;/_accession_num&gt;&lt;_author_adr&gt;Department of Endocrinology, Long Hua Hospital Affiliated to Shanghai University  of Traditional Chinese Medicine, Shanghai, China.; Department of Endocrinology, Zhejiang Hospital of Traditional Chinese Medicine,  Hangzhou, Zhejiang Province, China.; Department of Endocrinology, Long Hua Hospital Affiliated to Shanghai University  of Traditional Chinese Medicine, Shanghai, China.; Department of Endocrinology, Long Hua Hospital Affiliated to Shanghai University  of Traditional Chinese Medicine, Shanghai, China.&lt;/_author_adr&gt;&lt;_collection_scope&gt;SCIE&lt;/_collection_scope&gt;&lt;_created&gt;65604205&lt;/_created&gt;&lt;_date&gt;2021-12-01&lt;/_date&gt;&lt;_date_display&gt;2021 Dec&lt;/_date_display&gt;&lt;_doi&gt;10.1177/03000605211060675&lt;/_doi&gt;&lt;_impact_factor&gt;   1.573&lt;/_impact_factor&gt;&lt;_isbn&gt;1473-2300 (Electronic); 0300-0605 (Print); 0300-0605 (Linking)&lt;/_isbn&gt;&lt;_issue&gt;12&lt;/_issue&gt;&lt;_journal&gt;J Int Med Res&lt;/_journal&gt;&lt;_keywords&gt;Hashimoto’s thyroiditis; meta-analysis; vitamin D&lt;/_keywords&gt;&lt;_language&gt;eng&lt;/_language&gt;&lt;_modified&gt;65604205&lt;/_modified&gt;&lt;_pages&gt;3000605211060675&lt;/_pages&gt;&lt;_social_category&gt;医学：研究与实验(4) &amp;amp; 药学(4)&lt;/_social_category&gt;&lt;_subject_headings&gt;Autoimmunity; Dietary Supplements; *Hashimoto Disease/drug therapy; Humans; *Vitamin D&lt;/_subject_headings&gt;&lt;_tertiary_title&gt;The Journal of international medical research&lt;/_tertiary_title&gt;&lt;_type_work&gt;Journal Article; Meta-Analysis; Systematic Review&lt;/_type_work&gt;&lt;_url&gt;http://www.ncbi.nlm.nih.gov/entrez/query.fcgi?cmd=Retrieve&amp;amp;db=pubmed&amp;amp;dopt=Abstract&amp;amp;list_uids=34871506&amp;amp;query_hl=1&lt;/_url&gt;&lt;_volume&gt;49&lt;/_volume&gt;&lt;/Details&gt;&lt;Extra&gt;&lt;DBUID&gt;{F96A950B-833F-4880-A151-76DA2D6A2879}&lt;/DBUID&gt;&lt;/Extra&gt;&lt;/Item&gt;&lt;/References&gt;&lt;/Group&gt;&lt;Group&gt;&lt;References&gt;&lt;Item&gt;&lt;ID&gt;497&lt;/ID&gt;&lt;UID&gt;{A8134B1B-B49F-4582-BF25-29A1D18058DD}&lt;/UID&gt;&lt;Title&gt;桥本氏甲状腺炎发病机制及治疗方法研究进展&lt;/Title&gt;&lt;Template&gt;Journal Article&lt;/Template&gt;&lt;Star&gt;0&lt;/Star&gt;&lt;Tag&gt;0&lt;/Tag&gt;&lt;Author&gt;王平; 王建凤; 刘善新; 王杰&lt;/Author&gt;&lt;Year&gt;2015&lt;/Year&gt;&lt;Details&gt;&lt;_accessed&gt;65634744&lt;/_accessed&gt;&lt;_author_adr&gt;山东省中医药研究院;山东省立医院;&lt;/_author_adr&gt;&lt;_created&gt;65604222&lt;/_created&gt;&lt;_db_provider&gt;CNKI&lt;/_db_provider&gt;&lt;_doi&gt;10.13506/j.cnki.jpr.2015.10.013&lt;/_doi&gt;&lt;_isbn&gt;2095-5375&lt;/_isbn&gt;&lt;_issue&gt;10&lt;/_issue&gt;&lt;_journal&gt;药学研究&lt;/_journal&gt;&lt;_keywords&gt;桥本氏甲状腺炎;自身免疫;西医治疗;中医治疗&lt;/_keywords&gt;&lt;_modified&gt;65634744&lt;/_modified&gt;&lt;_pages&gt;599-603&lt;/_pages&gt;&lt;_url&gt;https://link.cnki.net/doi/10.13506/j.cnki.jpr.2015.10.013&lt;/_url&gt;&lt;_volume&gt;34&lt;/_volume&gt;&lt;_translated_author&gt;Wang, Ping;Wang, Jian feng;Liu, Shan xin;Wang, Jie&lt;/_translated_author&gt;&lt;/Details&gt;&lt;Extra&gt;&lt;DBUID&gt;{F96A950B-833F-4880-A151-76DA2D6A2879}&lt;/DBUID&gt;&lt;/Extra&gt;&lt;/Item&gt;&lt;/References&gt;&lt;/Group&gt;&lt;Group&gt;&lt;References&gt;&lt;Item&gt;&lt;ID&gt;473&lt;/ID&gt;&lt;UID&gt;{71AAE0F7-A826-4A16-B134-C401FFF48FBA}&lt;/UID&gt;&lt;Title&gt;An update on the pathogenesis of Hashimoto&amp;apos;s thyroiditis&lt;/Title&gt;&lt;Template&gt;Journal Article&lt;/Template&gt;&lt;Star&gt;0&lt;/Star&gt;&lt;Tag&gt;0&lt;/Tag&gt;&lt;Author&gt;Weetman, A P&lt;/Author&gt;&lt;Year&gt;2021&lt;/Year&gt;&lt;Details&gt;&lt;_accessed&gt;65664811&lt;/_accessed&gt;&lt;_accession_num&gt;33332019&lt;/_accession_num&gt;&lt;_author_adr&gt;Department of Oncology and Metabolism, Faculty of Medicine, Dentistry and Health,  University of Sheffield, The Medical School, Beech Hill Road, Sheffield, S10 2RX,  UK. a.p.weetman@sheffield.ac.uk.&lt;/_author_adr&gt;&lt;_collection_scope&gt;SCIE&lt;/_collection_scope&gt;&lt;_created&gt;65604206&lt;/_created&gt;&lt;_date&gt;2021-05-01&lt;/_date&gt;&lt;_date_display&gt;2021 May&lt;/_date_display&gt;&lt;_doi&gt;10.1007/s40618-020-01477-1&lt;/_doi&gt;&lt;_impact_factor&gt;   5.467&lt;/_impact_factor&gt;&lt;_isbn&gt;1720-8386 (Electronic); 0391-4097 (Print); 0391-4097 (Linking)&lt;/_isbn&gt;&lt;_issue&gt;5&lt;/_issue&gt;&lt;_journal&gt;J Endocrinol Invest&lt;/_journal&gt;&lt;_keywords&gt;Autoimmunity; Hashimoto’s thyroiditis; Thyroid antibodies&lt;/_keywords&gt;&lt;_language&gt;eng&lt;/_language&gt;&lt;_modified&gt;65664811&lt;/_modified&gt;&lt;_pages&gt;883-890&lt;/_pages&gt;&lt;_social_category&gt;内分泌学与代谢(3)&lt;/_social_category&gt;&lt;_subject_headings&gt;*Autoimmunity; Endocrinology/methods/trends; Environment; *Hashimoto Disease/genetics/immunology/physiopathology; Humans; Risk Factors; Thyroid Gland/immunology/pathology&lt;/_subject_headings&gt;&lt;_tertiary_title&gt;Journal of endocrinological investigation&lt;/_tertiary_title&gt;&lt;_type_work&gt;Journal Article; Review&lt;/_type_work&gt;&lt;_url&gt;http://www.ncbi.nlm.nih.gov/entrez/query.fcgi?cmd=Retrieve&amp;amp;db=pubmed&amp;amp;dopt=Abstract&amp;amp;list_uids=33332019&amp;amp;query_hl=1&lt;/_url&gt;&lt;_volume&gt;44&lt;/_volume&gt;&lt;/Details&gt;&lt;Extra&gt;&lt;DBUID&gt;{F96A950B-833F-4880-A151-76DA2D6A2879}&lt;/DBUID&gt;&lt;/Extra&gt;&lt;/Item&gt;&lt;/References&gt;&lt;/Group&gt;&lt;Group&gt;&lt;References&gt;&lt;Item&gt;&lt;ID&gt;474&lt;/ID&gt;&lt;UID&gt;{C3C40C5A-FBD4-4BDC-8767-5F1B64192CEC}&lt;/UID&gt;&lt;Title&gt;Hashimoto&amp;apos;s thyroiditis: An update on pathogenic mechanisms, diagnostic  protocols, therapeutic strategies, and potential malignant transformation&lt;/Title&gt;&lt;Template&gt;Journal Article&lt;/Template&gt;&lt;Star&gt;0&lt;/Star&gt;&lt;Tag&gt;0&lt;/Tag&gt;&lt;Author&gt;Ralli, M; Angeletti, D; Fiore, M; D&amp;apos;Aguanno, V; Lambiase, A; Artico, M; de Vincentiis, M; Greco, A&lt;/Author&gt;&lt;Year&gt;2020&lt;/Year&gt;&lt;Details&gt;&lt;_accession_num&gt;32805423&lt;/_accession_num&gt;&lt;_author_adr&gt;Department of Sense Organs, Sapienza University of Rome, Italy. Electronic  address: massimo.ralli@uniroma1.it.; Department of Sense Organs, Sapienza University of Rome, Italy. Electronic  address: diletta.angeletti@uniroma1.it.; CNR, Institute of Cell Biology and Neurobiology, Italy. Electronic address:  marco.fiore@cnr.it.; Department of Sense Organs, Sapienza University of Rome, Italy.; Department of Sense Organs, Sapienza University of Rome, Italy. Electronic  address: alessandro.lambiase@uniroma1.it.; Department of Sense Organs, Sapienza University of Rome, Italy. Electronic  address: marco.artico@uniroma1.it.; Department of Oral and Maxillofacial Sciences, Sapienza University of Rome,  Italy. Electronic address: marco.devincentiis@uniroma1.it.; Department of Sense Organs, Sapienza University of Rome, Italy. Electronic  address: antonio.greco@uniroma1.it.&lt;/_author_adr&gt;&lt;_collection_scope&gt;SCIE&lt;/_collection_scope&gt;&lt;_created&gt;65604206&lt;/_created&gt;&lt;_date&gt;2020-10-01&lt;/_date&gt;&lt;_date_display&gt;2020 Oct&lt;/_date_display&gt;&lt;_doi&gt;10.1016/j.autrev.2020.102649&lt;/_doi&gt;&lt;_impact_factor&gt;  17.390&lt;/_impact_factor&gt;&lt;_isbn&gt;1873-0183 (Electronic); 1568-9972 (Linking)&lt;/_isbn&gt;&lt;_issue&gt;10&lt;/_issue&gt;&lt;_journal&gt;Autoimmun Rev&lt;/_journal&gt;&lt;_keywords&gt;Autoimmune thyroid disorders; Autoimmunity; Hashimoto&amp;apos;s thyroiditis; Hypothyroidism&lt;/_keywords&gt;&lt;_language&gt;eng&lt;/_language&gt;&lt;_modified&gt;65604206&lt;/_modified&gt;&lt;_ori_publication&gt;Copyright © 2020 Elsevier B.V. All rights reserved.&lt;/_ori_publication&gt;&lt;_pages&gt;102649&lt;/_pages&gt;&lt;_social_category&gt;免疫学(1)&lt;/_social_category&gt;&lt;_subject_headings&gt;*Hashimoto Disease/immunology/pathology; Humans; *Hypothyroidism; Prospective Studies; Thyroglobulin&lt;/_subject_headings&gt;&lt;_tertiary_title&gt;Autoimmunity reviews&lt;/_tertiary_title&gt;&lt;_type_work&gt;Journal Article; Review&lt;/_type_work&gt;&lt;_url&gt;http://www.ncbi.nlm.nih.gov/entrez/query.fcgi?cmd=Retrieve&amp;amp;db=pubmed&amp;amp;dopt=Abstract&amp;amp;list_uids=32805423&amp;amp;query_hl=1&lt;/_url&gt;&lt;_volume&gt;19&lt;/_volume&gt;&lt;/Details&gt;&lt;Extra&gt;&lt;DBUID&gt;{F96A950B-833F-4880-A151-76DA2D6A2879}&lt;/DBUID&gt;&lt;/Extra&gt;&lt;/Item&gt;&lt;/References&gt;&lt;/Group&gt;&lt;Group&gt;&lt;References&gt;&lt;Item&gt;&lt;ID&gt;475&lt;/ID&gt;&lt;UID&gt;{5A80D076-D617-45D2-9BA7-93F2BA5376B3}&lt;/UID&gt;&lt;Title&gt;The Pathogenesis of Hashimoto&amp;apos;s Thyroiditis: Further Developments in our  Understanding&lt;/Title&gt;&lt;Template&gt;Journal Article&lt;/Template&gt;&lt;Star&gt;0&lt;/Star&gt;&lt;Tag&gt;0&lt;/Tag&gt;&lt;Author&gt;Ajjan, R A; Weetman, A P&lt;/Author&gt;&lt;Year&gt;2015&lt;/Year&gt;&lt;Details&gt;&lt;_accession_num&gt;26361257&lt;/_accession_num&gt;&lt;_author_adr&gt;Division of Cardiovascular and Diabetes Research, Leeds Institute of  Cardiovascular and Metabolic Medicine, University of Leeds, Leeds, UK.; Department of Human Metabolism, University of Sheffield, Sheffield, UK.&lt;/_author_adr&gt;&lt;_collection_scope&gt;SCIE&lt;/_collection_scope&gt;&lt;_created&gt;65604207&lt;/_created&gt;&lt;_date&gt;2015-09-01&lt;/_date&gt;&lt;_date_display&gt;2015 Sep&lt;/_date_display&gt;&lt;_doi&gt;10.1055/s-0035-1548832&lt;/_doi&gt;&lt;_impact_factor&gt;   2.788&lt;/_impact_factor&gt;&lt;_isbn&gt;1439-4286 (Electronic); 0018-5043 (Linking)&lt;/_isbn&gt;&lt;_issue&gt;10&lt;/_issue&gt;&lt;_journal&gt;Horm Metab Res&lt;/_journal&gt;&lt;_language&gt;eng&lt;/_language&gt;&lt;_modified&gt;65604207&lt;/_modified&gt;&lt;_ori_publication&gt;© Georg Thieme Verlag KG Stuttgart · New York.&lt;/_ori_publication&gt;&lt;_pages&gt;702-10&lt;/_pages&gt;&lt;_social_category&gt;内分泌学与代谢(4)&lt;/_social_category&gt;&lt;_subject_headings&gt;Cytokines/metabolism; Environment; Genetic Predisposition to Disease; Hashimoto Disease/*etiology/genetics/immunology; Humans; Immunity, Humoral; MicroRNAs/metabolism&lt;/_subject_headings&gt;&lt;_tertiary_title&gt;Hormone and metabolic research = Hormon- und Stoffwechselforschung = Hormones et _x000d__x000a_      metabolisme&lt;/_tertiary_title&gt;&lt;_type_work&gt;Journal Article; Review&lt;/_type_work&gt;&lt;_url&gt;http://www.ncbi.nlm.nih.gov/entrez/query.fcgi?cmd=Retrieve&amp;amp;db=pubmed&amp;amp;dopt=Abstract&amp;amp;list_uids=26361257&amp;amp;query_hl=1&lt;/_url&gt;&lt;_volume&gt;47&lt;/_volume&gt;&lt;/Details&gt;&lt;Extra&gt;&lt;DBUID&gt;{F96A950B-833F-4880-A151-76DA2D6A2879}&lt;/DBUID&gt;&lt;/Extra&gt;&lt;/Item&gt;&lt;/References&gt;&lt;/Group&gt;&lt;Group&gt;&lt;References&gt;&lt;Item&gt;&lt;ID&gt;476&lt;/ID&gt;&lt;UID&gt;{D12020FD-732D-41A8-A4CD-A80D22E72618}&lt;/UID&gt;&lt;Title&gt;Hashimotos&amp;apos; thyroiditis: Epidemiology, pathogenesis, clinic and therapy&lt;/Title&gt;&lt;Template&gt;Journal Article&lt;/Template&gt;&lt;Star&gt;0&lt;/Star&gt;&lt;Tag&gt;0&lt;/Tag&gt;&lt;Author&gt;Ragusa, F; Fallahi, P; Elia, G; Gonnella, D; Paparo, S R; Giusti, C; Churilov, L P; Ferrari, S M; Antonelli, A&lt;/Author&gt;&lt;Year&gt;2019&lt;/Year&gt;&lt;Details&gt;&lt;_accession_num&gt;31812326&lt;/_accession_num&gt;&lt;_author_adr&gt;Department of Clinical and Experimental Medicine, University of Pisa, Pisa,  Italy. Electronic address: francescaragusa86@gmail.com.; Department of Translational Research of New Technologies in Medicine and Surgery,  University of Pisa, Pisa, Italy. Electronic address: poupak.fallahi@unipi.it.; Department of Clinical and Experimental Medicine, University of Pisa, Pisa,  Italy. Electronic address: e.giusy_87@hotmail.it.; Department of Clinical and Experimental Medicine, University of Pisa, Pisa,  Italy. Electronic address: debora.g.5@hotmail.it.; Department of Clinical and Experimental Medicine, University of Pisa, Pisa,  Italy. Electronic address: sabrinapaparo@gmail.com.; Department of Clinical and Experimental Medicine, University of Pisa, Pisa,  Italy. Electronic address: claudiagiusti94@gmail.com.; Laboratory of the Mosaic of Autoimmunity, Saint Petersburg State University,  Russia. Electronic address: l.churilov@spbu.ru.; Department of Clinical and Experimental Medicine, University of Pisa, Pisa,  Italy. Electronic address: sm.ferrari@int.med.unipi.it.; Department of Clinical and Experimental Medicine, University of Pisa, Pisa,  Italy. Electronic address: alessandro.antonelli@med.unipi.it.&lt;/_author_adr&gt;&lt;_collection_scope&gt;SCIE&lt;/_collection_scope&gt;&lt;_created&gt;65604207&lt;/_created&gt;&lt;_date&gt;2019-12-01&lt;/_date&gt;&lt;_date_display&gt;2019 Dec&lt;/_date_display&gt;&lt;_doi&gt;10.1016/j.beem.2019.101367&lt;/_doi&gt;&lt;_impact_factor&gt;   5.667&lt;/_impact_factor&gt;&lt;_isbn&gt;1878-1594 (Electronic); 1521-690X (Linking)&lt;/_isbn&gt;&lt;_issue&gt;6&lt;/_issue&gt;&lt;_journal&gt;Best Pract Res Clin Endocrinol Metab&lt;/_journal&gt;&lt;_keywords&gt;Hashimoto&amp;apos;s thyroiditis; autoimmune diseases; autoimmune thyroid disorders; autoimmune thyroiditis; hypothyroidism; levothyroxine&lt;/_keywords&gt;&lt;_language&gt;eng&lt;/_language&gt;&lt;_modified&gt;65604207&lt;/_modified&gt;&lt;_ori_publication&gt;Copyright © 2019 Elsevier Ltd. All rights reserved.&lt;/_ori_publication&gt;&lt;_pages&gt;101367&lt;/_pages&gt;&lt;_social_category&gt;内分泌学与代谢(2)&lt;/_social_category&gt;&lt;_subject_headings&gt;Genetic Predisposition to Disease; *Hashimoto Disease/diagnosis/epidemiology/etiology/therapy; Hormone Replacement Therapy; Humans; Hypothyroidism/diagnosis/epidemiology/etiology/therapy; T-Lymphocytes/immunology; Thyroiditis, Autoimmune/diagnosis/epidemiology/etiology/therapy; Thyroxine/therapeutic use&lt;/_subject_headings&gt;&lt;_tertiary_title&gt;Best practice &amp;amp; research. Clinical endocrinology &amp;amp; metabolism&lt;/_tertiary_title&gt;&lt;_type_work&gt;Journal Article; Review&lt;/_type_work&gt;&lt;_url&gt;http://www.ncbi.nlm.nih.gov/entrez/query.fcgi?cmd=Retrieve&amp;amp;db=pubmed&amp;amp;dopt=Abstract&amp;amp;list_uids=31812326&amp;amp;query_hl=1&lt;/_url&gt;&lt;_volume&gt;33&lt;/_volume&gt;&lt;/Details&gt;&lt;Extra&gt;&lt;DBUID&gt;{F96A950B-833F-4880-A151-76DA2D6A2879}&lt;/DBUID&gt;&lt;/Extra&gt;&lt;/Item&gt;&lt;/References&gt;&lt;/Group&gt;&lt;Group&gt;&lt;References&gt;&lt;Item&gt;&lt;ID&gt;477&lt;/ID&gt;&lt;UID&gt;{44889169-7B85-43ED-B774-FC84109EEF46}&lt;/UID&gt;&lt;Title&gt;Hashimoto&amp;apos;s thyroiditis: history and future outlook&lt;/Title&gt;&lt;Template&gt;Journal Article&lt;/Template&gt;&lt;Star&gt;0&lt;/Star&gt;&lt;Tag&gt;0&lt;/Tag&gt;&lt;Author&gt;Hiromatsu, Y; Satoh, H; Amino, N&lt;/Author&gt;&lt;Year&gt;2013&lt;/Year&gt;&lt;Details&gt;&lt;_accession_num&gt;23624127&lt;/_accession_num&gt;&lt;_author_adr&gt;Division of Endocrinology and Metabolism, Department of Medicine, Kurume  University School of Medicine, Kurume, Japan. yuji@med.kurume-u.ac.jp&lt;/_author_adr&gt;&lt;_collection_scope&gt;SCIE&lt;/_collection_scope&gt;&lt;_created&gt;65604208&lt;/_created&gt;&lt;_date&gt;2013-01-01&lt;/_date&gt;&lt;_date_display&gt;2013 Jan-Mar&lt;/_date_display&gt;&lt;_doi&gt;10.1007/BF03401282&lt;/_doi&gt;&lt;_impact_factor&gt;   3.419&lt;/_impact_factor&gt;&lt;_isbn&gt;2520-8721 (Electronic); 1109-3099 (Linking)&lt;/_isbn&gt;&lt;_issue&gt;1&lt;/_issue&gt;&lt;_journal&gt;Hormones (Athens)&lt;/_journal&gt;&lt;_language&gt;eng&lt;/_language&gt;&lt;_modified&gt;65604208&lt;/_modified&gt;&lt;_pages&gt;12-8&lt;/_pages&gt;&lt;_social_category&gt;内分泌学与代谢(4)&lt;/_social_category&gt;&lt;_subject_headings&gt;Animals; *Autoimmunity; Hashimoto Disease/etiology/*history/immunology/pathology; History, 20th Century; History, 21st Century; Humans; Prognosis; Risk Factors; *Thyroid Gland/immunology/pathology&lt;/_subject_headings&gt;&lt;_tertiary_title&gt;Hormones (Athens, Greece)&lt;/_tertiary_title&gt;&lt;_type_work&gt;Historical Article; Journal Article; Portrait; Review&lt;/_type_work&gt;&lt;_url&gt;http://www.ncbi.nlm.nih.gov/entrez/query.fcgi?cmd=Retrieve&amp;amp;db=pubmed&amp;amp;dopt=Abstract&amp;amp;list_uids=23624127&amp;amp;query_hl=1&lt;/_url&gt;&lt;_volume&gt;12&lt;/_volume&gt;&lt;/Details&gt;&lt;Extra&gt;&lt;DBUID&gt;{F96A950B-833F-4880-A151-76DA2D6A2879}&lt;/DBUID&gt;&lt;/Extra&gt;&lt;/Item&gt;&lt;/References&gt;&lt;/Group&gt;&lt;/Citation&gt;_x000a_"/>
    <w:docVar w:name="ne_stylename" w:val="中华人民共和国国家标准_GBT_7714-2005"/>
  </w:docVars>
  <w:rsids>
    <w:rsidRoot w:val="00BC7831"/>
    <w:rsid w:val="00016417"/>
    <w:rsid w:val="00022D84"/>
    <w:rsid w:val="000250D8"/>
    <w:rsid w:val="00043A34"/>
    <w:rsid w:val="00051519"/>
    <w:rsid w:val="00053659"/>
    <w:rsid w:val="00067DE2"/>
    <w:rsid w:val="00071468"/>
    <w:rsid w:val="000718CF"/>
    <w:rsid w:val="00077387"/>
    <w:rsid w:val="000813B7"/>
    <w:rsid w:val="00086BF0"/>
    <w:rsid w:val="000972FF"/>
    <w:rsid w:val="000B1DFF"/>
    <w:rsid w:val="000B253D"/>
    <w:rsid w:val="000C29F0"/>
    <w:rsid w:val="000C32ED"/>
    <w:rsid w:val="000D5FFA"/>
    <w:rsid w:val="000E42CE"/>
    <w:rsid w:val="000E50D4"/>
    <w:rsid w:val="000E5326"/>
    <w:rsid w:val="000F1177"/>
    <w:rsid w:val="000F3546"/>
    <w:rsid w:val="00104217"/>
    <w:rsid w:val="0011064A"/>
    <w:rsid w:val="00122CAC"/>
    <w:rsid w:val="00123229"/>
    <w:rsid w:val="0013069A"/>
    <w:rsid w:val="001322D0"/>
    <w:rsid w:val="00132EF2"/>
    <w:rsid w:val="0013372C"/>
    <w:rsid w:val="0015154C"/>
    <w:rsid w:val="001617DB"/>
    <w:rsid w:val="001770FE"/>
    <w:rsid w:val="00181B86"/>
    <w:rsid w:val="0019573F"/>
    <w:rsid w:val="00195740"/>
    <w:rsid w:val="00195EBA"/>
    <w:rsid w:val="001B287E"/>
    <w:rsid w:val="001B46DC"/>
    <w:rsid w:val="001C3853"/>
    <w:rsid w:val="001C3F28"/>
    <w:rsid w:val="001C68BC"/>
    <w:rsid w:val="001D102B"/>
    <w:rsid w:val="001D223D"/>
    <w:rsid w:val="001E3CBE"/>
    <w:rsid w:val="001E4EEB"/>
    <w:rsid w:val="001E5C69"/>
    <w:rsid w:val="001F0430"/>
    <w:rsid w:val="001F3057"/>
    <w:rsid w:val="00202A59"/>
    <w:rsid w:val="0021090C"/>
    <w:rsid w:val="00221C64"/>
    <w:rsid w:val="00226F03"/>
    <w:rsid w:val="002568DB"/>
    <w:rsid w:val="0028772E"/>
    <w:rsid w:val="00295B42"/>
    <w:rsid w:val="002B48DA"/>
    <w:rsid w:val="002D0A06"/>
    <w:rsid w:val="002D1620"/>
    <w:rsid w:val="002D1DB1"/>
    <w:rsid w:val="002D2911"/>
    <w:rsid w:val="002D29DB"/>
    <w:rsid w:val="002D7D39"/>
    <w:rsid w:val="002E1A05"/>
    <w:rsid w:val="002E372D"/>
    <w:rsid w:val="00306C41"/>
    <w:rsid w:val="003219AB"/>
    <w:rsid w:val="00332294"/>
    <w:rsid w:val="0033300F"/>
    <w:rsid w:val="00334634"/>
    <w:rsid w:val="00335D90"/>
    <w:rsid w:val="00340011"/>
    <w:rsid w:val="0034011E"/>
    <w:rsid w:val="00350B8E"/>
    <w:rsid w:val="003527D6"/>
    <w:rsid w:val="00353409"/>
    <w:rsid w:val="00365393"/>
    <w:rsid w:val="0036607C"/>
    <w:rsid w:val="003736CE"/>
    <w:rsid w:val="00380D4C"/>
    <w:rsid w:val="003823B2"/>
    <w:rsid w:val="003825A8"/>
    <w:rsid w:val="0038540F"/>
    <w:rsid w:val="003A18C3"/>
    <w:rsid w:val="003A1AB9"/>
    <w:rsid w:val="003A2C04"/>
    <w:rsid w:val="003A66F8"/>
    <w:rsid w:val="003C5162"/>
    <w:rsid w:val="003D5846"/>
    <w:rsid w:val="003F0DCB"/>
    <w:rsid w:val="003F182D"/>
    <w:rsid w:val="003F2A0E"/>
    <w:rsid w:val="003F55B1"/>
    <w:rsid w:val="00406D4D"/>
    <w:rsid w:val="00407B91"/>
    <w:rsid w:val="0041705E"/>
    <w:rsid w:val="00421299"/>
    <w:rsid w:val="00431857"/>
    <w:rsid w:val="00436664"/>
    <w:rsid w:val="00466196"/>
    <w:rsid w:val="00467DE9"/>
    <w:rsid w:val="004739C8"/>
    <w:rsid w:val="00494DE7"/>
    <w:rsid w:val="004B0035"/>
    <w:rsid w:val="004B59CD"/>
    <w:rsid w:val="004D5DDE"/>
    <w:rsid w:val="004D71E1"/>
    <w:rsid w:val="004D7899"/>
    <w:rsid w:val="004F0B83"/>
    <w:rsid w:val="005017F2"/>
    <w:rsid w:val="00504976"/>
    <w:rsid w:val="00507B5F"/>
    <w:rsid w:val="005131E4"/>
    <w:rsid w:val="00521BB3"/>
    <w:rsid w:val="005253BD"/>
    <w:rsid w:val="0053552E"/>
    <w:rsid w:val="00537B66"/>
    <w:rsid w:val="00544F12"/>
    <w:rsid w:val="0054504F"/>
    <w:rsid w:val="005507EF"/>
    <w:rsid w:val="00556DB0"/>
    <w:rsid w:val="005851F4"/>
    <w:rsid w:val="005912A4"/>
    <w:rsid w:val="005B2CE8"/>
    <w:rsid w:val="005B63FD"/>
    <w:rsid w:val="005C31D5"/>
    <w:rsid w:val="005C4D5C"/>
    <w:rsid w:val="005E4503"/>
    <w:rsid w:val="005F1559"/>
    <w:rsid w:val="005F249D"/>
    <w:rsid w:val="005F72FB"/>
    <w:rsid w:val="00601025"/>
    <w:rsid w:val="00601843"/>
    <w:rsid w:val="00605FD8"/>
    <w:rsid w:val="00612854"/>
    <w:rsid w:val="00616CD7"/>
    <w:rsid w:val="00622DAA"/>
    <w:rsid w:val="00622DD1"/>
    <w:rsid w:val="006268FE"/>
    <w:rsid w:val="006310E6"/>
    <w:rsid w:val="006368C2"/>
    <w:rsid w:val="006427EE"/>
    <w:rsid w:val="00646B39"/>
    <w:rsid w:val="00653A09"/>
    <w:rsid w:val="00670459"/>
    <w:rsid w:val="00672B38"/>
    <w:rsid w:val="00673DDB"/>
    <w:rsid w:val="00673E36"/>
    <w:rsid w:val="00681DF0"/>
    <w:rsid w:val="00683FF5"/>
    <w:rsid w:val="00684226"/>
    <w:rsid w:val="006849C0"/>
    <w:rsid w:val="00692CC5"/>
    <w:rsid w:val="006A37C1"/>
    <w:rsid w:val="006B7A24"/>
    <w:rsid w:val="006C4179"/>
    <w:rsid w:val="006C7060"/>
    <w:rsid w:val="006D7715"/>
    <w:rsid w:val="006D78E6"/>
    <w:rsid w:val="006E4104"/>
    <w:rsid w:val="006E78C3"/>
    <w:rsid w:val="006F0860"/>
    <w:rsid w:val="006F0D9F"/>
    <w:rsid w:val="0070307B"/>
    <w:rsid w:val="007037B9"/>
    <w:rsid w:val="00703F60"/>
    <w:rsid w:val="007102E6"/>
    <w:rsid w:val="00721BC2"/>
    <w:rsid w:val="00724536"/>
    <w:rsid w:val="00726002"/>
    <w:rsid w:val="00752F33"/>
    <w:rsid w:val="007558D6"/>
    <w:rsid w:val="00755AFE"/>
    <w:rsid w:val="00771BA3"/>
    <w:rsid w:val="007A732B"/>
    <w:rsid w:val="007A73AA"/>
    <w:rsid w:val="007B3DC9"/>
    <w:rsid w:val="007B3ED8"/>
    <w:rsid w:val="007B6289"/>
    <w:rsid w:val="007C08A1"/>
    <w:rsid w:val="007C159C"/>
    <w:rsid w:val="007C1D19"/>
    <w:rsid w:val="007C29E7"/>
    <w:rsid w:val="007D196C"/>
    <w:rsid w:val="007F7934"/>
    <w:rsid w:val="00802734"/>
    <w:rsid w:val="008179B5"/>
    <w:rsid w:val="00824275"/>
    <w:rsid w:val="00826483"/>
    <w:rsid w:val="00843E6A"/>
    <w:rsid w:val="00850CAA"/>
    <w:rsid w:val="008704FA"/>
    <w:rsid w:val="00872C72"/>
    <w:rsid w:val="00883CAA"/>
    <w:rsid w:val="00883E8E"/>
    <w:rsid w:val="0089410C"/>
    <w:rsid w:val="00895467"/>
    <w:rsid w:val="008A083F"/>
    <w:rsid w:val="008B3A77"/>
    <w:rsid w:val="008C7AA1"/>
    <w:rsid w:val="008E4C88"/>
    <w:rsid w:val="008F4600"/>
    <w:rsid w:val="008F4D09"/>
    <w:rsid w:val="009002F9"/>
    <w:rsid w:val="009054B6"/>
    <w:rsid w:val="009122D2"/>
    <w:rsid w:val="00912866"/>
    <w:rsid w:val="00920DAA"/>
    <w:rsid w:val="009256B3"/>
    <w:rsid w:val="009258B4"/>
    <w:rsid w:val="00927030"/>
    <w:rsid w:val="0093004D"/>
    <w:rsid w:val="00931243"/>
    <w:rsid w:val="009349A5"/>
    <w:rsid w:val="00943B01"/>
    <w:rsid w:val="00957FFB"/>
    <w:rsid w:val="00972BBC"/>
    <w:rsid w:val="009807BE"/>
    <w:rsid w:val="00981E2C"/>
    <w:rsid w:val="00984ED3"/>
    <w:rsid w:val="00986C96"/>
    <w:rsid w:val="009A41AA"/>
    <w:rsid w:val="009C6235"/>
    <w:rsid w:val="009E7481"/>
    <w:rsid w:val="009F538B"/>
    <w:rsid w:val="00A2673D"/>
    <w:rsid w:val="00A36806"/>
    <w:rsid w:val="00A60110"/>
    <w:rsid w:val="00A61DF4"/>
    <w:rsid w:val="00A64C32"/>
    <w:rsid w:val="00A65D10"/>
    <w:rsid w:val="00A65D7C"/>
    <w:rsid w:val="00A666A4"/>
    <w:rsid w:val="00A72F4B"/>
    <w:rsid w:val="00A739E0"/>
    <w:rsid w:val="00A80E71"/>
    <w:rsid w:val="00A964AD"/>
    <w:rsid w:val="00A96781"/>
    <w:rsid w:val="00AA6B6A"/>
    <w:rsid w:val="00AB1812"/>
    <w:rsid w:val="00AB3E24"/>
    <w:rsid w:val="00B00B84"/>
    <w:rsid w:val="00B356A0"/>
    <w:rsid w:val="00B452D0"/>
    <w:rsid w:val="00B530B7"/>
    <w:rsid w:val="00B5365B"/>
    <w:rsid w:val="00B54804"/>
    <w:rsid w:val="00B61414"/>
    <w:rsid w:val="00B67A33"/>
    <w:rsid w:val="00B855C3"/>
    <w:rsid w:val="00BA6915"/>
    <w:rsid w:val="00BB334F"/>
    <w:rsid w:val="00BC217B"/>
    <w:rsid w:val="00BC6560"/>
    <w:rsid w:val="00BC7831"/>
    <w:rsid w:val="00C0447D"/>
    <w:rsid w:val="00C10126"/>
    <w:rsid w:val="00C13AE3"/>
    <w:rsid w:val="00C15FA8"/>
    <w:rsid w:val="00C16B51"/>
    <w:rsid w:val="00C2051D"/>
    <w:rsid w:val="00C22684"/>
    <w:rsid w:val="00C2315D"/>
    <w:rsid w:val="00C26F55"/>
    <w:rsid w:val="00C27935"/>
    <w:rsid w:val="00C41899"/>
    <w:rsid w:val="00C553DB"/>
    <w:rsid w:val="00C64A61"/>
    <w:rsid w:val="00C65EDF"/>
    <w:rsid w:val="00C66D4C"/>
    <w:rsid w:val="00C8124E"/>
    <w:rsid w:val="00C8400C"/>
    <w:rsid w:val="00C85C90"/>
    <w:rsid w:val="00C87916"/>
    <w:rsid w:val="00C87F19"/>
    <w:rsid w:val="00C93F89"/>
    <w:rsid w:val="00CA6F95"/>
    <w:rsid w:val="00CB492A"/>
    <w:rsid w:val="00CB76F7"/>
    <w:rsid w:val="00CD109B"/>
    <w:rsid w:val="00CD3264"/>
    <w:rsid w:val="00CD552D"/>
    <w:rsid w:val="00CF2528"/>
    <w:rsid w:val="00CF3A1D"/>
    <w:rsid w:val="00CF4876"/>
    <w:rsid w:val="00CF569D"/>
    <w:rsid w:val="00D37C6E"/>
    <w:rsid w:val="00D57D64"/>
    <w:rsid w:val="00D62642"/>
    <w:rsid w:val="00D70986"/>
    <w:rsid w:val="00D93570"/>
    <w:rsid w:val="00DA4C8C"/>
    <w:rsid w:val="00DA6BB3"/>
    <w:rsid w:val="00DA744C"/>
    <w:rsid w:val="00DB2806"/>
    <w:rsid w:val="00DB509A"/>
    <w:rsid w:val="00DC2CED"/>
    <w:rsid w:val="00DE1D6D"/>
    <w:rsid w:val="00E04110"/>
    <w:rsid w:val="00E15BF1"/>
    <w:rsid w:val="00E167C5"/>
    <w:rsid w:val="00E279E8"/>
    <w:rsid w:val="00E60530"/>
    <w:rsid w:val="00E72792"/>
    <w:rsid w:val="00E80364"/>
    <w:rsid w:val="00E81869"/>
    <w:rsid w:val="00E81D3C"/>
    <w:rsid w:val="00E85E43"/>
    <w:rsid w:val="00E97DC0"/>
    <w:rsid w:val="00EA0F8B"/>
    <w:rsid w:val="00EA44E4"/>
    <w:rsid w:val="00EB19C7"/>
    <w:rsid w:val="00EB3EE7"/>
    <w:rsid w:val="00EC2503"/>
    <w:rsid w:val="00ED0B7B"/>
    <w:rsid w:val="00ED6ABB"/>
    <w:rsid w:val="00ED7A43"/>
    <w:rsid w:val="00EE2C3F"/>
    <w:rsid w:val="00EE2DE8"/>
    <w:rsid w:val="00EE4F8B"/>
    <w:rsid w:val="00EF2530"/>
    <w:rsid w:val="00EF36F0"/>
    <w:rsid w:val="00F024E8"/>
    <w:rsid w:val="00F03CB7"/>
    <w:rsid w:val="00F10A24"/>
    <w:rsid w:val="00F12738"/>
    <w:rsid w:val="00F13CEF"/>
    <w:rsid w:val="00F169E0"/>
    <w:rsid w:val="00F22504"/>
    <w:rsid w:val="00F25C96"/>
    <w:rsid w:val="00F451CD"/>
    <w:rsid w:val="00F47906"/>
    <w:rsid w:val="00F479BC"/>
    <w:rsid w:val="00F51C34"/>
    <w:rsid w:val="00F541ED"/>
    <w:rsid w:val="00F56C43"/>
    <w:rsid w:val="00F62064"/>
    <w:rsid w:val="00F90CD7"/>
    <w:rsid w:val="00F948F3"/>
    <w:rsid w:val="00FA7096"/>
    <w:rsid w:val="00FB28E6"/>
    <w:rsid w:val="00FB3A04"/>
    <w:rsid w:val="00FD4486"/>
    <w:rsid w:val="00FE0C6E"/>
    <w:rsid w:val="00FE4EEA"/>
    <w:rsid w:val="00FE6E05"/>
    <w:rsid w:val="00FF7C0B"/>
    <w:rsid w:val="015E4AD6"/>
    <w:rsid w:val="01E67C9E"/>
    <w:rsid w:val="02213BF5"/>
    <w:rsid w:val="02315D47"/>
    <w:rsid w:val="025F0632"/>
    <w:rsid w:val="02E66B31"/>
    <w:rsid w:val="03C350C4"/>
    <w:rsid w:val="03ED5ED8"/>
    <w:rsid w:val="043577FC"/>
    <w:rsid w:val="043D6C25"/>
    <w:rsid w:val="045F4DED"/>
    <w:rsid w:val="05B11678"/>
    <w:rsid w:val="05DB4947"/>
    <w:rsid w:val="0659586C"/>
    <w:rsid w:val="06C55827"/>
    <w:rsid w:val="06E25509"/>
    <w:rsid w:val="071023CF"/>
    <w:rsid w:val="07381102"/>
    <w:rsid w:val="07417DC8"/>
    <w:rsid w:val="076B43DC"/>
    <w:rsid w:val="081859DF"/>
    <w:rsid w:val="08236132"/>
    <w:rsid w:val="08316AA1"/>
    <w:rsid w:val="08B03AFB"/>
    <w:rsid w:val="08DB64F4"/>
    <w:rsid w:val="08EC0C19"/>
    <w:rsid w:val="08FD2E27"/>
    <w:rsid w:val="09167A44"/>
    <w:rsid w:val="092B5D49"/>
    <w:rsid w:val="09304FAA"/>
    <w:rsid w:val="09AE5CE4"/>
    <w:rsid w:val="0A1641A0"/>
    <w:rsid w:val="0A6C3DC0"/>
    <w:rsid w:val="0AD950EC"/>
    <w:rsid w:val="0B4E7969"/>
    <w:rsid w:val="0BB579E9"/>
    <w:rsid w:val="0C760F26"/>
    <w:rsid w:val="0CA737D5"/>
    <w:rsid w:val="0CAD246E"/>
    <w:rsid w:val="0CBE28CD"/>
    <w:rsid w:val="0CDC6727"/>
    <w:rsid w:val="0CDD71F7"/>
    <w:rsid w:val="0CF06F2A"/>
    <w:rsid w:val="0D1E5CB6"/>
    <w:rsid w:val="0D5C5FEA"/>
    <w:rsid w:val="0D7D4536"/>
    <w:rsid w:val="0DCB704F"/>
    <w:rsid w:val="0DF93BBD"/>
    <w:rsid w:val="0E2A1FC8"/>
    <w:rsid w:val="0E805001"/>
    <w:rsid w:val="0E811E04"/>
    <w:rsid w:val="0F19203C"/>
    <w:rsid w:val="0FCE2E27"/>
    <w:rsid w:val="10727C56"/>
    <w:rsid w:val="10802373"/>
    <w:rsid w:val="11212AE1"/>
    <w:rsid w:val="1127768A"/>
    <w:rsid w:val="119D6F55"/>
    <w:rsid w:val="11B83D8F"/>
    <w:rsid w:val="11F87BC5"/>
    <w:rsid w:val="11FD79F3"/>
    <w:rsid w:val="11FF376C"/>
    <w:rsid w:val="12011292"/>
    <w:rsid w:val="127A23FD"/>
    <w:rsid w:val="127E6D86"/>
    <w:rsid w:val="12F40DF6"/>
    <w:rsid w:val="13223BB5"/>
    <w:rsid w:val="133236CD"/>
    <w:rsid w:val="133B6A25"/>
    <w:rsid w:val="143152CD"/>
    <w:rsid w:val="15AE5E38"/>
    <w:rsid w:val="166170A0"/>
    <w:rsid w:val="16C45831"/>
    <w:rsid w:val="17765D96"/>
    <w:rsid w:val="17FB2C27"/>
    <w:rsid w:val="18351C95"/>
    <w:rsid w:val="183D4FEE"/>
    <w:rsid w:val="19690607"/>
    <w:rsid w:val="1A865204"/>
    <w:rsid w:val="1A907657"/>
    <w:rsid w:val="1AEE0821"/>
    <w:rsid w:val="1C124C69"/>
    <w:rsid w:val="1C9722D6"/>
    <w:rsid w:val="1C996606"/>
    <w:rsid w:val="1CD13F56"/>
    <w:rsid w:val="1CE56136"/>
    <w:rsid w:val="1D4D7A81"/>
    <w:rsid w:val="1D686669"/>
    <w:rsid w:val="1DD75923"/>
    <w:rsid w:val="1E3E0571"/>
    <w:rsid w:val="1EA01E32"/>
    <w:rsid w:val="1F066139"/>
    <w:rsid w:val="1F1840BF"/>
    <w:rsid w:val="1FAA54EE"/>
    <w:rsid w:val="203E1903"/>
    <w:rsid w:val="204C4A6C"/>
    <w:rsid w:val="206375BB"/>
    <w:rsid w:val="20653333"/>
    <w:rsid w:val="215A6FA8"/>
    <w:rsid w:val="217F0425"/>
    <w:rsid w:val="220B3A67"/>
    <w:rsid w:val="22142A62"/>
    <w:rsid w:val="225B49EE"/>
    <w:rsid w:val="22AA14D2"/>
    <w:rsid w:val="237A60D4"/>
    <w:rsid w:val="237D6BE6"/>
    <w:rsid w:val="238B273A"/>
    <w:rsid w:val="23CD36CA"/>
    <w:rsid w:val="24C42F53"/>
    <w:rsid w:val="24FB55B8"/>
    <w:rsid w:val="252A06A8"/>
    <w:rsid w:val="25506360"/>
    <w:rsid w:val="256F255E"/>
    <w:rsid w:val="25A246E2"/>
    <w:rsid w:val="25AE3087"/>
    <w:rsid w:val="25C74149"/>
    <w:rsid w:val="25FE2B31"/>
    <w:rsid w:val="27BC5F2F"/>
    <w:rsid w:val="27C668BE"/>
    <w:rsid w:val="28433F5A"/>
    <w:rsid w:val="28C629EC"/>
    <w:rsid w:val="28CE7532"/>
    <w:rsid w:val="29946A38"/>
    <w:rsid w:val="2A68414C"/>
    <w:rsid w:val="2B85488A"/>
    <w:rsid w:val="2C9C37A7"/>
    <w:rsid w:val="2CEE64A0"/>
    <w:rsid w:val="2CFB12A7"/>
    <w:rsid w:val="2D25553D"/>
    <w:rsid w:val="2D6D3827"/>
    <w:rsid w:val="2D74105A"/>
    <w:rsid w:val="2E063C32"/>
    <w:rsid w:val="2E116D9A"/>
    <w:rsid w:val="2F633134"/>
    <w:rsid w:val="2FA554FB"/>
    <w:rsid w:val="302A3C52"/>
    <w:rsid w:val="306C3781"/>
    <w:rsid w:val="312863E3"/>
    <w:rsid w:val="3139239E"/>
    <w:rsid w:val="31E518E1"/>
    <w:rsid w:val="327318E0"/>
    <w:rsid w:val="327D450D"/>
    <w:rsid w:val="328659B8"/>
    <w:rsid w:val="3356731B"/>
    <w:rsid w:val="35645510"/>
    <w:rsid w:val="35971579"/>
    <w:rsid w:val="35F20D6E"/>
    <w:rsid w:val="36154A5C"/>
    <w:rsid w:val="363C648D"/>
    <w:rsid w:val="363E3FB3"/>
    <w:rsid w:val="36C56482"/>
    <w:rsid w:val="36FD3E6E"/>
    <w:rsid w:val="37113475"/>
    <w:rsid w:val="372916B2"/>
    <w:rsid w:val="37661A13"/>
    <w:rsid w:val="378A04C6"/>
    <w:rsid w:val="37CC2D98"/>
    <w:rsid w:val="382A0C93"/>
    <w:rsid w:val="38910D12"/>
    <w:rsid w:val="38997BC6"/>
    <w:rsid w:val="38B60778"/>
    <w:rsid w:val="392A081F"/>
    <w:rsid w:val="3962445C"/>
    <w:rsid w:val="396A50BF"/>
    <w:rsid w:val="396F0283"/>
    <w:rsid w:val="3A1D32E7"/>
    <w:rsid w:val="3AB962FE"/>
    <w:rsid w:val="3B36794F"/>
    <w:rsid w:val="3C3C1F96"/>
    <w:rsid w:val="3CC241DB"/>
    <w:rsid w:val="3CE77152"/>
    <w:rsid w:val="3D0E0B83"/>
    <w:rsid w:val="3D485319"/>
    <w:rsid w:val="3D9077EA"/>
    <w:rsid w:val="3DA0640E"/>
    <w:rsid w:val="3DB66B25"/>
    <w:rsid w:val="3E9230EE"/>
    <w:rsid w:val="3EE31B9B"/>
    <w:rsid w:val="3F081602"/>
    <w:rsid w:val="3F6A1E45"/>
    <w:rsid w:val="3F8213B4"/>
    <w:rsid w:val="3FBE7F13"/>
    <w:rsid w:val="403703F1"/>
    <w:rsid w:val="404B17A6"/>
    <w:rsid w:val="407374BD"/>
    <w:rsid w:val="40CF0629"/>
    <w:rsid w:val="415E375B"/>
    <w:rsid w:val="421434EA"/>
    <w:rsid w:val="422C3859"/>
    <w:rsid w:val="425E6C00"/>
    <w:rsid w:val="42B15B0D"/>
    <w:rsid w:val="42BB7D3B"/>
    <w:rsid w:val="42ED2FE9"/>
    <w:rsid w:val="42FC147E"/>
    <w:rsid w:val="43010842"/>
    <w:rsid w:val="430A0E5F"/>
    <w:rsid w:val="43C875B2"/>
    <w:rsid w:val="447A11B2"/>
    <w:rsid w:val="44A616A1"/>
    <w:rsid w:val="44D53D34"/>
    <w:rsid w:val="44F47B56"/>
    <w:rsid w:val="455C4456"/>
    <w:rsid w:val="46843523"/>
    <w:rsid w:val="46C53ADC"/>
    <w:rsid w:val="47305B9A"/>
    <w:rsid w:val="47D05EAF"/>
    <w:rsid w:val="489857A5"/>
    <w:rsid w:val="499917D4"/>
    <w:rsid w:val="49AD6AFF"/>
    <w:rsid w:val="49FE5ADB"/>
    <w:rsid w:val="4A2D4613"/>
    <w:rsid w:val="4A600544"/>
    <w:rsid w:val="4AC46D25"/>
    <w:rsid w:val="4BB00A4F"/>
    <w:rsid w:val="4C123AC0"/>
    <w:rsid w:val="4C9D782D"/>
    <w:rsid w:val="4D3867E4"/>
    <w:rsid w:val="4D7D6984"/>
    <w:rsid w:val="4EC372F3"/>
    <w:rsid w:val="4EF72C5F"/>
    <w:rsid w:val="4F14737F"/>
    <w:rsid w:val="4FE92D8A"/>
    <w:rsid w:val="501E2A33"/>
    <w:rsid w:val="505404D9"/>
    <w:rsid w:val="50E772C9"/>
    <w:rsid w:val="515B7CB7"/>
    <w:rsid w:val="516C364B"/>
    <w:rsid w:val="518C1BE9"/>
    <w:rsid w:val="52391DA6"/>
    <w:rsid w:val="524E4BD7"/>
    <w:rsid w:val="526E7576"/>
    <w:rsid w:val="52AA4A52"/>
    <w:rsid w:val="540C46FA"/>
    <w:rsid w:val="562B7C58"/>
    <w:rsid w:val="56355A7A"/>
    <w:rsid w:val="56861332"/>
    <w:rsid w:val="56EA7B13"/>
    <w:rsid w:val="57E12C55"/>
    <w:rsid w:val="57EB7407"/>
    <w:rsid w:val="58037AAD"/>
    <w:rsid w:val="585B234B"/>
    <w:rsid w:val="58EB488A"/>
    <w:rsid w:val="590F3861"/>
    <w:rsid w:val="591A187B"/>
    <w:rsid w:val="593B4886"/>
    <w:rsid w:val="597D6A47"/>
    <w:rsid w:val="59BB5797"/>
    <w:rsid w:val="59DD395F"/>
    <w:rsid w:val="59EA7E2A"/>
    <w:rsid w:val="5A2275C4"/>
    <w:rsid w:val="5A7E331D"/>
    <w:rsid w:val="5B2555BE"/>
    <w:rsid w:val="5B321A89"/>
    <w:rsid w:val="5B7C71A8"/>
    <w:rsid w:val="5C1560BC"/>
    <w:rsid w:val="5C1E200D"/>
    <w:rsid w:val="5D9C768D"/>
    <w:rsid w:val="5DDB21F4"/>
    <w:rsid w:val="5E7128C8"/>
    <w:rsid w:val="5E8156B1"/>
    <w:rsid w:val="5F090D52"/>
    <w:rsid w:val="5F0E0117"/>
    <w:rsid w:val="5F1E0588"/>
    <w:rsid w:val="5F9F5213"/>
    <w:rsid w:val="5FB52C88"/>
    <w:rsid w:val="5FCB6008"/>
    <w:rsid w:val="5FDC6467"/>
    <w:rsid w:val="601C6864"/>
    <w:rsid w:val="603B33EE"/>
    <w:rsid w:val="60A70823"/>
    <w:rsid w:val="61112140"/>
    <w:rsid w:val="61371BA7"/>
    <w:rsid w:val="619A3EE4"/>
    <w:rsid w:val="61A66D2D"/>
    <w:rsid w:val="61B054B5"/>
    <w:rsid w:val="61F96E5C"/>
    <w:rsid w:val="630261E5"/>
    <w:rsid w:val="63BF4C9E"/>
    <w:rsid w:val="63CC234F"/>
    <w:rsid w:val="63EA73A4"/>
    <w:rsid w:val="63FC0E86"/>
    <w:rsid w:val="643B19AE"/>
    <w:rsid w:val="64503A16"/>
    <w:rsid w:val="645E73F8"/>
    <w:rsid w:val="650916EC"/>
    <w:rsid w:val="650D0A35"/>
    <w:rsid w:val="65703021"/>
    <w:rsid w:val="65C94D98"/>
    <w:rsid w:val="65E676F8"/>
    <w:rsid w:val="65EB11B2"/>
    <w:rsid w:val="6602705B"/>
    <w:rsid w:val="660C23C4"/>
    <w:rsid w:val="66417024"/>
    <w:rsid w:val="665916FA"/>
    <w:rsid w:val="672E11CA"/>
    <w:rsid w:val="67642FCA"/>
    <w:rsid w:val="67FD51CC"/>
    <w:rsid w:val="686D2352"/>
    <w:rsid w:val="68C54CEF"/>
    <w:rsid w:val="68CA1553"/>
    <w:rsid w:val="68D67EF7"/>
    <w:rsid w:val="6AD71D05"/>
    <w:rsid w:val="6B00620C"/>
    <w:rsid w:val="6B927388"/>
    <w:rsid w:val="6BF32B6E"/>
    <w:rsid w:val="6BFD39ED"/>
    <w:rsid w:val="6C2F380D"/>
    <w:rsid w:val="6C8639E2"/>
    <w:rsid w:val="6CC938CF"/>
    <w:rsid w:val="6CED3A62"/>
    <w:rsid w:val="6DBA59C7"/>
    <w:rsid w:val="6DBB590E"/>
    <w:rsid w:val="6E2B2A93"/>
    <w:rsid w:val="6E4A14E9"/>
    <w:rsid w:val="6E533D98"/>
    <w:rsid w:val="6EBE27FB"/>
    <w:rsid w:val="6EC151A6"/>
    <w:rsid w:val="6F3A0AB4"/>
    <w:rsid w:val="6F541B76"/>
    <w:rsid w:val="700532A9"/>
    <w:rsid w:val="700A492A"/>
    <w:rsid w:val="701D7987"/>
    <w:rsid w:val="711041C2"/>
    <w:rsid w:val="71196858"/>
    <w:rsid w:val="71A01F8F"/>
    <w:rsid w:val="71C0449E"/>
    <w:rsid w:val="724F1F27"/>
    <w:rsid w:val="72AE5A41"/>
    <w:rsid w:val="73002483"/>
    <w:rsid w:val="739C26D0"/>
    <w:rsid w:val="746016FA"/>
    <w:rsid w:val="750E27C7"/>
    <w:rsid w:val="754B3A1B"/>
    <w:rsid w:val="75E43528"/>
    <w:rsid w:val="76452AAD"/>
    <w:rsid w:val="767E1BCE"/>
    <w:rsid w:val="7693567A"/>
    <w:rsid w:val="76984A3E"/>
    <w:rsid w:val="769D3E02"/>
    <w:rsid w:val="774F7BA9"/>
    <w:rsid w:val="781C40D4"/>
    <w:rsid w:val="78300CA6"/>
    <w:rsid w:val="789E4079"/>
    <w:rsid w:val="78EE6B97"/>
    <w:rsid w:val="790D6DC5"/>
    <w:rsid w:val="79295E21"/>
    <w:rsid w:val="79B006CB"/>
    <w:rsid w:val="79C913B2"/>
    <w:rsid w:val="79EB641B"/>
    <w:rsid w:val="7A097A01"/>
    <w:rsid w:val="7A5944E4"/>
    <w:rsid w:val="7A7D43B5"/>
    <w:rsid w:val="7B7A2964"/>
    <w:rsid w:val="7C4A4A2C"/>
    <w:rsid w:val="7C701FB9"/>
    <w:rsid w:val="7CAA54CB"/>
    <w:rsid w:val="7D86298E"/>
    <w:rsid w:val="7F533BF8"/>
    <w:rsid w:val="7F645E05"/>
    <w:rsid w:val="7F9F508F"/>
    <w:rsid w:val="7FF852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ind w:firstLine="200" w:firstLineChars="200"/>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qFormat/>
    <w:uiPriority w:val="9"/>
    <w:pPr>
      <w:keepNext/>
      <w:keepLines/>
      <w:spacing w:before="340" w:after="330"/>
      <w:jc w:val="center"/>
      <w:outlineLvl w:val="0"/>
    </w:pPr>
    <w:rPr>
      <w:b/>
      <w:kern w:val="44"/>
      <w:sz w:val="32"/>
    </w:rPr>
  </w:style>
  <w:style w:type="paragraph" w:styleId="3">
    <w:name w:val="heading 2"/>
    <w:basedOn w:val="1"/>
    <w:next w:val="1"/>
    <w:unhideWhenUsed/>
    <w:qFormat/>
    <w:uiPriority w:val="9"/>
    <w:pPr>
      <w:keepNext/>
      <w:keepLines/>
      <w:spacing w:before="260" w:after="260" w:line="240" w:lineRule="auto"/>
      <w:outlineLvl w:val="1"/>
    </w:pPr>
    <w:rPr>
      <w:rFonts w:ascii="Arial" w:hAnsi="Arial" w:eastAsia="宋体"/>
      <w:b/>
      <w:sz w:val="28"/>
    </w:rPr>
  </w:style>
  <w:style w:type="paragraph" w:styleId="4">
    <w:name w:val="heading 3"/>
    <w:basedOn w:val="1"/>
    <w:next w:val="1"/>
    <w:unhideWhenUsed/>
    <w:qFormat/>
    <w:uiPriority w:val="9"/>
    <w:pPr>
      <w:keepNext/>
      <w:keepLines/>
      <w:numPr>
        <w:ilvl w:val="0"/>
        <w:numId w:val="1"/>
      </w:numPr>
      <w:spacing w:before="120" w:beforeLines="50" w:after="120" w:afterLines="50" w:line="240" w:lineRule="auto"/>
      <w:ind w:firstLineChars="0"/>
      <w:outlineLvl w:val="2"/>
    </w:pPr>
    <w:rPr>
      <w:rFonts w:ascii="黑体" w:hAnsi="黑体" w:eastAsia="黑体" w:cs="Times New Roman"/>
      <w:sz w:val="21"/>
      <w:szCs w:val="21"/>
    </w:rPr>
  </w:style>
  <w:style w:type="paragraph" w:styleId="5">
    <w:name w:val="heading 4"/>
    <w:basedOn w:val="1"/>
    <w:next w:val="1"/>
    <w:unhideWhenUsed/>
    <w:qFormat/>
    <w:uiPriority w:val="9"/>
    <w:pPr>
      <w:keepNext/>
      <w:keepLines/>
      <w:spacing w:before="160" w:after="170" w:line="240" w:lineRule="auto"/>
      <w:outlineLvl w:val="3"/>
    </w:pPr>
    <w:rPr>
      <w:rFonts w:ascii="Arial" w:hAnsi="Arial" w:eastAsia="仿宋"/>
      <w:b/>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semiHidden/>
    <w:unhideWhenUsed/>
    <w:qFormat/>
    <w:uiPriority w:val="35"/>
    <w:rPr>
      <w:rFonts w:ascii="Arial" w:hAnsi="Arial" w:eastAsia="黑体"/>
      <w:sz w:val="20"/>
    </w:rPr>
  </w:style>
  <w:style w:type="paragraph" w:styleId="8">
    <w:name w:val="annotation text"/>
    <w:basedOn w:val="1"/>
    <w:link w:val="64"/>
    <w:unhideWhenUsed/>
    <w:qFormat/>
    <w:uiPriority w:val="99"/>
    <w:pPr>
      <w:jc w:val="left"/>
    </w:pPr>
  </w:style>
  <w:style w:type="paragraph" w:styleId="9">
    <w:name w:val="Body Text 3"/>
    <w:basedOn w:val="1"/>
    <w:link w:val="30"/>
    <w:qFormat/>
    <w:uiPriority w:val="0"/>
    <w:pPr>
      <w:widowControl/>
    </w:pPr>
    <w:rPr>
      <w:rFonts w:eastAsia="仿宋_GB2312" w:cs="Times New Roman"/>
      <w:kern w:val="0"/>
      <w:sz w:val="28"/>
      <w:szCs w:val="20"/>
    </w:rPr>
  </w:style>
  <w:style w:type="paragraph" w:styleId="10">
    <w:name w:val="Body Text"/>
    <w:basedOn w:val="1"/>
    <w:link w:val="69"/>
    <w:unhideWhenUsed/>
    <w:qFormat/>
    <w:uiPriority w:val="99"/>
    <w:pPr>
      <w:spacing w:after="120"/>
    </w:pPr>
  </w:style>
  <w:style w:type="paragraph" w:styleId="11">
    <w:name w:val="toc 3"/>
    <w:basedOn w:val="1"/>
    <w:next w:val="1"/>
    <w:autoRedefine/>
    <w:unhideWhenUsed/>
    <w:qFormat/>
    <w:uiPriority w:val="39"/>
    <w:pPr>
      <w:tabs>
        <w:tab w:val="right" w:leader="dot" w:pos="8296"/>
      </w:tabs>
      <w:ind w:firstLine="177" w:firstLineChars="177"/>
    </w:pPr>
    <w:rPr>
      <w:rFonts w:eastAsia="黑体"/>
      <w:sz w:val="21"/>
    </w:rPr>
  </w:style>
  <w:style w:type="paragraph" w:styleId="12">
    <w:name w:val="endnote text"/>
    <w:basedOn w:val="1"/>
    <w:semiHidden/>
    <w:unhideWhenUsed/>
    <w:qFormat/>
    <w:uiPriority w:val="99"/>
    <w:pPr>
      <w:snapToGrid w:val="0"/>
      <w:jc w:val="left"/>
    </w:pPr>
  </w:style>
  <w:style w:type="paragraph" w:styleId="13">
    <w:name w:val="Balloon Text"/>
    <w:basedOn w:val="1"/>
    <w:link w:val="46"/>
    <w:semiHidden/>
    <w:unhideWhenUsed/>
    <w:qFormat/>
    <w:uiPriority w:val="99"/>
    <w:rPr>
      <w:sz w:val="18"/>
      <w:szCs w:val="18"/>
    </w:rPr>
  </w:style>
  <w:style w:type="paragraph" w:styleId="14">
    <w:name w:val="footer"/>
    <w:basedOn w:val="1"/>
    <w:link w:val="43"/>
    <w:unhideWhenUsed/>
    <w:qFormat/>
    <w:uiPriority w:val="99"/>
    <w:pPr>
      <w:tabs>
        <w:tab w:val="center" w:pos="4153"/>
        <w:tab w:val="right" w:pos="8306"/>
      </w:tabs>
      <w:snapToGrid w:val="0"/>
      <w:jc w:val="left"/>
    </w:pPr>
    <w:rPr>
      <w:sz w:val="18"/>
      <w:szCs w:val="18"/>
    </w:rPr>
  </w:style>
  <w:style w:type="paragraph" w:styleId="15">
    <w:name w:val="header"/>
    <w:basedOn w:val="1"/>
    <w:link w:val="42"/>
    <w:qFormat/>
    <w:uiPriority w:val="99"/>
    <w:pPr>
      <w:tabs>
        <w:tab w:val="center" w:pos="4153"/>
        <w:tab w:val="right" w:pos="8306"/>
      </w:tabs>
      <w:snapToGrid w:val="0"/>
      <w:jc w:val="center"/>
    </w:pPr>
    <w:rPr>
      <w:rFonts w:eastAsia="宋体" w:cs="Times New Roman"/>
      <w:sz w:val="18"/>
      <w:szCs w:val="18"/>
    </w:rPr>
  </w:style>
  <w:style w:type="paragraph" w:styleId="16">
    <w:name w:val="toc 1"/>
    <w:qFormat/>
    <w:uiPriority w:val="39"/>
    <w:pPr>
      <w:widowControl w:val="0"/>
      <w:spacing w:line="360" w:lineRule="exact"/>
    </w:pPr>
    <w:rPr>
      <w:rFonts w:ascii="Times New Roman" w:hAnsi="Times New Roman" w:eastAsia="黑体" w:cs="Times New Roman"/>
      <w:bCs/>
      <w:kern w:val="2"/>
      <w:sz w:val="21"/>
      <w:lang w:val="en-US" w:eastAsia="zh-CN" w:bidi="ar-SA"/>
    </w:rPr>
  </w:style>
  <w:style w:type="paragraph" w:styleId="17">
    <w:name w:val="toc 2"/>
    <w:basedOn w:val="1"/>
    <w:next w:val="1"/>
    <w:autoRedefine/>
    <w:unhideWhenUsed/>
    <w:qFormat/>
    <w:uiPriority w:val="39"/>
    <w:pPr>
      <w:tabs>
        <w:tab w:val="right" w:leader="dot" w:pos="8296"/>
      </w:tabs>
      <w:ind w:left="383" w:leftChars="155" w:hanging="228" w:hangingChars="228"/>
    </w:pPr>
    <w:rPr>
      <w:rFonts w:eastAsia="黑体"/>
      <w:sz w:val="21"/>
    </w:rPr>
  </w:style>
  <w:style w:type="paragraph" w:styleId="18">
    <w:name w:val="HTML Preformatted"/>
    <w:basedOn w:val="1"/>
    <w:link w:val="7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eastAsia="宋体" w:cs="宋体"/>
      <w:kern w:val="0"/>
      <w:szCs w:val="24"/>
    </w:rPr>
  </w:style>
  <w:style w:type="paragraph" w:styleId="19">
    <w:name w:val="Normal (Web)"/>
    <w:basedOn w:val="1"/>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20">
    <w:name w:val="annotation subject"/>
    <w:basedOn w:val="8"/>
    <w:next w:val="8"/>
    <w:link w:val="63"/>
    <w:qFormat/>
    <w:uiPriority w:val="0"/>
    <w:pPr>
      <w:keepNext/>
      <w:keepLines/>
      <w:widowControl/>
      <w:spacing w:before="260" w:after="260" w:line="415" w:lineRule="auto"/>
      <w:outlineLvl w:val="1"/>
    </w:pPr>
    <w:rPr>
      <w:rFonts w:eastAsia="宋体" w:cs="微软雅黑"/>
      <w:b/>
      <w:kern w:val="0"/>
      <w:szCs w:val="24"/>
      <w:lang w:eastAsia="zh-Han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endnote reference"/>
    <w:basedOn w:val="23"/>
    <w:semiHidden/>
    <w:unhideWhenUsed/>
    <w:qFormat/>
    <w:uiPriority w:val="99"/>
    <w:rPr>
      <w:vertAlign w:val="superscript"/>
    </w:rPr>
  </w:style>
  <w:style w:type="character" w:styleId="26">
    <w:name w:val="page number"/>
    <w:basedOn w:val="23"/>
    <w:semiHidden/>
    <w:unhideWhenUsed/>
    <w:qFormat/>
    <w:uiPriority w:val="99"/>
  </w:style>
  <w:style w:type="character" w:styleId="27">
    <w:name w:val="Hyperlink"/>
    <w:basedOn w:val="23"/>
    <w:unhideWhenUsed/>
    <w:qFormat/>
    <w:uiPriority w:val="99"/>
    <w:rPr>
      <w:color w:val="0000FF" w:themeColor="hyperlink"/>
      <w:u w:val="single"/>
      <w14:textFill>
        <w14:solidFill>
          <w14:schemeClr w14:val="hlink"/>
        </w14:solidFill>
      </w14:textFill>
    </w:rPr>
  </w:style>
  <w:style w:type="character" w:styleId="28">
    <w:name w:val="HTML Code"/>
    <w:basedOn w:val="23"/>
    <w:semiHidden/>
    <w:unhideWhenUsed/>
    <w:qFormat/>
    <w:uiPriority w:val="99"/>
    <w:rPr>
      <w:rFonts w:ascii="Courier New" w:hAnsi="Courier New"/>
      <w:sz w:val="20"/>
    </w:rPr>
  </w:style>
  <w:style w:type="character" w:styleId="29">
    <w:name w:val="annotation reference"/>
    <w:basedOn w:val="23"/>
    <w:semiHidden/>
    <w:unhideWhenUsed/>
    <w:qFormat/>
    <w:uiPriority w:val="99"/>
    <w:rPr>
      <w:sz w:val="21"/>
      <w:szCs w:val="21"/>
    </w:rPr>
  </w:style>
  <w:style w:type="character" w:customStyle="1" w:styleId="30">
    <w:name w:val="正文文本 3 字符"/>
    <w:basedOn w:val="23"/>
    <w:link w:val="9"/>
    <w:qFormat/>
    <w:uiPriority w:val="0"/>
    <w:rPr>
      <w:rFonts w:ascii="Times New Roman" w:hAnsi="Times New Roman" w:eastAsia="仿宋_GB2312" w:cs="Times New Roman"/>
      <w:kern w:val="0"/>
      <w:sz w:val="28"/>
      <w:szCs w:val="20"/>
    </w:rPr>
  </w:style>
  <w:style w:type="character" w:customStyle="1" w:styleId="31">
    <w:name w:val="章标题 Char"/>
    <w:link w:val="32"/>
    <w:qFormat/>
    <w:uiPriority w:val="0"/>
    <w:rPr>
      <w:rFonts w:ascii="黑体" w:eastAsia="黑体" w:hAnsiTheme="minorHAnsi" w:cstheme="minorBidi"/>
      <w:kern w:val="2"/>
      <w:sz w:val="21"/>
      <w:szCs w:val="22"/>
    </w:rPr>
  </w:style>
  <w:style w:type="paragraph" w:customStyle="1" w:styleId="32">
    <w:name w:val="章标题"/>
    <w:next w:val="33"/>
    <w:link w:val="31"/>
    <w:qFormat/>
    <w:uiPriority w:val="0"/>
    <w:pPr>
      <w:numPr>
        <w:ilvl w:val="1"/>
        <w:numId w:val="2"/>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33">
    <w:name w:val="段"/>
    <w:link w:val="5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4">
    <w:name w:val="一级条标题 字符"/>
    <w:link w:val="35"/>
    <w:qFormat/>
    <w:uiPriority w:val="0"/>
    <w:rPr>
      <w:rFonts w:eastAsia="黑体" w:asciiTheme="minorHAnsi" w:hAnsiTheme="minorHAnsi" w:cstheme="minorBidi"/>
      <w:kern w:val="2"/>
      <w:sz w:val="21"/>
      <w:szCs w:val="22"/>
    </w:rPr>
  </w:style>
  <w:style w:type="paragraph" w:customStyle="1" w:styleId="35">
    <w:name w:val="一级条标题"/>
    <w:next w:val="33"/>
    <w:link w:val="34"/>
    <w:qFormat/>
    <w:uiPriority w:val="0"/>
    <w:pPr>
      <w:numPr>
        <w:ilvl w:val="0"/>
        <w:numId w:val="3"/>
      </w:numPr>
      <w:outlineLvl w:val="2"/>
    </w:pPr>
    <w:rPr>
      <w:rFonts w:eastAsia="黑体" w:asciiTheme="minorHAnsi" w:hAnsiTheme="minorHAnsi" w:cstheme="minorBidi"/>
      <w:kern w:val="2"/>
      <w:sz w:val="21"/>
      <w:szCs w:val="22"/>
      <w:lang w:val="en-US" w:eastAsia="zh-CN" w:bidi="ar-SA"/>
    </w:rPr>
  </w:style>
  <w:style w:type="character" w:customStyle="1" w:styleId="36">
    <w:name w:val="页眉 Char"/>
    <w:basedOn w:val="23"/>
    <w:semiHidden/>
    <w:qFormat/>
    <w:uiPriority w:val="99"/>
    <w:rPr>
      <w:sz w:val="18"/>
      <w:szCs w:val="18"/>
    </w:rPr>
  </w:style>
  <w:style w:type="paragraph" w:customStyle="1" w:styleId="37">
    <w:name w:val="目次、标准名称标题"/>
    <w:basedOn w:val="1"/>
    <w:next w:val="1"/>
    <w:qFormat/>
    <w:uiPriority w:val="0"/>
    <w:pPr>
      <w:widowControl/>
      <w:shd w:val="clear" w:color="FFFFFF" w:fill="FFFFFF"/>
      <w:spacing w:before="640" w:after="560" w:line="460" w:lineRule="exact"/>
      <w:jc w:val="center"/>
      <w:outlineLvl w:val="0"/>
    </w:pPr>
    <w:rPr>
      <w:rFonts w:ascii="黑体" w:eastAsia="黑体" w:cs="Times New Roman"/>
      <w:kern w:val="0"/>
      <w:sz w:val="32"/>
      <w:szCs w:val="20"/>
    </w:rPr>
  </w:style>
  <w:style w:type="paragraph" w:customStyle="1" w:styleId="38">
    <w:name w:val="二级条标题"/>
    <w:basedOn w:val="35"/>
    <w:next w:val="33"/>
    <w:qFormat/>
    <w:uiPriority w:val="0"/>
    <w:pPr>
      <w:numPr>
        <w:ilvl w:val="3"/>
        <w:numId w:val="2"/>
      </w:numPr>
      <w:tabs>
        <w:tab w:val="left" w:pos="435"/>
      </w:tabs>
      <w:outlineLvl w:val="3"/>
    </w:pPr>
  </w:style>
  <w:style w:type="paragraph" w:customStyle="1" w:styleId="39">
    <w:name w:val="注：（正文）"/>
    <w:basedOn w:val="1"/>
    <w:next w:val="33"/>
    <w:qFormat/>
    <w:uiPriority w:val="0"/>
    <w:pPr>
      <w:numPr>
        <w:ilvl w:val="0"/>
        <w:numId w:val="4"/>
      </w:numPr>
      <w:tabs>
        <w:tab w:val="left" w:pos="1080"/>
      </w:tabs>
      <w:autoSpaceDE w:val="0"/>
      <w:autoSpaceDN w:val="0"/>
    </w:pPr>
    <w:rPr>
      <w:rFonts w:ascii="宋体" w:eastAsia="宋体" w:cs="Times New Roman"/>
      <w:kern w:val="0"/>
      <w:sz w:val="18"/>
      <w:szCs w:val="18"/>
    </w:rPr>
  </w:style>
  <w:style w:type="paragraph" w:customStyle="1" w:styleId="40">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1">
    <w:name w:val="标准书脚_奇数页"/>
    <w:qFormat/>
    <w:uiPriority w:val="0"/>
    <w:pPr>
      <w:spacing w:before="120"/>
      <w:jc w:val="right"/>
    </w:pPr>
    <w:rPr>
      <w:rFonts w:ascii="Times New Roman" w:hAnsi="Times New Roman" w:eastAsia="宋体" w:cs="Times New Roman"/>
      <w:sz w:val="18"/>
      <w:lang w:val="en-US" w:eastAsia="zh-CN" w:bidi="ar-SA"/>
    </w:rPr>
  </w:style>
  <w:style w:type="character" w:customStyle="1" w:styleId="42">
    <w:name w:val="页眉 字符"/>
    <w:link w:val="15"/>
    <w:qFormat/>
    <w:uiPriority w:val="99"/>
    <w:rPr>
      <w:rFonts w:ascii="Times New Roman" w:hAnsi="Times New Roman" w:eastAsia="宋体" w:cs="Times New Roman"/>
      <w:sz w:val="18"/>
      <w:szCs w:val="18"/>
    </w:rPr>
  </w:style>
  <w:style w:type="character" w:customStyle="1" w:styleId="43">
    <w:name w:val="页脚 字符"/>
    <w:basedOn w:val="23"/>
    <w:link w:val="14"/>
    <w:qFormat/>
    <w:uiPriority w:val="99"/>
    <w:rPr>
      <w:sz w:val="18"/>
      <w:szCs w:val="18"/>
    </w:rPr>
  </w:style>
  <w:style w:type="paragraph" w:styleId="44">
    <w:name w:val="List Paragraph"/>
    <w:basedOn w:val="1"/>
    <w:link w:val="62"/>
    <w:unhideWhenUsed/>
    <w:qFormat/>
    <w:uiPriority w:val="34"/>
    <w:pPr>
      <w:ind w:firstLine="420"/>
    </w:pPr>
    <w:rPr>
      <w:szCs w:val="24"/>
    </w:rPr>
  </w:style>
  <w:style w:type="character" w:customStyle="1" w:styleId="45">
    <w:name w:val="未处理的提及1"/>
    <w:basedOn w:val="23"/>
    <w:semiHidden/>
    <w:unhideWhenUsed/>
    <w:qFormat/>
    <w:uiPriority w:val="99"/>
    <w:rPr>
      <w:color w:val="605E5C"/>
      <w:shd w:val="clear" w:color="auto" w:fill="E1DFDD"/>
    </w:rPr>
  </w:style>
  <w:style w:type="character" w:customStyle="1" w:styleId="46">
    <w:name w:val="批注框文本 字符"/>
    <w:basedOn w:val="23"/>
    <w:link w:val="13"/>
    <w:semiHidden/>
    <w:qFormat/>
    <w:uiPriority w:val="99"/>
    <w:rPr>
      <w:sz w:val="18"/>
      <w:szCs w:val="18"/>
    </w:rPr>
  </w:style>
  <w:style w:type="paragraph" w:customStyle="1" w:styleId="47">
    <w:name w:val="正文 + 宋体"/>
    <w:basedOn w:val="1"/>
    <w:qFormat/>
    <w:uiPriority w:val="0"/>
    <w:pPr>
      <w:ind w:firstLine="480"/>
    </w:pPr>
    <w:rPr>
      <w:rFonts w:ascii="宋体" w:hAnsi="宋体" w:eastAsia="宋体" w:cs="Times New Roman"/>
      <w:szCs w:val="24"/>
    </w:rPr>
  </w:style>
  <w:style w:type="character" w:customStyle="1" w:styleId="48">
    <w:name w:val="fontstyle01"/>
    <w:basedOn w:val="23"/>
    <w:qFormat/>
    <w:uiPriority w:val="0"/>
    <w:rPr>
      <w:rFonts w:hint="eastAsia" w:ascii="仿宋" w:hAnsi="仿宋" w:eastAsia="仿宋"/>
      <w:color w:val="000000"/>
      <w:sz w:val="30"/>
      <w:szCs w:val="30"/>
    </w:rPr>
  </w:style>
  <w:style w:type="paragraph" w:customStyle="1" w:styleId="49">
    <w:name w:val="Default"/>
    <w:qFormat/>
    <w:uiPriority w:val="0"/>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character" w:customStyle="1" w:styleId="50">
    <w:name w:val="未处理的提及2"/>
    <w:basedOn w:val="23"/>
    <w:semiHidden/>
    <w:unhideWhenUsed/>
    <w:qFormat/>
    <w:uiPriority w:val="99"/>
    <w:rPr>
      <w:color w:val="605E5C"/>
      <w:shd w:val="clear" w:color="auto" w:fill="E1DFDD"/>
    </w:rPr>
  </w:style>
  <w:style w:type="character" w:customStyle="1" w:styleId="51">
    <w:name w:val="段 Char"/>
    <w:basedOn w:val="23"/>
    <w:link w:val="33"/>
    <w:qFormat/>
    <w:uiPriority w:val="0"/>
    <w:rPr>
      <w:rFonts w:ascii="宋体" w:hAnsi="Times New Roman" w:eastAsia="宋体" w:cs="Times New Roman"/>
      <w:kern w:val="0"/>
      <w:szCs w:val="20"/>
    </w:rPr>
  </w:style>
  <w:style w:type="character" w:customStyle="1" w:styleId="52">
    <w:name w:val="text_jrykg"/>
    <w:basedOn w:val="23"/>
    <w:qFormat/>
    <w:uiPriority w:val="0"/>
  </w:style>
  <w:style w:type="character" w:customStyle="1" w:styleId="53">
    <w:name w:val="bjh-p"/>
    <w:basedOn w:val="23"/>
    <w:qFormat/>
    <w:uiPriority w:val="0"/>
  </w:style>
  <w:style w:type="paragraph" w:customStyle="1" w:styleId="54">
    <w:name w:val="list-num-1-1"/>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55">
    <w:name w:val="list-num-1-2"/>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56">
    <w:name w:val="list-num-1-3"/>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57">
    <w:name w:val="list-num-1-4"/>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58">
    <w:name w:val="list-num-1-5"/>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customStyle="1" w:styleId="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1">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62">
    <w:name w:val="列表段落 字符"/>
    <w:link w:val="44"/>
    <w:qFormat/>
    <w:locked/>
    <w:uiPriority w:val="34"/>
    <w:rPr>
      <w:rFonts w:eastAsiaTheme="minorEastAsia" w:cstheme="minorBidi"/>
      <w:kern w:val="2"/>
      <w:sz w:val="24"/>
      <w:szCs w:val="24"/>
    </w:rPr>
  </w:style>
  <w:style w:type="character" w:customStyle="1" w:styleId="63">
    <w:name w:val="批注主题 字符"/>
    <w:basedOn w:val="64"/>
    <w:link w:val="20"/>
    <w:qFormat/>
    <w:uiPriority w:val="0"/>
    <w:rPr>
      <w:rFonts w:cs="微软雅黑" w:eastAsiaTheme="minorEastAsia"/>
      <w:b/>
      <w:kern w:val="2"/>
      <w:sz w:val="24"/>
      <w:szCs w:val="24"/>
      <w:lang w:eastAsia="zh-Hans"/>
    </w:rPr>
  </w:style>
  <w:style w:type="character" w:customStyle="1" w:styleId="64">
    <w:name w:val="批注文字 字符"/>
    <w:basedOn w:val="23"/>
    <w:link w:val="8"/>
    <w:qFormat/>
    <w:uiPriority w:val="99"/>
    <w:rPr>
      <w:rFonts w:eastAsiaTheme="minorEastAsia" w:cstheme="minorBidi"/>
      <w:kern w:val="2"/>
      <w:sz w:val="24"/>
      <w:szCs w:val="22"/>
    </w:rPr>
  </w:style>
  <w:style w:type="character" w:customStyle="1" w:styleId="65">
    <w:name w:val="批注主题 Char1"/>
    <w:basedOn w:val="64"/>
    <w:semiHidden/>
    <w:qFormat/>
    <w:uiPriority w:val="99"/>
    <w:rPr>
      <w:rFonts w:eastAsiaTheme="minorEastAsia" w:cstheme="minorBidi"/>
      <w:b/>
      <w:bCs/>
      <w:kern w:val="2"/>
      <w:sz w:val="24"/>
      <w:szCs w:val="22"/>
    </w:rPr>
  </w:style>
  <w:style w:type="paragraph" w:customStyle="1" w:styleId="66">
    <w:name w:val="Revision"/>
    <w:hidden/>
    <w:semiHidden/>
    <w:qFormat/>
    <w:uiPriority w:val="99"/>
    <w:rPr>
      <w:rFonts w:ascii="Times New Roman" w:hAnsi="Times New Roman" w:eastAsiaTheme="minorEastAsia" w:cstheme="minorBidi"/>
      <w:kern w:val="2"/>
      <w:sz w:val="24"/>
      <w:szCs w:val="22"/>
      <w:lang w:val="en-US" w:eastAsia="zh-CN" w:bidi="ar-SA"/>
    </w:rPr>
  </w:style>
  <w:style w:type="paragraph" w:customStyle="1" w:styleId="67">
    <w:name w:val="p1"/>
    <w:basedOn w:val="1"/>
    <w:qFormat/>
    <w:uiPriority w:val="0"/>
    <w:pPr>
      <w:widowControl/>
      <w:spacing w:line="240" w:lineRule="auto"/>
      <w:jc w:val="left"/>
    </w:pPr>
    <w:rPr>
      <w:rFonts w:ascii=".AppleSystemUIFont" w:hAnsi=".AppleSystemUIFont" w:eastAsia="宋体" w:cs="宋体"/>
      <w:kern w:val="0"/>
      <w:sz w:val="26"/>
      <w:szCs w:val="26"/>
    </w:rPr>
  </w:style>
  <w:style w:type="character" w:customStyle="1" w:styleId="68">
    <w:name w:val="s1"/>
    <w:basedOn w:val="23"/>
    <w:qFormat/>
    <w:uiPriority w:val="0"/>
    <w:rPr>
      <w:rFonts w:hint="default" w:ascii="UICTFontTextStyleBody" w:hAnsi="UICTFontTextStyleBody"/>
      <w:sz w:val="26"/>
      <w:szCs w:val="26"/>
    </w:rPr>
  </w:style>
  <w:style w:type="character" w:customStyle="1" w:styleId="69">
    <w:name w:val="正文文本 字符"/>
    <w:basedOn w:val="23"/>
    <w:link w:val="10"/>
    <w:qFormat/>
    <w:uiPriority w:val="99"/>
    <w:rPr>
      <w:rFonts w:eastAsiaTheme="minorEastAsia" w:cstheme="minorBidi"/>
      <w:kern w:val="2"/>
      <w:sz w:val="24"/>
      <w:szCs w:val="22"/>
    </w:rPr>
  </w:style>
  <w:style w:type="character" w:customStyle="1" w:styleId="70">
    <w:name w:val="HTML 预设格式 字符"/>
    <w:basedOn w:val="23"/>
    <w:link w:val="1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9e059581-e473-430d-a1b9-daada36cc3f6</errorID>
      <errorWord>*</errorWord>
      <group>L1_Punc</group>
      <groupName>标点问题</groupName>
      <ability>L2_Punc_CN</ability>
      <abilityName>标点符号问题</abilityName>
      <candidateList/>
      <explain/>
      <paraID>5EF61716</paraID>
      <start>1</start>
      <end>2</end>
      <status>unmodified</status>
      <modifiedWord/>
      <trackRevisions>false</trackRevisions>
    </reviewItem>
    <reviewItem>
      <errorID>d2654fe1-7c63-4441-8fc4-ec64bdbbbfad</errorID>
      <errorWord>其它</errorWord>
      <group>L1_Word</group>
      <groupName>字词问题</groupName>
      <ability>L2_Alias</ability>
      <abilityName>也作/曾用词</abilityName>
      <candidateList>
        <item>其他</item>
      </candidateList>
      <explain>词汇[其它]为不规范表述或旧称，其规范书面表述为[其他]。</explain>
      <paraID>42B6673A</paraID>
      <start>3</start>
      <end>5</end>
      <status>unmodified</status>
      <modifiedWord/>
      <trackRevisions>false</trackRevisions>
    </reviewItem>
    <reviewItem>
      <errorID>30af8a1b-edf0-4ecc-96f9-9f7bfb617d9b</errorID>
      <errorWord>的</errorWord>
      <group>L1_Word</group>
      <groupName>字词问题</groupName>
      <ability>L2_DDD</ability>
      <abilityName>的地得用法</abilityName>
      <candidateList>
        <item>地</item>
      </candidateList>
      <explain/>
      <paraID>1797CAFA</paraID>
      <start>199</start>
      <end>200</end>
      <status>modified</status>
      <modifiedWord>地</modifiedWord>
      <trackRevisions>true</trackRevisions>
    </reviewItem>
    <reviewItem>
      <errorID>2697d297-8826-40dc-9816-c2ff62c2c7ee</errorID>
      <errorWord>:</errorWord>
      <group>L1_Format</group>
      <groupName>格式问题</groupName>
      <ability>L2_HalfPunc_CN</ability>
      <abilityName>全半角问题</abilityName>
      <candidateList>
        <item>：</item>
      </candidateList>
      <explain>文本全半角错误。</explain>
      <paraID>5A6417EC</paraID>
      <start>69</start>
      <end>70</end>
      <status>modified</status>
      <modifiedWord>：</modifiedWord>
      <trackRevisions>true</trackRevisions>
    </reviewItem>
    <reviewItem>
      <errorID>bb8c151c-f047-4653-945f-c285c6dfd477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759462C8</paraID>
      <start>106</start>
      <end>108</end>
      <status>modified</status>
      <modifiedWord>”“</modifiedWord>
      <trackRevisions>true</trackRevisions>
    </reviewItem>
    <reviewItem>
      <errorID>00a0aad9-a5c0-4149-ac07-231a3a980c0c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759462C8</paraID>
      <start>114</start>
      <end>116</end>
      <status>modified</status>
      <modifiedWord>”“</modifiedWord>
      <trackRevisions>true</trackRevisions>
    </reviewItem>
    <reviewItem>
      <errorID>7683e711-c482-4620-91c0-74233e7a2811</errorID>
      <errorWord>(</errorWord>
      <group>L1_Format</group>
      <groupName>格式问题</groupName>
      <ability>L2_HalfPunc_CN</ability>
      <abilityName>全半角问题</abilityName>
      <candidateList>
        <item>（</item>
      </candidateList>
      <explain>文本全半角错误。</explain>
      <paraID>6E6473DB</paraID>
      <start>75</start>
      <end>76</end>
      <status>modified</status>
      <modifiedWord>（</modifiedWord>
      <trackRevisions>true</trackRevisions>
    </reviewItem>
    <reviewItem>
      <errorID>97313db9-336d-4f52-8bbc-e845c8c79f9a</errorID>
      <errorWord>)</errorWord>
      <group>L1_Format</group>
      <groupName>格式问题</groupName>
      <ability>L2_HalfPunc_CN</ability>
      <abilityName>全半角问题</abilityName>
      <candidateList>
        <item>）</item>
      </candidateList>
      <explain>文本全半角错误。</explain>
      <paraID>6E6473DB</paraID>
      <start>84</start>
      <end>85</end>
      <status>modified</status>
      <modifiedWord>）</modifiedWord>
      <trackRevisions>true</trackRevisions>
    </reviewItem>
    <reviewItem>
      <errorID>46308b1e-b479-462b-a3a3-6408b9335861</errorID>
      <errorWord>:</errorWord>
      <group>L1_Format</group>
      <groupName>格式问题</groupName>
      <ability>L2_HalfPunc_CN</ability>
      <abilityName>全半角问题</abilityName>
      <candidateList>
        <item>：</item>
      </candidateList>
      <explain>文本全半角错误。</explain>
      <paraID> CA62883</paraID>
      <start>1</start>
      <end>2</end>
      <status>modified</status>
      <modifiedWord>：</modifiedWord>
      <trackRevisions>true</trackRevisions>
    </reviewItem>
    <reviewItem>
      <errorID>50ffaabb-2f6e-48b7-9f5d-f203b13a2c2b</errorID>
      <errorWord>"</errorWord>
      <group>L1_Format</group>
      <groupName>格式问题</groupName>
      <ability>L2_HalfPunc_CN</ability>
      <abilityName>全半角问题</abilityName>
      <candidateList>
        <item>“</item>
      </candidateList>
      <explain>文本全半角错误。</explain>
      <paraID> CA62883</paraID>
      <start>31</start>
      <end>32</end>
      <status>modified</status>
      <modifiedWord>“</modifiedWord>
      <trackRevisions>true</trackRevisions>
    </reviewItem>
    <reviewItem>
      <errorID>7b37cef1-09c1-4ffd-8015-e038efdc2103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CA62883</paraID>
      <start>37</start>
      <end>38</end>
      <status>unmodified</status>
      <modifiedWord/>
      <trackRevisions>false</trackRevisions>
    </reviewItem>
    <reviewItem>
      <errorID>5b84f4cb-d460-4977-a835-43299744736b</errorID>
      <errorWord>羞明</errorWord>
      <group>L1_Knowledge</group>
      <groupName>知识性问题</groupName>
      <ability>L2_Term</ability>
      <abilityName>专业术语</abilityName>
      <candidateList>
        <item>畏光</item>
      </candidateList>
      <explain>医学名词[羞明]为不规范表述或旧称，其规范书面表述为[畏光]。</explain>
      <paraID>4D2A9553</paraID>
      <start>44</start>
      <end>46</end>
      <status>unmodified</status>
      <modifiedWord/>
      <trackRevisions>false</trackRevisions>
    </reviewItem>
    <reviewItem>
      <errorID>2b421715-c157-4fab-b0be-07ec292708fc</errorID>
      <errorWord>(</errorWord>
      <group>L1_Format</group>
      <groupName>格式问题</groupName>
      <ability>L2_HalfPunc_CN</ability>
      <abilityName>全半角问题</abilityName>
      <candidateList>
        <item>（</item>
      </candidateList>
      <explain>文本全半角错误。</explain>
      <paraID>4330CE93</paraID>
      <start>29</start>
      <end>30</end>
      <status>modified</status>
      <modifiedWord>（</modifiedWord>
      <trackRevisions>true</trackRevisions>
    </reviewItem>
    <reviewItem>
      <errorID>64ee5daa-d919-42d6-8193-e02f77beb825</errorID>
      <errorWord>)</errorWord>
      <group>L1_Format</group>
      <groupName>格式问题</groupName>
      <ability>L2_HalfPunc_CN</ability>
      <abilityName>全半角问题</abilityName>
      <candidateList>
        <item>）</item>
      </candidateList>
      <explain>文本全半角错误。</explain>
      <paraID>4330CE93</paraID>
      <start>38</start>
      <end>39</end>
      <status>modified</status>
      <modifiedWord>）</modifiedWord>
      <trackRevisions>true</trackRevisions>
    </reviewItem>
    <reviewItem>
      <errorID>a998d5d6-5430-4f39-a6f3-b6d0f6e7b4f7</errorID>
      <errorWord>干与</errorWord>
      <group>L1_Word</group>
      <groupName>字词问题</groupName>
      <ability>L2_Variant</ability>
      <abilityName>异形词</abilityName>
      <candidateList>
        <item>干预</item>
      </candidateList>
      <explain>词汇[干与]的规范词形写作[干预]。</explain>
      <paraID>3815FC56</paraID>
      <start>50</start>
      <end>52</end>
      <status>unmodified</status>
      <modifiedWord/>
      <trackRevisions>false</trackRevisions>
    </reviewItem>
    <reviewItem>
      <errorID>c97f8ff9-e196-4e12-81f8-a9e67d8fe75f</errorID>
      <errorWord>：</errorWord>
      <group>L1_Format</group>
      <groupName>格式问题</groupName>
      <ability>L2_HalfPunc_CN</ability>
      <abilityName>全半角问题</abilityName>
      <candidateList>
        <item>:</item>
      </candidateList>
      <explain>文本全半角错误。</explain>
      <paraID>2EAE1CFF</paraID>
      <start>2</start>
      <end>3</end>
      <status>unmodified</status>
      <modifiedWord/>
      <trackRevisions>false</trackRevisions>
    </reviewItem>
    <reviewItem>
      <errorID>8d541adf-7383-4753-9ffc-4abe4cf1a084</errorID>
      <errorWord>：</errorWord>
      <group>L1_Format</group>
      <groupName>格式问题</groupName>
      <ability>L2_HalfPunc_CN</ability>
      <abilityName>全半角问题</abilityName>
      <candidateList>
        <item>:</item>
      </candidateList>
      <explain>文本全半角错误。</explain>
      <paraID>4FED19F5</paraID>
      <start>2</start>
      <end>3</end>
      <status>unmodified</status>
      <modifiedWord/>
      <trackRevisions>false</trackRevisions>
    </reviewItem>
    <reviewItem>
      <errorID>3d2d1dd4-65f4-47c7-a8bd-d914696d82cb</errorID>
      <errorWord>：</errorWord>
      <group>L1_Format</group>
      <groupName>格式问题</groupName>
      <ability>L2_HalfPunc_CN</ability>
      <abilityName>全半角问题</abilityName>
      <candidateList>
        <item>:</item>
      </candidateList>
      <explain>文本全半角错误。</explain>
      <paraID>6495BC59</paraID>
      <start>2</start>
      <end>3</end>
      <status>unmodified</status>
      <modifiedWord/>
      <trackRevisions>false</trackRevisions>
    </reviewItem>
    <reviewItem>
      <errorID>94bd79fe-263a-4142-9980-25c4974323c4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50D576A4</paraID>
      <start>1</start>
      <end>3</end>
      <status>unmodified</status>
      <modifiedWord/>
      <trackRevisions>false</trackRevisions>
    </reviewItem>
    <reviewItem>
      <errorID>38791543-1708-4d88-8af1-429d069fab26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33822669</paraID>
      <start>1</start>
      <end>3</end>
      <status>unmodified</status>
      <modifiedWord/>
      <trackRevisions>false</trackRevisions>
    </reviewItem>
    <reviewItem>
      <errorID>fb5662dd-b90f-4f49-963f-c8b1ebb6ad72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4267992D</paraID>
      <start>1</start>
      <end>3</end>
      <status>unmodified</status>
      <modifiedWord/>
      <trackRevisions>false</trackRevisions>
    </reviewItem>
    <reviewItem>
      <errorID>893717ab-ba97-4f3b-a00d-6930a6986659</errorID>
      <errorWord>：</errorWord>
      <group>L1_Format</group>
      <groupName>格式问题</groupName>
      <ability>L2_HalfPunc_CN</ability>
      <abilityName>全半角问题</abilityName>
      <candidateList>
        <item>:</item>
      </candidateList>
      <explain>文本全半角错误。</explain>
      <paraID>47785D73</paraID>
      <start>2</start>
      <end>3</end>
      <status>unmodified</status>
      <modifiedWord/>
      <trackRevisions>false</trackRevisions>
    </reviewItem>
    <reviewItem>
      <errorID>ab943f14-41b3-40be-ae4b-e5a23e9171ac</errorID>
      <errorWord>：</errorWord>
      <group>L1_Format</group>
      <groupName>格式问题</groupName>
      <ability>L2_HalfPunc_CN</ability>
      <abilityName>全半角问题</abilityName>
      <candidateList>
        <item>:</item>
      </candidateList>
      <explain>文本全半角错误。</explain>
      <paraID>2E1A05F6</paraID>
      <start>2</start>
      <end>3</end>
      <status>unmodified</status>
      <modifiedWord/>
      <trackRevisions>false</trackRevisions>
    </reviewItem>
    <reviewItem>
      <errorID>d62dcaee-9525-42e9-a321-0772e5d656ca</errorID>
      <errorWord>：</errorWord>
      <group>L1_Format</group>
      <groupName>格式问题</groupName>
      <ability>L2_HalfPunc_CN</ability>
      <abilityName>全半角问题</abilityName>
      <candidateList>
        <item>:</item>
      </candidateList>
      <explain>文本全半角错误。</explain>
      <paraID>644ACDE7</paraID>
      <start>2</start>
      <end>3</end>
      <status>unmodified</status>
      <modifiedWord/>
      <trackRevisions>false</trackRevisions>
    </reviewItem>
    <reviewItem>
      <errorID>f7e03d7a-e6a9-4053-9d7d-2596ce9860bf</errorID>
      <errorWord>：</errorWord>
      <group>L1_Format</group>
      <groupName>格式问题</groupName>
      <ability>L2_HalfPunc_CN</ability>
      <abilityName>全半角问题</abilityName>
      <candidateList>
        <item>:</item>
      </candidateList>
      <explain>文本全半角错误。</explain>
      <paraID>703C6934</paraID>
      <start>2</start>
      <end>3</end>
      <status>unmodified</status>
      <modifiedWord/>
      <trackRevisions>false</trackRevisions>
    </reviewItem>
    <reviewItem>
      <errorID>7acbc8a3-7a33-4f29-9641-282e181b6e0c</errorID>
      <errorWord>极显</errorWord>
      <group>L1_Word</group>
      <groupName>字词问题</groupName>
      <ability>L2_Typo</ability>
      <abilityName>字词错误</abilityName>
      <candidateList>
        <item>明显</item>
      </candidateList>
      <explain/>
      <paraID>703C6934</paraID>
      <start>18</start>
      <end>20</end>
      <status>unmodified</status>
      <modifiedWord/>
      <trackRevisions>false</trackRevisions>
    </reviewItem>
    <reviewItem>
      <errorID>009cdb6f-8697-44d9-97db-2e52eeca426e</errorID>
      <errorWord>干与</errorWord>
      <group>L1_Word</group>
      <groupName>字词问题</groupName>
      <ability>L2_Variant</ability>
      <abilityName>异形词</abilityName>
      <candidateList>
        <item>干预</item>
      </candidateList>
      <explain>词汇[干与]的规范词形写作[干预]。</explain>
      <paraID>365C5CB8</paraID>
      <start>63</start>
      <end>65</end>
      <status>unmodified</status>
      <modifiedWord/>
      <trackRevisions>false</trackRevisions>
    </reviewItem>
    <reviewItem>
      <errorID>f14cc8bd-6ba2-4ecc-89bf-5b1db46c0d01</errorID>
      <errorWord>,</errorWord>
      <group>L1_Format</group>
      <groupName>格式问题</groupName>
      <ability>L2_HalfPunc_CN</ability>
      <abilityName>全半角问题</abilityName>
      <candidateList>
        <item>，</item>
      </candidateList>
      <explain>文本全半角错误。</explain>
      <paraID> CE671E1</paraID>
      <start>13</start>
      <end>14</end>
      <status>unmodified</status>
      <modifiedWord/>
      <trackRevisions>false</trackRevisions>
    </reviewItem>
    <reviewItem>
      <errorID>d056ef2a-fac2-4f00-814c-42482780567c</errorID>
      <errorWord>.</errorWord>
      <group>L1_Format</group>
      <groupName>格式问题</groupName>
      <ability>L2_HalfPunc_CN</ability>
      <abilityName>全半角问题</abilityName>
      <candidateList>
        <item>。</item>
      </candidateList>
      <explain>文本全半角错误。</explain>
      <paraID> CE671E1</paraID>
      <start>25</start>
      <end>26</end>
      <status>unmodified</status>
      <modifiedWord/>
      <trackRevisions>false</trackRevisions>
    </reviewItem>
    <reviewItem>
      <errorID>031527d9-eaf3-4d68-a950-622f38232665</errorID>
      <errorWord>:</errorWord>
      <group>L1_Format</group>
      <groupName>格式问题</groupName>
      <ability>L2_HalfPunc_CN</ability>
      <abilityName>全半角问题</abilityName>
      <candidateList>
        <item>：</item>
      </candidateList>
      <explain>文本全半角错误。</explain>
      <paraID> CE671E1</paraID>
      <start>43</start>
      <end>44</end>
      <status>unmodified</status>
      <modifiedWord/>
      <trackRevisions>false</trackRevisions>
    </reviewItem>
    <reviewItem>
      <errorID>e6d82f61-7951-4623-86f3-4266278376f0</errorID>
      <errorWord>.</errorWord>
      <group>L1_Format</group>
      <groupName>格式问题</groupName>
      <ability>L2_HalfPunc_CN</ability>
      <abilityName>全半角问题</abilityName>
      <candidateList>
        <item>。</item>
      </candidateList>
      <explain>文本全半角错误。</explain>
      <paraID> 7C3E2FB</paraID>
      <start>11</start>
      <end>12</end>
      <status>unmodified</status>
      <modifiedWord/>
      <trackRevisions>false</trackRevisions>
    </reviewItem>
    <reviewItem>
      <errorID>f66237a4-8289-476f-8caa-7b172760252b</errorID>
      <errorWord>:</errorWord>
      <group>L1_Format</group>
      <groupName>格式问题</groupName>
      <ability>L2_HalfPunc_CN</ability>
      <abilityName>全半角问题</abilityName>
      <candidateList>
        <item>：</item>
      </candidateList>
      <explain>文本全半角错误。</explain>
      <paraID> 7C3E2FB</paraID>
      <start>31</start>
      <end>32</end>
      <status>unmodified</status>
      <modifiedWord/>
      <trackRevisions>false</trackRevisions>
    </reviewItem>
    <reviewItem>
      <errorID>14fb9739-ba8d-4c7a-ae9d-4f9fbc93cc4f</errorID>
      <errorWord>郑筱萸</errorWord>
      <group>L1_Sensitive</group>
      <groupName>敏感问题</groupName>
      <ability>L2_Disgraced</ability>
      <abilityName>落马官员</abilityName>
      <candidateList/>
      <explain>【落马官员】请注意，&lt;郑筱萸&gt;为已落马官员的姓名。</explain>
      <paraID>7874AA8A</paraID>
      <start>3</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754CDB-C3C5-4E40-A9FC-C6A7FCECA21F}">
  <ds:schemaRefs/>
</ds:datastoreItem>
</file>

<file path=customXml/itemProps3.xml><?xml version="1.0" encoding="utf-8"?>
<ds:datastoreItem xmlns:ds="http://schemas.openxmlformats.org/officeDocument/2006/customXml" ds:itemID="{277c92fe-1a93-490e-948d-244a502a6d8f}">
  <ds:schemaRefs/>
</ds:datastoreItem>
</file>

<file path=docProps/app.xml><?xml version="1.0" encoding="utf-8"?>
<Properties xmlns="http://schemas.openxmlformats.org/officeDocument/2006/extended-properties" xmlns:vt="http://schemas.openxmlformats.org/officeDocument/2006/docPropsVTypes">
  <Template>Normal.dotm</Template>
  <Company>byszc</Company>
  <Pages>10</Pages>
  <Words>2710</Words>
  <Characters>3213</Characters>
  <Lines>58</Lines>
  <Paragraphs>16</Paragraphs>
  <TotalTime>59</TotalTime>
  <ScaleCrop>false</ScaleCrop>
  <LinksUpToDate>false</LinksUpToDate>
  <CharactersWithSpaces>3324</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2024-02-19T03:55:00Z</dcterms:created>
  <dc:creator>fengxue</dc:creator>
  <dc:description>NE.Bib</dc:description>
  <cp:lastModifiedBy>微笑向暖</cp:lastModifiedBy>
  <cp:lastPrinted>2023-10-16T05:15:00Z</cp:lastPrinted>
  <dcterms:modified xsi:type="dcterms:W3CDTF">2026-09-04T06:11:21Z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9AB38477C9924CE6A5A2BB50EF769C81_13</vt:lpwstr>
  </property>
  <property fmtid="{D5CDD505-2E9C-101B-9397-08002B2CF9AE}" pid="4" name="KSOTemplateDocerSaveRecord">
    <vt:lpwstr>eyJoZGlkIjoiYTc2ZGZiNzZiNDVlOGViOWVmM2JhOTY0NGJkNjUyYzgiLCJ1c2VySWQiOiIzMDUzMjYyNTEifQ==</vt:lpwstr>
  </property>
</Properties>
</file>