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640" w:type="dxa"/>
        <w:tblInd w:w="-652" w:type="dxa"/>
        <w:tblLayout w:type="fixed"/>
        <w:tblCellMar>
          <w:top w:w="0" w:type="dxa"/>
          <w:left w:w="0" w:type="dxa"/>
          <w:bottom w:w="0" w:type="dxa"/>
          <w:right w:w="0" w:type="dxa"/>
        </w:tblCellMar>
      </w:tblPr>
      <w:tblGrid>
        <w:gridCol w:w="454"/>
        <w:gridCol w:w="283"/>
        <w:gridCol w:w="2042"/>
        <w:gridCol w:w="453"/>
        <w:gridCol w:w="1134"/>
        <w:gridCol w:w="5124"/>
        <w:gridCol w:w="150"/>
      </w:tblGrid>
      <w:tr w14:paraId="246F3475">
        <w:tblPrEx>
          <w:tblCellMar>
            <w:top w:w="0" w:type="dxa"/>
            <w:left w:w="0" w:type="dxa"/>
            <w:bottom w:w="0" w:type="dxa"/>
            <w:right w:w="0" w:type="dxa"/>
          </w:tblCellMar>
        </w:tblPrEx>
        <w:trPr>
          <w:gridAfter w:val="4"/>
          <w:wAfter w:w="6861" w:type="dxa"/>
          <w:trHeight w:val="312" w:hRule="exact"/>
        </w:trPr>
        <w:tc>
          <w:tcPr>
            <w:tcW w:w="454" w:type="dxa"/>
            <w:vAlign w:val="center"/>
          </w:tcPr>
          <w:p w14:paraId="470CED8E">
            <w:pPr>
              <w:rPr>
                <w:rFonts w:ascii="Times New Roman" w:hAnsi="Times New Roman" w:eastAsia="黑体" w:cs="Times New Roman"/>
                <w:b/>
                <w:szCs w:val="20"/>
              </w:rPr>
            </w:pPr>
            <w:r>
              <w:rPr>
                <w:rFonts w:ascii="Times New Roman" w:hAnsi="Times New Roman" w:eastAsia="黑体" w:cs="Times New Roman"/>
                <w:b/>
                <w:szCs w:val="20"/>
              </w:rPr>
              <w:t>ICS</w:t>
            </w:r>
          </w:p>
        </w:tc>
        <w:tc>
          <w:tcPr>
            <w:tcW w:w="2325" w:type="dxa"/>
            <w:gridSpan w:val="2"/>
            <w:vAlign w:val="center"/>
          </w:tcPr>
          <w:p w14:paraId="0C01BF5A">
            <w:pPr>
              <w:jc w:val="left"/>
              <w:textAlignment w:val="center"/>
              <w:rPr>
                <w:rFonts w:ascii="黑体" w:hAnsi="黑体" w:eastAsia="黑体" w:cs="Times New Roman"/>
                <w:kern w:val="0"/>
                <w:szCs w:val="20"/>
              </w:rPr>
            </w:pPr>
            <w:r>
              <w:rPr>
                <w:rFonts w:hint="eastAsia" w:ascii="黑体" w:hAnsi="黑体" w:eastAsia="黑体" w:cs="Times New Roman"/>
                <w:color w:val="558ED5" w:themeColor="text2" w:themeTint="99"/>
                <w:spacing w:val="10"/>
                <w:szCs w:val="20"/>
                <w14:textFill>
                  <w14:solidFill>
                    <w14:schemeClr w14:val="tx2">
                      <w14:lumMod w14:val="60000"/>
                      <w14:lumOff w14:val="40000"/>
                    </w14:schemeClr>
                  </w14:solidFill>
                </w14:textFill>
              </w:rPr>
              <w:drawing>
                <wp:anchor distT="0" distB="0" distL="114300" distR="114300" simplePos="0" relativeHeight="251661312" behindDoc="0" locked="0" layoutInCell="1" allowOverlap="1">
                  <wp:simplePos x="0" y="0"/>
                  <wp:positionH relativeFrom="column">
                    <wp:posOffset>4218305</wp:posOffset>
                  </wp:positionH>
                  <wp:positionV relativeFrom="paragraph">
                    <wp:posOffset>22860</wp:posOffset>
                  </wp:positionV>
                  <wp:extent cx="1242695" cy="1223645"/>
                  <wp:effectExtent l="19050" t="0" r="0" b="0"/>
                  <wp:wrapNone/>
                  <wp:docPr id="2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9"/>
                          <pic:cNvPicPr>
                            <a:picLocks noChangeAspect="1" noChangeArrowheads="1"/>
                          </pic:cNvPicPr>
                        </pic:nvPicPr>
                        <pic:blipFill>
                          <a:blip r:embed="rId8" cstate="print"/>
                          <a:srcRect/>
                          <a:stretch>
                            <a:fillRect/>
                          </a:stretch>
                        </pic:blipFill>
                        <pic:spPr>
                          <a:xfrm>
                            <a:off x="0" y="0"/>
                            <a:ext cx="1242695" cy="1223645"/>
                          </a:xfrm>
                          <a:prstGeom prst="rect">
                            <a:avLst/>
                          </a:prstGeom>
                          <a:noFill/>
                          <a:ln w="9525">
                            <a:noFill/>
                            <a:miter lim="800000"/>
                            <a:headEnd/>
                            <a:tailEnd/>
                          </a:ln>
                        </pic:spPr>
                      </pic:pic>
                    </a:graphicData>
                  </a:graphic>
                </wp:anchor>
              </w:drawing>
            </w:r>
            <w:r>
              <w:rPr>
                <w:rFonts w:hint="eastAsia" w:ascii="黑体" w:hAnsi="黑体" w:eastAsia="黑体" w:cs="Times New Roman"/>
                <w:color w:val="558ED5" w:themeColor="text2" w:themeTint="99"/>
                <w:spacing w:val="10"/>
                <w:szCs w:val="20"/>
                <w14:textFill>
                  <w14:solidFill>
                    <w14:schemeClr w14:val="tx2">
                      <w14:lumMod w14:val="60000"/>
                      <w14:lumOff w14:val="40000"/>
                    </w14:schemeClr>
                  </w14:solidFill>
                </w14:textFill>
              </w:rPr>
              <w:t>**.***.**</w:t>
            </w:r>
          </w:p>
          <w:p w14:paraId="181D1D00">
            <w:pPr>
              <w:rPr>
                <w:rFonts w:ascii="黑体" w:hAnsi="黑体" w:eastAsia="黑体" w:cs="Times New Roman"/>
                <w:szCs w:val="20"/>
              </w:rPr>
            </w:pPr>
          </w:p>
        </w:tc>
      </w:tr>
      <w:tr w14:paraId="1F4A17B0">
        <w:tblPrEx>
          <w:tblCellMar>
            <w:top w:w="0" w:type="dxa"/>
            <w:left w:w="0" w:type="dxa"/>
            <w:bottom w:w="0" w:type="dxa"/>
            <w:right w:w="0" w:type="dxa"/>
          </w:tblCellMar>
        </w:tblPrEx>
        <w:trPr>
          <w:gridAfter w:val="4"/>
          <w:wAfter w:w="6861" w:type="dxa"/>
          <w:trHeight w:val="312" w:hRule="exact"/>
        </w:trPr>
        <w:tc>
          <w:tcPr>
            <w:tcW w:w="737" w:type="dxa"/>
            <w:gridSpan w:val="2"/>
            <w:vAlign w:val="center"/>
          </w:tcPr>
          <w:p w14:paraId="2AB12B1E">
            <w:pPr>
              <w:ind w:right="-170"/>
              <w:rPr>
                <w:rFonts w:ascii="黑体" w:hAnsi="黑体" w:eastAsia="黑体" w:cs="Times New Roman"/>
                <w:szCs w:val="20"/>
              </w:rPr>
            </w:pPr>
            <w:r>
              <w:rPr>
                <w:rFonts w:ascii="Times New Roman" w:hAnsi="Times New Roman" w:eastAsia="黑体" w:cs="Times New Roman"/>
                <w:b/>
                <w:szCs w:val="20"/>
              </w:rPr>
              <w:t>C</w:t>
            </w:r>
            <w:r>
              <w:rPr>
                <w:rFonts w:hint="eastAsia" w:ascii="黑体" w:hAnsi="黑体" w:eastAsia="黑体" w:cs="Times New Roman"/>
                <w:color w:val="558ED5" w:themeColor="text2" w:themeTint="99"/>
                <w:spacing w:val="10"/>
                <w:szCs w:val="20"/>
                <w14:textFill>
                  <w14:solidFill>
                    <w14:schemeClr w14:val="tx2">
                      <w14:lumMod w14:val="60000"/>
                      <w14:lumOff w14:val="40000"/>
                    </w14:schemeClr>
                  </w14:solidFill>
                </w14:textFill>
              </w:rPr>
              <w:t>**</w:t>
            </w:r>
          </w:p>
        </w:tc>
        <w:tc>
          <w:tcPr>
            <w:tcW w:w="2042" w:type="dxa"/>
            <w:vAlign w:val="center"/>
          </w:tcPr>
          <w:p w14:paraId="4986C8ED">
            <w:pPr>
              <w:rPr>
                <w:rFonts w:ascii="Times New Roman" w:hAnsi="Times New Roman" w:eastAsia="黑体" w:cs="Times New Roman"/>
                <w:szCs w:val="20"/>
              </w:rPr>
            </w:pPr>
          </w:p>
        </w:tc>
      </w:tr>
      <w:tr w14:paraId="6040F885">
        <w:tblPrEx>
          <w:tblCellMar>
            <w:top w:w="0" w:type="dxa"/>
            <w:left w:w="0" w:type="dxa"/>
            <w:bottom w:w="0" w:type="dxa"/>
            <w:right w:w="0" w:type="dxa"/>
          </w:tblCellMar>
        </w:tblPrEx>
        <w:trPr>
          <w:gridAfter w:val="4"/>
          <w:wAfter w:w="6861" w:type="dxa"/>
          <w:trHeight w:val="312" w:hRule="exact"/>
        </w:trPr>
        <w:tc>
          <w:tcPr>
            <w:tcW w:w="737" w:type="dxa"/>
            <w:gridSpan w:val="2"/>
            <w:vAlign w:val="center"/>
          </w:tcPr>
          <w:p w14:paraId="7ABC5BD1">
            <w:pPr>
              <w:ind w:right="-170"/>
              <w:rPr>
                <w:rFonts w:ascii="Times New Roman" w:hAnsi="Times New Roman" w:eastAsia="黑体" w:cs="Times New Roman"/>
                <w:szCs w:val="20"/>
              </w:rPr>
            </w:pPr>
          </w:p>
        </w:tc>
        <w:tc>
          <w:tcPr>
            <w:tcW w:w="2042" w:type="dxa"/>
            <w:vAlign w:val="center"/>
          </w:tcPr>
          <w:p w14:paraId="55643AD2">
            <w:pPr>
              <w:ind w:left="57"/>
              <w:rPr>
                <w:rFonts w:ascii="Arial Narrow" w:hAnsi="Arial Narrow" w:eastAsia="黑体" w:cs="Times New Roman"/>
                <w:szCs w:val="20"/>
              </w:rPr>
            </w:pPr>
          </w:p>
        </w:tc>
      </w:tr>
      <w:tr w14:paraId="26C1A4DB">
        <w:tblPrEx>
          <w:tblCellMar>
            <w:top w:w="0" w:type="dxa"/>
            <w:left w:w="0" w:type="dxa"/>
            <w:bottom w:w="0" w:type="dxa"/>
            <w:right w:w="0" w:type="dxa"/>
          </w:tblCellMar>
        </w:tblPrEx>
        <w:trPr>
          <w:gridAfter w:val="4"/>
          <w:wAfter w:w="6861" w:type="dxa"/>
          <w:trHeight w:val="312" w:hRule="exact"/>
        </w:trPr>
        <w:tc>
          <w:tcPr>
            <w:tcW w:w="737" w:type="dxa"/>
            <w:gridSpan w:val="2"/>
            <w:vAlign w:val="center"/>
          </w:tcPr>
          <w:p w14:paraId="2736360B">
            <w:pPr>
              <w:ind w:right="-170"/>
              <w:rPr>
                <w:rFonts w:ascii="Times New Roman" w:hAnsi="Times New Roman" w:eastAsia="黑体" w:cs="Times New Roman"/>
                <w:i/>
                <w:szCs w:val="20"/>
              </w:rPr>
            </w:pPr>
          </w:p>
        </w:tc>
        <w:tc>
          <w:tcPr>
            <w:tcW w:w="2042" w:type="dxa"/>
            <w:vAlign w:val="center"/>
          </w:tcPr>
          <w:p w14:paraId="39491A98">
            <w:pPr>
              <w:ind w:left="57"/>
              <w:rPr>
                <w:rFonts w:ascii="Arial Narrow" w:hAnsi="Arial Narrow" w:eastAsia="黑体" w:cs="Times New Roman"/>
                <w:i/>
                <w:szCs w:val="20"/>
              </w:rPr>
            </w:pPr>
          </w:p>
        </w:tc>
      </w:tr>
      <w:tr w14:paraId="52E86AFC">
        <w:tblPrEx>
          <w:tblCellMar>
            <w:top w:w="0" w:type="dxa"/>
            <w:left w:w="0" w:type="dxa"/>
            <w:bottom w:w="0" w:type="dxa"/>
            <w:right w:w="0" w:type="dxa"/>
          </w:tblCellMar>
        </w:tblPrEx>
        <w:trPr>
          <w:trHeight w:val="368" w:hRule="exact"/>
        </w:trPr>
        <w:tc>
          <w:tcPr>
            <w:tcW w:w="9640" w:type="dxa"/>
            <w:gridSpan w:val="7"/>
          </w:tcPr>
          <w:p w14:paraId="5244F51C">
            <w:pPr>
              <w:spacing w:before="120" w:after="120"/>
              <w:rPr>
                <w:rFonts w:ascii="Times New Roman" w:hAnsi="Times New Roman" w:eastAsia="宋体" w:cs="Times New Roman"/>
                <w:szCs w:val="20"/>
              </w:rPr>
            </w:pPr>
          </w:p>
        </w:tc>
      </w:tr>
      <w:tr w14:paraId="39A7B27F">
        <w:tblPrEx>
          <w:tblCellMar>
            <w:top w:w="0" w:type="dxa"/>
            <w:left w:w="0" w:type="dxa"/>
            <w:bottom w:w="0" w:type="dxa"/>
            <w:right w:w="0" w:type="dxa"/>
          </w:tblCellMar>
        </w:tblPrEx>
        <w:trPr>
          <w:trHeight w:val="120" w:hRule="exact"/>
        </w:trPr>
        <w:tc>
          <w:tcPr>
            <w:tcW w:w="9640" w:type="dxa"/>
            <w:gridSpan w:val="7"/>
          </w:tcPr>
          <w:p w14:paraId="6959A479">
            <w:pPr>
              <w:spacing w:before="120" w:after="120"/>
              <w:rPr>
                <w:rFonts w:ascii="Times New Roman" w:hAnsi="Times New Roman" w:eastAsia="宋体" w:cs="Times New Roman"/>
                <w:szCs w:val="20"/>
              </w:rPr>
            </w:pPr>
          </w:p>
        </w:tc>
      </w:tr>
      <w:tr w14:paraId="78B60469">
        <w:tblPrEx>
          <w:tblCellMar>
            <w:top w:w="0" w:type="dxa"/>
            <w:left w:w="0" w:type="dxa"/>
            <w:bottom w:w="0" w:type="dxa"/>
            <w:right w:w="0" w:type="dxa"/>
          </w:tblCellMar>
        </w:tblPrEx>
        <w:trPr>
          <w:trHeight w:val="518" w:hRule="exact"/>
        </w:trPr>
        <w:tc>
          <w:tcPr>
            <w:tcW w:w="9640" w:type="dxa"/>
            <w:gridSpan w:val="7"/>
          </w:tcPr>
          <w:p w14:paraId="712599E1">
            <w:pPr>
              <w:spacing w:before="120" w:after="120"/>
              <w:rPr>
                <w:rFonts w:ascii="Times New Roman" w:hAnsi="Times New Roman" w:eastAsia="宋体" w:cs="Times New Roman"/>
                <w:szCs w:val="20"/>
              </w:rPr>
            </w:pPr>
          </w:p>
        </w:tc>
      </w:tr>
      <w:tr w14:paraId="44947294">
        <w:tblPrEx>
          <w:tblCellMar>
            <w:top w:w="0" w:type="dxa"/>
            <w:left w:w="0" w:type="dxa"/>
            <w:bottom w:w="0" w:type="dxa"/>
            <w:right w:w="0" w:type="dxa"/>
          </w:tblCellMar>
        </w:tblPrEx>
        <w:trPr>
          <w:trHeight w:val="722" w:hRule="exact"/>
        </w:trPr>
        <w:tc>
          <w:tcPr>
            <w:tcW w:w="9640" w:type="dxa"/>
            <w:gridSpan w:val="7"/>
            <w:vAlign w:val="center"/>
          </w:tcPr>
          <w:p w14:paraId="1AA3644D">
            <w:pPr>
              <w:spacing w:after="240" w:line="560" w:lineRule="exact"/>
              <w:ind w:right="28"/>
              <w:jc w:val="center"/>
              <w:rPr>
                <w:rFonts w:ascii="Times New Roman" w:hAnsi="Times New Roman" w:eastAsia="黑体" w:cs="Times New Roman"/>
                <w:w w:val="140"/>
                <w:sz w:val="52"/>
                <w:szCs w:val="20"/>
              </w:rPr>
            </w:pPr>
            <w:r>
              <w:rPr>
                <w:rFonts w:hint="eastAsia" w:ascii="Times New Roman" w:hAnsi="Times New Roman" w:eastAsia="黑体" w:cs="Times New Roman"/>
                <w:w w:val="140"/>
                <w:sz w:val="52"/>
                <w:szCs w:val="20"/>
              </w:rPr>
              <w:t>专家共识</w:t>
            </w:r>
          </w:p>
          <w:p w14:paraId="72BFEA0D">
            <w:pPr>
              <w:spacing w:line="520" w:lineRule="exact"/>
              <w:rPr>
                <w:rFonts w:ascii="Times New Roman" w:hAnsi="Times New Roman" w:eastAsia="宋体" w:cs="Times New Roman"/>
                <w:w w:val="140"/>
                <w:sz w:val="52"/>
                <w:szCs w:val="20"/>
              </w:rPr>
            </w:pPr>
          </w:p>
        </w:tc>
      </w:tr>
      <w:tr w14:paraId="31170572">
        <w:tblPrEx>
          <w:tblCellMar>
            <w:top w:w="0" w:type="dxa"/>
            <w:left w:w="0" w:type="dxa"/>
            <w:bottom w:w="0" w:type="dxa"/>
            <w:right w:w="0" w:type="dxa"/>
          </w:tblCellMar>
        </w:tblPrEx>
        <w:trPr>
          <w:trHeight w:val="1108" w:hRule="exact"/>
        </w:trPr>
        <w:tc>
          <w:tcPr>
            <w:tcW w:w="9640" w:type="dxa"/>
            <w:gridSpan w:val="7"/>
          </w:tcPr>
          <w:p w14:paraId="3297A4F9">
            <w:pPr>
              <w:widowControl/>
              <w:spacing w:before="357" w:line="280" w:lineRule="exact"/>
              <w:jc w:val="right"/>
              <w:rPr>
                <w:rFonts w:ascii="黑体" w:hAnsi="黑体" w:eastAsia="黑体" w:cs="Times New Roman"/>
                <w:kern w:val="0"/>
                <w:sz w:val="28"/>
                <w:szCs w:val="28"/>
              </w:rPr>
            </w:pPr>
            <w:r>
              <w:rPr>
                <w:rFonts w:hint="eastAsia" w:ascii="黑体" w:hAnsi="黑体" w:eastAsia="黑体" w:cs="Times New Roman"/>
                <w:kern w:val="0"/>
                <w:sz w:val="28"/>
                <w:szCs w:val="28"/>
              </w:rPr>
              <w:t>GS</w:t>
            </w:r>
            <w:r>
              <w:rPr>
                <w:rFonts w:ascii="黑体" w:hAnsi="黑体" w:eastAsia="黑体" w:cs="Times New Roman"/>
                <w:kern w:val="0"/>
                <w:sz w:val="28"/>
                <w:szCs w:val="28"/>
              </w:rPr>
              <w:t xml:space="preserve">/CACM </w:t>
            </w:r>
            <w:r>
              <w:rPr>
                <w:rFonts w:hint="eastAsia" w:ascii="黑体" w:hAnsi="黑体" w:eastAsia="黑体" w:cs="Times New Roman"/>
                <w:kern w:val="0"/>
                <w:sz w:val="28"/>
                <w:szCs w:val="28"/>
              </w:rPr>
              <w:t>****</w:t>
            </w:r>
            <w:r>
              <w:rPr>
                <w:rFonts w:ascii="黑体" w:hAnsi="黑体" w:eastAsia="黑体" w:cs="Times New Roman"/>
                <w:kern w:val="0"/>
                <w:sz w:val="28"/>
                <w:szCs w:val="28"/>
              </w:rPr>
              <w:t>—202*</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2DF3C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52FBB72E">
                  <w:pPr>
                    <w:widowControl/>
                    <w:wordWrap w:val="0"/>
                    <w:spacing w:before="57" w:line="280" w:lineRule="exact"/>
                    <w:jc w:val="right"/>
                    <w:rPr>
                      <w:rFonts w:ascii="宋体" w:hAnsi="Times New Roman" w:eastAsia="宋体" w:cs="Times New Roman"/>
                      <w:kern w:val="0"/>
                      <w:szCs w:val="21"/>
                    </w:rPr>
                  </w:pPr>
                  <w:r>
                    <w:rPr>
                      <w:rFonts w:ascii="宋体" w:hAnsi="Times New Roman" w:eastAsia="宋体" w:cs="Times New Roman"/>
                      <w:kern w:val="0"/>
                      <w:szCs w:val="21"/>
                    </w:rPr>
                    <mc:AlternateContent>
                      <mc:Choice Requires="wps">
                        <w:drawing>
                          <wp:anchor distT="0" distB="0" distL="114300" distR="114300" simplePos="0" relativeHeight="251662336"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1"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a:noFill/>
                                    </a:ln>
                                    <a:effectLst/>
                                  </wps:spPr>
                                  <wps:bodyPr upright="1"/>
                                </wps:wsp>
                              </a:graphicData>
                            </a:graphic>
                          </wp:anchor>
                        </w:drawing>
                      </mc:Choice>
                      <mc:Fallback>
                        <w:pict>
                          <v:rect id="DT" o:spid="_x0000_s1026" o:spt="1" style="position:absolute;left:0pt;margin-left:372.8pt;margin-top:2.7pt;height:18pt;width:90pt;z-index:-251654144;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HmDyy9YAAAAIAQAADwAAAAAA&#10;AAABACAAAAAiAAAAZHJzL2Rvd25yZXYueG1sUEsBAhQAFAAAAAgAh07iQGnMQF6jAQAAZwMAAA4A&#10;AAAAAAAAAQAgAAAAJQEAAGRycy9lMm9Eb2MueG1sUEsFBgAAAAAGAAYAWQEAADoFAAAAAA==&#10;">
                            <v:fill on="t" focussize="0,0"/>
                            <v:stroke on="f"/>
                            <v:imagedata o:title=""/>
                            <o:lock v:ext="edit" aspectratio="f"/>
                          </v:rect>
                        </w:pict>
                      </mc:Fallback>
                    </mc:AlternateContent>
                  </w:r>
                  <w:r>
                    <w:rPr>
                      <w:rFonts w:hint="eastAsia" w:ascii="宋体" w:hAnsi="Times New Roman" w:eastAsia="宋体" w:cs="Times New Roman"/>
                      <w:kern w:val="0"/>
                      <w:szCs w:val="21"/>
                    </w:rPr>
                    <w:t xml:space="preserve">代替 </w:t>
                  </w:r>
                  <w:r>
                    <w:rPr>
                      <w:rFonts w:ascii="宋体" w:hAnsi="Times New Roman" w:eastAsia="宋体" w:cs="Times New Roman"/>
                      <w:kern w:val="0"/>
                      <w:szCs w:val="21"/>
                    </w:rPr>
                    <w:t>T/CACM ****—</w:t>
                  </w:r>
                  <w:r>
                    <w:rPr>
                      <w:rFonts w:hint="eastAsia" w:ascii="宋体" w:hAnsi="Times New Roman" w:eastAsia="宋体" w:cs="Times New Roman"/>
                      <w:kern w:val="0"/>
                      <w:szCs w:val="21"/>
                    </w:rPr>
                    <w:t>***</w:t>
                  </w:r>
                  <w:r>
                    <w:rPr>
                      <w:rFonts w:ascii="宋体" w:hAnsi="Times New Roman" w:eastAsia="宋体" w:cs="Times New Roman"/>
                      <w:kern w:val="0"/>
                      <w:szCs w:val="21"/>
                    </w:rPr>
                    <w:t>*</w:t>
                  </w:r>
                </w:p>
              </w:tc>
            </w:tr>
          </w:tbl>
          <w:p w14:paraId="35A00343">
            <w:pPr>
              <w:jc w:val="center"/>
              <w:rPr>
                <w:rFonts w:ascii="Times New Roman" w:hAnsi="Times New Roman" w:eastAsia="黑体" w:cs="Times New Roman"/>
                <w:b/>
                <w:sz w:val="52"/>
                <w:szCs w:val="20"/>
              </w:rPr>
            </w:pPr>
          </w:p>
        </w:tc>
      </w:tr>
      <w:tr w14:paraId="5FC45196">
        <w:tblPrEx>
          <w:tblCellMar>
            <w:top w:w="0" w:type="dxa"/>
            <w:left w:w="0" w:type="dxa"/>
            <w:bottom w:w="0" w:type="dxa"/>
            <w:right w:w="0" w:type="dxa"/>
          </w:tblCellMar>
        </w:tblPrEx>
        <w:trPr>
          <w:cantSplit/>
          <w:trHeight w:val="60" w:hRule="exact"/>
        </w:trPr>
        <w:tc>
          <w:tcPr>
            <w:tcW w:w="3232" w:type="dxa"/>
            <w:gridSpan w:val="4"/>
            <w:vAlign w:val="center"/>
          </w:tcPr>
          <w:p w14:paraId="044414BA">
            <w:pPr>
              <w:rPr>
                <w:rFonts w:ascii="Times New Roman" w:hAnsi="Times New Roman" w:eastAsia="宋体" w:cs="Times New Roman"/>
                <w:szCs w:val="20"/>
              </w:rPr>
            </w:pPr>
          </w:p>
        </w:tc>
        <w:tc>
          <w:tcPr>
            <w:tcW w:w="1134" w:type="dxa"/>
            <w:vAlign w:val="center"/>
          </w:tcPr>
          <w:p w14:paraId="7CB88E4F">
            <w:pPr>
              <w:jc w:val="right"/>
              <w:rPr>
                <w:rFonts w:ascii="Times New Roman" w:hAnsi="Times New Roman" w:eastAsia="宋体" w:cs="Times New Roman"/>
                <w:szCs w:val="20"/>
              </w:rPr>
            </w:pPr>
          </w:p>
        </w:tc>
        <w:tc>
          <w:tcPr>
            <w:tcW w:w="5124" w:type="dxa"/>
            <w:vAlign w:val="center"/>
          </w:tcPr>
          <w:p w14:paraId="601D668E">
            <w:pPr>
              <w:wordWrap w:val="0"/>
              <w:jc w:val="right"/>
              <w:rPr>
                <w:rFonts w:ascii="Times New Roman" w:hAnsi="Times New Roman" w:eastAsia="宋体" w:cs="Times New Roman"/>
                <w:szCs w:val="20"/>
              </w:rPr>
            </w:pPr>
          </w:p>
        </w:tc>
        <w:tc>
          <w:tcPr>
            <w:tcW w:w="150" w:type="dxa"/>
            <w:vAlign w:val="center"/>
          </w:tcPr>
          <w:p w14:paraId="5EC76328">
            <w:pPr>
              <w:rPr>
                <w:rFonts w:ascii="Times New Roman" w:hAnsi="Times New Roman" w:eastAsia="宋体" w:cs="Times New Roman"/>
                <w:szCs w:val="20"/>
              </w:rPr>
            </w:pPr>
          </w:p>
        </w:tc>
      </w:tr>
      <w:tr w14:paraId="79E413B1">
        <w:tblPrEx>
          <w:tblCellMar>
            <w:top w:w="0" w:type="dxa"/>
            <w:left w:w="0" w:type="dxa"/>
            <w:bottom w:w="0" w:type="dxa"/>
            <w:right w:w="0" w:type="dxa"/>
          </w:tblCellMar>
        </w:tblPrEx>
        <w:trPr>
          <w:cantSplit/>
          <w:trHeight w:val="80" w:hRule="exact"/>
        </w:trPr>
        <w:tc>
          <w:tcPr>
            <w:tcW w:w="3232" w:type="dxa"/>
            <w:gridSpan w:val="4"/>
            <w:vAlign w:val="center"/>
          </w:tcPr>
          <w:p w14:paraId="0BA5C7F3">
            <w:pPr>
              <w:rPr>
                <w:rFonts w:ascii="Times New Roman" w:hAnsi="Times New Roman" w:eastAsia="宋体" w:cs="Times New Roman"/>
                <w:szCs w:val="20"/>
              </w:rPr>
            </w:pPr>
          </w:p>
        </w:tc>
        <w:tc>
          <w:tcPr>
            <w:tcW w:w="1134" w:type="dxa"/>
            <w:vAlign w:val="center"/>
          </w:tcPr>
          <w:p w14:paraId="6E7C1997">
            <w:pPr>
              <w:jc w:val="right"/>
              <w:rPr>
                <w:rFonts w:ascii="Times New Roman" w:hAnsi="Times New Roman" w:eastAsia="宋体" w:cs="Times New Roman"/>
                <w:szCs w:val="20"/>
              </w:rPr>
            </w:pPr>
          </w:p>
        </w:tc>
        <w:tc>
          <w:tcPr>
            <w:tcW w:w="5124" w:type="dxa"/>
            <w:vAlign w:val="center"/>
          </w:tcPr>
          <w:p w14:paraId="11038924">
            <w:pPr>
              <w:wordWrap w:val="0"/>
              <w:jc w:val="right"/>
              <w:rPr>
                <w:rFonts w:ascii="Times New Roman" w:hAnsi="Times New Roman" w:eastAsia="宋体" w:cs="Times New Roman"/>
                <w:szCs w:val="20"/>
              </w:rPr>
            </w:pPr>
          </w:p>
        </w:tc>
        <w:tc>
          <w:tcPr>
            <w:tcW w:w="150" w:type="dxa"/>
            <w:vAlign w:val="center"/>
          </w:tcPr>
          <w:p w14:paraId="68C9CC6F">
            <w:pPr>
              <w:rPr>
                <w:rFonts w:ascii="Times New Roman" w:hAnsi="Times New Roman" w:eastAsia="宋体" w:cs="Times New Roman"/>
                <w:szCs w:val="20"/>
              </w:rPr>
            </w:pPr>
          </w:p>
        </w:tc>
      </w:tr>
      <w:tr w14:paraId="6BC138E6">
        <w:tblPrEx>
          <w:tblCellMar>
            <w:top w:w="0" w:type="dxa"/>
            <w:left w:w="0" w:type="dxa"/>
            <w:bottom w:w="0" w:type="dxa"/>
            <w:right w:w="0" w:type="dxa"/>
          </w:tblCellMar>
        </w:tblPrEx>
        <w:trPr>
          <w:trHeight w:val="340" w:hRule="exact"/>
        </w:trPr>
        <w:tc>
          <w:tcPr>
            <w:tcW w:w="9640" w:type="dxa"/>
            <w:gridSpan w:val="7"/>
            <w:tcBorders>
              <w:bottom w:val="single" w:color="auto" w:sz="8" w:space="0"/>
            </w:tcBorders>
          </w:tcPr>
          <w:p w14:paraId="746DE75C">
            <w:pPr>
              <w:rPr>
                <w:rFonts w:ascii="Times New Roman" w:hAnsi="Times New Roman" w:eastAsia="黑体" w:cs="Times New Roman"/>
                <w:b/>
                <w:sz w:val="52"/>
                <w:szCs w:val="20"/>
              </w:rPr>
            </w:pPr>
          </w:p>
        </w:tc>
      </w:tr>
      <w:tr w14:paraId="1CAF8EB0">
        <w:tblPrEx>
          <w:tblCellMar>
            <w:top w:w="0" w:type="dxa"/>
            <w:left w:w="0" w:type="dxa"/>
            <w:bottom w:w="0" w:type="dxa"/>
            <w:right w:w="0" w:type="dxa"/>
          </w:tblCellMar>
        </w:tblPrEx>
        <w:trPr>
          <w:trHeight w:val="1938" w:hRule="exact"/>
        </w:trPr>
        <w:tc>
          <w:tcPr>
            <w:tcW w:w="9640" w:type="dxa"/>
            <w:gridSpan w:val="7"/>
            <w:tcBorders>
              <w:top w:val="single" w:color="auto" w:sz="8" w:space="0"/>
            </w:tcBorders>
            <w:vAlign w:val="center"/>
          </w:tcPr>
          <w:p w14:paraId="365A9FA3">
            <w:pPr>
              <w:ind w:left="-105" w:leftChars="-50"/>
              <w:jc w:val="center"/>
              <w:rPr>
                <w:rFonts w:ascii="Times New Roman" w:hAnsi="Times New Roman" w:eastAsia="黑体" w:cs="Times New Roman"/>
                <w:sz w:val="52"/>
                <w:szCs w:val="20"/>
              </w:rPr>
            </w:pPr>
            <w:bookmarkStart w:id="0" w:name="_Hlk92788563"/>
            <w:r>
              <w:rPr>
                <w:rFonts w:hint="eastAsia" w:ascii="黑体" w:hAnsi="黑体" w:eastAsia="黑体" w:cs="Times New Roman"/>
                <w:color w:val="000000"/>
                <w:sz w:val="44"/>
                <w:szCs w:val="44"/>
              </w:rPr>
              <w:t>冠状动脉粥样硬化性心脏病热毒证诊断专家共识</w:t>
            </w:r>
          </w:p>
        </w:tc>
      </w:tr>
      <w:bookmarkEnd w:id="0"/>
      <w:tr w14:paraId="3AF59E2F">
        <w:tblPrEx>
          <w:tblCellMar>
            <w:top w:w="0" w:type="dxa"/>
            <w:left w:w="0" w:type="dxa"/>
            <w:bottom w:w="0" w:type="dxa"/>
            <w:right w:w="0" w:type="dxa"/>
          </w:tblCellMar>
        </w:tblPrEx>
        <w:trPr>
          <w:trHeight w:val="834" w:hRule="exact"/>
        </w:trPr>
        <w:tc>
          <w:tcPr>
            <w:tcW w:w="9640" w:type="dxa"/>
            <w:gridSpan w:val="7"/>
            <w:vAlign w:val="center"/>
          </w:tcPr>
          <w:p w14:paraId="0626BE51">
            <w:pPr>
              <w:ind w:left="-105" w:leftChars="-50"/>
              <w:jc w:val="center"/>
              <w:rPr>
                <w:rFonts w:ascii="黑体" w:hAnsi="黑体" w:eastAsia="黑体" w:cs="Times New Roman"/>
                <w:sz w:val="52"/>
                <w:szCs w:val="52"/>
              </w:rPr>
            </w:pPr>
          </w:p>
          <w:p w14:paraId="62BE060E">
            <w:pPr>
              <w:spacing w:line="680" w:lineRule="exact"/>
              <w:jc w:val="center"/>
              <w:textAlignment w:val="center"/>
              <w:rPr>
                <w:rFonts w:ascii="黑体" w:hAnsi="Times New Roman" w:eastAsia="黑体" w:cs="Times New Roman"/>
                <w:kern w:val="0"/>
                <w:sz w:val="52"/>
                <w:szCs w:val="20"/>
              </w:rPr>
            </w:pPr>
          </w:p>
          <w:p w14:paraId="50E84888">
            <w:pPr>
              <w:spacing w:line="640" w:lineRule="exact"/>
              <w:jc w:val="center"/>
              <w:rPr>
                <w:rFonts w:ascii="黑体" w:hAnsi="Times New Roman" w:eastAsia="黑体" w:cs="Times New Roman"/>
                <w:spacing w:val="-6"/>
                <w:sz w:val="52"/>
                <w:szCs w:val="52"/>
              </w:rPr>
            </w:pPr>
          </w:p>
        </w:tc>
      </w:tr>
      <w:tr w14:paraId="146D81DA">
        <w:tblPrEx>
          <w:tblCellMar>
            <w:top w:w="0" w:type="dxa"/>
            <w:left w:w="0" w:type="dxa"/>
            <w:bottom w:w="0" w:type="dxa"/>
            <w:right w:w="0" w:type="dxa"/>
          </w:tblCellMar>
        </w:tblPrEx>
        <w:trPr>
          <w:trHeight w:val="1122" w:hRule="exact"/>
        </w:trPr>
        <w:tc>
          <w:tcPr>
            <w:tcW w:w="9640" w:type="dxa"/>
            <w:gridSpan w:val="7"/>
            <w:vAlign w:val="center"/>
          </w:tcPr>
          <w:p w14:paraId="39074289">
            <w:pPr>
              <w:widowControl/>
              <w:jc w:val="center"/>
            </w:pPr>
            <w:r>
              <w:rPr>
                <w:rFonts w:ascii="Times New Roman" w:hAnsi="Times New Roman" w:eastAsia="宋体" w:cs="Times New Roman"/>
                <w:color w:val="000000"/>
                <w:kern w:val="0"/>
                <w:sz w:val="20"/>
                <w:szCs w:val="20"/>
              </w:rPr>
              <w:t>Expert Consensus on the Diagnosis of Coronary Heart Disease with Heat-Toxicity Syndrome</w:t>
            </w:r>
          </w:p>
          <w:p w14:paraId="493BDB6C">
            <w:pPr>
              <w:spacing w:line="360" w:lineRule="auto"/>
              <w:rPr>
                <w:rFonts w:ascii="Times New Roman" w:hAnsi="Times New Roman" w:eastAsia="黑体" w:cs="Times New Roman"/>
                <w:szCs w:val="20"/>
              </w:rPr>
            </w:pPr>
          </w:p>
          <w:p w14:paraId="0153DC3B">
            <w:pPr>
              <w:spacing w:line="360" w:lineRule="auto"/>
              <w:jc w:val="center"/>
              <w:rPr>
                <w:rFonts w:cs="Times New Roman" w:asciiTheme="minorEastAsia" w:hAnsiTheme="minorEastAsia"/>
                <w:color w:val="000000"/>
                <w:sz w:val="22"/>
                <w:szCs w:val="28"/>
              </w:rPr>
            </w:pPr>
            <w:r>
              <w:rPr>
                <w:rFonts w:hint="eastAsia" w:cs="Times New Roman" w:asciiTheme="minorEastAsia" w:hAnsiTheme="minorEastAsia"/>
                <w:color w:val="000000"/>
                <w:sz w:val="22"/>
                <w:szCs w:val="28"/>
              </w:rPr>
              <w:t>（文件类型：</w:t>
            </w:r>
            <w:r>
              <w:rPr>
                <w:rFonts w:hint="eastAsia" w:cs="Times New Roman" w:asciiTheme="minorEastAsia" w:hAnsiTheme="minorEastAsia"/>
                <w:color w:val="000000"/>
                <w:sz w:val="22"/>
                <w:szCs w:val="28"/>
                <w:lang w:val="en-US" w:eastAsia="zh-CN"/>
              </w:rPr>
              <w:t>公示稿</w:t>
            </w:r>
            <w:r>
              <w:rPr>
                <w:rFonts w:hint="eastAsia" w:cs="Times New Roman" w:asciiTheme="minorEastAsia" w:hAnsiTheme="minorEastAsia"/>
                <w:color w:val="000000"/>
                <w:sz w:val="22"/>
                <w:szCs w:val="28"/>
              </w:rPr>
              <w:t>）</w:t>
            </w:r>
          </w:p>
          <w:p w14:paraId="715F6AE0">
            <w:pPr>
              <w:spacing w:line="0" w:lineRule="atLeast"/>
              <w:jc w:val="center"/>
              <w:rPr>
                <w:rFonts w:cs="Times New Roman" w:asciiTheme="minorEastAsia" w:hAnsiTheme="minorEastAsia"/>
                <w:color w:val="000000"/>
                <w:sz w:val="28"/>
                <w:szCs w:val="28"/>
              </w:rPr>
            </w:pPr>
          </w:p>
        </w:tc>
      </w:tr>
      <w:tr w14:paraId="315E22C3">
        <w:tblPrEx>
          <w:tblCellMar>
            <w:top w:w="0" w:type="dxa"/>
            <w:left w:w="0" w:type="dxa"/>
            <w:bottom w:w="0" w:type="dxa"/>
            <w:right w:w="0" w:type="dxa"/>
          </w:tblCellMar>
        </w:tblPrEx>
        <w:trPr>
          <w:trHeight w:val="454" w:hRule="exact"/>
        </w:trPr>
        <w:tc>
          <w:tcPr>
            <w:tcW w:w="9640" w:type="dxa"/>
            <w:gridSpan w:val="7"/>
            <w:vAlign w:val="center"/>
          </w:tcPr>
          <w:p w14:paraId="5BAC8044">
            <w:pPr>
              <w:spacing w:line="360" w:lineRule="exact"/>
              <w:jc w:val="center"/>
              <w:rPr>
                <w:rFonts w:ascii="Calibri" w:hAnsi="Calibri" w:eastAsia="宋体" w:cs="Times New Roman"/>
                <w:b/>
                <w:sz w:val="28"/>
                <w:szCs w:val="28"/>
              </w:rPr>
            </w:pPr>
            <w:r>
              <w:rPr>
                <w:rFonts w:hint="eastAsia" w:cs="Times New Roman" w:asciiTheme="minorEastAsia" w:hAnsiTheme="minorEastAsia"/>
                <w:color w:val="000000"/>
                <w:sz w:val="22"/>
                <w:szCs w:val="28"/>
              </w:rPr>
              <w:t>（完成时间：2</w:t>
            </w:r>
            <w:r>
              <w:rPr>
                <w:rFonts w:cs="Times New Roman" w:asciiTheme="minorEastAsia" w:hAnsiTheme="minorEastAsia"/>
                <w:color w:val="000000"/>
                <w:sz w:val="22"/>
                <w:szCs w:val="28"/>
              </w:rPr>
              <w:t>0</w:t>
            </w:r>
            <w:r>
              <w:rPr>
                <w:rFonts w:hint="eastAsia" w:cs="Times New Roman" w:asciiTheme="minorEastAsia" w:hAnsiTheme="minorEastAsia"/>
                <w:color w:val="000000"/>
                <w:sz w:val="22"/>
                <w:szCs w:val="28"/>
              </w:rPr>
              <w:t>26年1月）</w:t>
            </w:r>
          </w:p>
        </w:tc>
      </w:tr>
    </w:tbl>
    <w:p w14:paraId="2483C969">
      <w:pPr>
        <w:rPr>
          <w:rFonts w:ascii="Times New Roman" w:hAnsi="Times New Roman" w:eastAsia="宋体" w:cs="Times New Roman"/>
          <w:szCs w:val="20"/>
        </w:rPr>
      </w:pPr>
    </w:p>
    <w:p w14:paraId="76642CBA">
      <w:pPr>
        <w:rPr>
          <w:rFonts w:ascii="Times New Roman" w:hAnsi="Times New Roman" w:eastAsia="宋体" w:cs="Times New Roman"/>
          <w:szCs w:val="20"/>
        </w:rPr>
      </w:pPr>
    </w:p>
    <w:p w14:paraId="71C0F067">
      <w:pPr>
        <w:rPr>
          <w:rFonts w:ascii="Times New Roman" w:hAnsi="Times New Roman" w:eastAsia="宋体" w:cs="Times New Roman"/>
          <w:szCs w:val="20"/>
        </w:rPr>
      </w:pPr>
    </w:p>
    <w:p w14:paraId="2991637D">
      <w:pPr>
        <w:rPr>
          <w:rFonts w:ascii="仿宋" w:hAnsi="仿宋" w:eastAsia="仿宋"/>
          <w:sz w:val="30"/>
          <w:szCs w:val="30"/>
        </w:rPr>
      </w:pPr>
    </w:p>
    <w:p w14:paraId="77A51126">
      <w:pPr>
        <w:rPr>
          <w:rFonts w:ascii="仿宋" w:hAnsi="仿宋" w:eastAsia="仿宋"/>
          <w:sz w:val="30"/>
          <w:szCs w:val="30"/>
        </w:rPr>
      </w:pPr>
      <w:r>
        <w:rPr>
          <w:rFonts w:ascii="Times New Roman" w:hAnsi="Times New Roman" w:eastAsia="宋体" w:cs="Times New Roman"/>
          <w:sz w:val="20"/>
          <w:szCs w:val="20"/>
        </w:rPr>
        <mc:AlternateContent>
          <mc:Choice Requires="wps">
            <w:drawing>
              <wp:anchor distT="0" distB="0" distL="114300" distR="114300" simplePos="0" relativeHeight="251660288" behindDoc="0" locked="0" layoutInCell="0" allowOverlap="1">
                <wp:simplePos x="0" y="0"/>
                <wp:positionH relativeFrom="column">
                  <wp:posOffset>-276225</wp:posOffset>
                </wp:positionH>
                <wp:positionV relativeFrom="page">
                  <wp:posOffset>7555230</wp:posOffset>
                </wp:positionV>
                <wp:extent cx="6120130" cy="2160270"/>
                <wp:effectExtent l="0" t="0" r="1270" b="11430"/>
                <wp:wrapNone/>
                <wp:docPr id="23" name="文本框 23"/>
                <wp:cNvGraphicFramePr/>
                <a:graphic xmlns:a="http://schemas.openxmlformats.org/drawingml/2006/main">
                  <a:graphicData uri="http://schemas.microsoft.com/office/word/2010/wordprocessingShape">
                    <wps:wsp>
                      <wps:cNvSpPr txBox="1">
                        <a:spLocks noChangeArrowheads="1"/>
                      </wps:cNvSpPr>
                      <wps:spPr bwMode="auto">
                        <a:xfrm>
                          <a:off x="0" y="0"/>
                          <a:ext cx="6120130" cy="2160270"/>
                        </a:xfrm>
                        <a:prstGeom prst="rect">
                          <a:avLst/>
                        </a:prstGeom>
                        <a:solidFill>
                          <a:srgbClr val="FFFFFF"/>
                        </a:solidFill>
                        <a:ln>
                          <a:noFill/>
                        </a:ln>
                        <a:effectLst/>
                      </wps:spPr>
                      <wps:txbx>
                        <w:txbxContent>
                          <w:tbl>
                            <w:tblPr>
                              <w:tblStyle w:val="12"/>
                              <w:tblW w:w="0" w:type="auto"/>
                              <w:jc w:val="center"/>
                              <w:tblLayout w:type="fixed"/>
                              <w:tblCellMar>
                                <w:top w:w="0" w:type="dxa"/>
                                <w:left w:w="0" w:type="dxa"/>
                                <w:bottom w:w="0" w:type="dxa"/>
                                <w:right w:w="0" w:type="dxa"/>
                              </w:tblCellMar>
                            </w:tblPr>
                            <w:tblGrid>
                              <w:gridCol w:w="3232"/>
                              <w:gridCol w:w="3175"/>
                              <w:gridCol w:w="3232"/>
                            </w:tblGrid>
                            <w:tr w14:paraId="4075B36D">
                              <w:tblPrEx>
                                <w:tblCellMar>
                                  <w:top w:w="0" w:type="dxa"/>
                                  <w:left w:w="0" w:type="dxa"/>
                                  <w:bottom w:w="0" w:type="dxa"/>
                                  <w:right w:w="0" w:type="dxa"/>
                                </w:tblCellMar>
                              </w:tblPrEx>
                              <w:trPr>
                                <w:trHeight w:val="312" w:hRule="exact"/>
                                <w:jc w:val="center"/>
                              </w:trPr>
                              <w:tc>
                                <w:tcPr>
                                  <w:tcW w:w="9639" w:type="dxa"/>
                                  <w:gridSpan w:val="3"/>
                                </w:tcPr>
                                <w:p w14:paraId="4BF35B5F"/>
                              </w:tc>
                            </w:tr>
                            <w:tr w14:paraId="7B2B64E5">
                              <w:tblPrEx>
                                <w:tblCellMar>
                                  <w:top w:w="0" w:type="dxa"/>
                                  <w:left w:w="0" w:type="dxa"/>
                                  <w:bottom w:w="0" w:type="dxa"/>
                                  <w:right w:w="0" w:type="dxa"/>
                                </w:tblCellMar>
                              </w:tblPrEx>
                              <w:trPr>
                                <w:trHeight w:val="567" w:hRule="exact"/>
                                <w:jc w:val="center"/>
                              </w:trPr>
                              <w:tc>
                                <w:tcPr>
                                  <w:tcW w:w="9639" w:type="dxa"/>
                                  <w:gridSpan w:val="3"/>
                                </w:tcPr>
                                <w:p w14:paraId="168EDA21"/>
                              </w:tc>
                            </w:tr>
                            <w:tr w14:paraId="184070DA">
                              <w:tblPrEx>
                                <w:tblCellMar>
                                  <w:top w:w="0" w:type="dxa"/>
                                  <w:left w:w="0" w:type="dxa"/>
                                  <w:bottom w:w="0" w:type="dxa"/>
                                  <w:right w:w="0" w:type="dxa"/>
                                </w:tblCellMar>
                              </w:tblPrEx>
                              <w:trPr>
                                <w:trHeight w:val="567" w:hRule="exact"/>
                                <w:jc w:val="center"/>
                              </w:trPr>
                              <w:tc>
                                <w:tcPr>
                                  <w:tcW w:w="3232" w:type="dxa"/>
                                  <w:tcBorders>
                                    <w:bottom w:val="single" w:color="auto" w:sz="8" w:space="0"/>
                                  </w:tcBorders>
                                  <w:vAlign w:val="bottom"/>
                                </w:tcPr>
                                <w:p w14:paraId="453C8FD2">
                                  <w:pPr>
                                    <w:rPr>
                                      <w:rFonts w:ascii="黑体" w:hAnsi="黑体" w:eastAsia="黑体"/>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发布</w:t>
                                  </w:r>
                                </w:p>
                              </w:tc>
                              <w:tc>
                                <w:tcPr>
                                  <w:tcW w:w="3175" w:type="dxa"/>
                                  <w:tcBorders>
                                    <w:bottom w:val="single" w:color="auto" w:sz="8" w:space="0"/>
                                  </w:tcBorders>
                                  <w:vAlign w:val="bottom"/>
                                </w:tcPr>
                                <w:p w14:paraId="135D6558">
                                  <w:pPr>
                                    <w:jc w:val="center"/>
                                    <w:rPr>
                                      <w:rFonts w:ascii="黑体" w:eastAsia="黑体"/>
                                      <w:sz w:val="28"/>
                                    </w:rPr>
                                  </w:pPr>
                                </w:p>
                              </w:tc>
                              <w:tc>
                                <w:tcPr>
                                  <w:tcW w:w="3232" w:type="dxa"/>
                                  <w:tcBorders>
                                    <w:bottom w:val="single" w:color="auto" w:sz="8" w:space="0"/>
                                  </w:tcBorders>
                                  <w:vAlign w:val="bottom"/>
                                </w:tcPr>
                                <w:p w14:paraId="3EAD36EA">
                                  <w:pPr>
                                    <w:jc w:val="right"/>
                                    <w:rPr>
                                      <w:rFonts w:ascii="黑体" w:hAnsi="黑体" w:eastAsia="黑体"/>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实施</w:t>
                                  </w:r>
                                </w:p>
                              </w:tc>
                            </w:tr>
                            <w:tr w14:paraId="0927B1CD">
                              <w:tblPrEx>
                                <w:tblCellMar>
                                  <w:top w:w="0" w:type="dxa"/>
                                  <w:left w:w="0" w:type="dxa"/>
                                  <w:bottom w:w="0" w:type="dxa"/>
                                  <w:right w:w="0" w:type="dxa"/>
                                </w:tblCellMar>
                              </w:tblPrEx>
                              <w:trPr>
                                <w:trHeight w:val="567" w:hRule="exact"/>
                                <w:jc w:val="center"/>
                              </w:trPr>
                              <w:tc>
                                <w:tcPr>
                                  <w:tcW w:w="9639" w:type="dxa"/>
                                  <w:gridSpan w:val="3"/>
                                  <w:tcBorders>
                                    <w:top w:val="single" w:color="auto" w:sz="8" w:space="0"/>
                                  </w:tcBorders>
                                  <w:vAlign w:val="center"/>
                                </w:tcPr>
                                <w:p w14:paraId="4EABB42A">
                                  <w:pPr>
                                    <w:jc w:val="center"/>
                                    <w:rPr>
                                      <w:rFonts w:eastAsia="黑体"/>
                                      <w:spacing w:val="30"/>
                                      <w:sz w:val="32"/>
                                    </w:rPr>
                                  </w:pPr>
                                </w:p>
                              </w:tc>
                            </w:tr>
                            <w:tr w14:paraId="12623D1E">
                              <w:tblPrEx>
                                <w:tblCellMar>
                                  <w:top w:w="0" w:type="dxa"/>
                                  <w:left w:w="0" w:type="dxa"/>
                                  <w:bottom w:w="0" w:type="dxa"/>
                                  <w:right w:w="0" w:type="dxa"/>
                                </w:tblCellMar>
                              </w:tblPrEx>
                              <w:trPr>
                                <w:trHeight w:val="380" w:hRule="exact"/>
                                <w:jc w:val="center"/>
                              </w:trPr>
                              <w:tc>
                                <w:tcPr>
                                  <w:tcW w:w="9639" w:type="dxa"/>
                                  <w:gridSpan w:val="3"/>
                                </w:tcPr>
                                <w:p w14:paraId="5EC8AE10">
                                  <w:pPr>
                                    <w:spacing w:line="360" w:lineRule="exact"/>
                                    <w:jc w:val="center"/>
                                    <w:rPr>
                                      <w:sz w:val="30"/>
                                      <w:szCs w:val="30"/>
                                    </w:rPr>
                                  </w:pPr>
                                  <w:r>
                                    <w:rPr>
                                      <w:rFonts w:hint="eastAsia" w:eastAsia="黑体"/>
                                      <w:spacing w:val="40"/>
                                      <w:sz w:val="32"/>
                                      <w:szCs w:val="32"/>
                                    </w:rPr>
                                    <w:t>中华中医药学会</w:t>
                                  </w:r>
                                  <w:r>
                                    <w:rPr>
                                      <w:rFonts w:hint="eastAsia" w:eastAsia="黑体"/>
                                      <w:spacing w:val="40"/>
                                      <w:sz w:val="28"/>
                                      <w:szCs w:val="28"/>
                                    </w:rPr>
                                    <w:t>发布</w:t>
                                  </w:r>
                                </w:p>
                              </w:tc>
                            </w:tr>
                          </w:tbl>
                          <w:p w14:paraId="656C0E89"/>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1.75pt;margin-top:594.9pt;height:170.1pt;width:481.9pt;mso-position-vertical-relative:page;z-index:251660288;mso-width-relative:page;mso-height-relative:page;" fillcolor="#FFFFFF" filled="t" stroked="f" coordsize="21600,21600" o:allowincell="f" o:gfxdata="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hpyCTbAAAADQEAAA8AAAAAAAAAAQAgAAAAIgAAAGRycy9kb3ducmV2LnhtbFBLAQIUABQA&#10;AAAIAIdO4kAKHjVEJgIAAD8EAAAOAAAAAAAAAAEAIAAAACoBAABkcnMvZTJvRG9jLnhtbFBLBQYA&#10;AAAABgAGAFkBAADCBQAAAAA=&#10;">
                <v:fill on="t" focussize="0,0"/>
                <v:stroke on="f"/>
                <v:imagedata o:title=""/>
                <o:lock v:ext="edit" aspectratio="f"/>
                <v:textbox inset="0mm,0mm,0mm,0mm">
                  <w:txbxContent>
                    <w:tbl>
                      <w:tblPr>
                        <w:tblStyle w:val="12"/>
                        <w:tblW w:w="0" w:type="auto"/>
                        <w:jc w:val="center"/>
                        <w:tblLayout w:type="fixed"/>
                        <w:tblCellMar>
                          <w:top w:w="0" w:type="dxa"/>
                          <w:left w:w="0" w:type="dxa"/>
                          <w:bottom w:w="0" w:type="dxa"/>
                          <w:right w:w="0" w:type="dxa"/>
                        </w:tblCellMar>
                      </w:tblPr>
                      <w:tblGrid>
                        <w:gridCol w:w="3232"/>
                        <w:gridCol w:w="3175"/>
                        <w:gridCol w:w="3232"/>
                      </w:tblGrid>
                      <w:tr w14:paraId="4075B36D">
                        <w:tblPrEx>
                          <w:tblCellMar>
                            <w:top w:w="0" w:type="dxa"/>
                            <w:left w:w="0" w:type="dxa"/>
                            <w:bottom w:w="0" w:type="dxa"/>
                            <w:right w:w="0" w:type="dxa"/>
                          </w:tblCellMar>
                        </w:tblPrEx>
                        <w:trPr>
                          <w:trHeight w:val="312" w:hRule="exact"/>
                          <w:jc w:val="center"/>
                        </w:trPr>
                        <w:tc>
                          <w:tcPr>
                            <w:tcW w:w="9639" w:type="dxa"/>
                            <w:gridSpan w:val="3"/>
                          </w:tcPr>
                          <w:p w14:paraId="4BF35B5F"/>
                        </w:tc>
                      </w:tr>
                      <w:tr w14:paraId="7B2B64E5">
                        <w:tblPrEx>
                          <w:tblCellMar>
                            <w:top w:w="0" w:type="dxa"/>
                            <w:left w:w="0" w:type="dxa"/>
                            <w:bottom w:w="0" w:type="dxa"/>
                            <w:right w:w="0" w:type="dxa"/>
                          </w:tblCellMar>
                        </w:tblPrEx>
                        <w:trPr>
                          <w:trHeight w:val="567" w:hRule="exact"/>
                          <w:jc w:val="center"/>
                        </w:trPr>
                        <w:tc>
                          <w:tcPr>
                            <w:tcW w:w="9639" w:type="dxa"/>
                            <w:gridSpan w:val="3"/>
                          </w:tcPr>
                          <w:p w14:paraId="168EDA21"/>
                        </w:tc>
                      </w:tr>
                      <w:tr w14:paraId="184070DA">
                        <w:tblPrEx>
                          <w:tblCellMar>
                            <w:top w:w="0" w:type="dxa"/>
                            <w:left w:w="0" w:type="dxa"/>
                            <w:bottom w:w="0" w:type="dxa"/>
                            <w:right w:w="0" w:type="dxa"/>
                          </w:tblCellMar>
                        </w:tblPrEx>
                        <w:trPr>
                          <w:trHeight w:val="567" w:hRule="exact"/>
                          <w:jc w:val="center"/>
                        </w:trPr>
                        <w:tc>
                          <w:tcPr>
                            <w:tcW w:w="3232" w:type="dxa"/>
                            <w:tcBorders>
                              <w:bottom w:val="single" w:color="auto" w:sz="8" w:space="0"/>
                            </w:tcBorders>
                            <w:vAlign w:val="bottom"/>
                          </w:tcPr>
                          <w:p w14:paraId="453C8FD2">
                            <w:pPr>
                              <w:rPr>
                                <w:rFonts w:ascii="黑体" w:hAnsi="黑体" w:eastAsia="黑体"/>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发布</w:t>
                            </w:r>
                          </w:p>
                        </w:tc>
                        <w:tc>
                          <w:tcPr>
                            <w:tcW w:w="3175" w:type="dxa"/>
                            <w:tcBorders>
                              <w:bottom w:val="single" w:color="auto" w:sz="8" w:space="0"/>
                            </w:tcBorders>
                            <w:vAlign w:val="bottom"/>
                          </w:tcPr>
                          <w:p w14:paraId="135D6558">
                            <w:pPr>
                              <w:jc w:val="center"/>
                              <w:rPr>
                                <w:rFonts w:ascii="黑体" w:eastAsia="黑体"/>
                                <w:sz w:val="28"/>
                              </w:rPr>
                            </w:pPr>
                          </w:p>
                        </w:tc>
                        <w:tc>
                          <w:tcPr>
                            <w:tcW w:w="3232" w:type="dxa"/>
                            <w:tcBorders>
                              <w:bottom w:val="single" w:color="auto" w:sz="8" w:space="0"/>
                            </w:tcBorders>
                            <w:vAlign w:val="bottom"/>
                          </w:tcPr>
                          <w:p w14:paraId="3EAD36EA">
                            <w:pPr>
                              <w:jc w:val="right"/>
                              <w:rPr>
                                <w:rFonts w:ascii="黑体" w:hAnsi="黑体" w:eastAsia="黑体"/>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实施</w:t>
                            </w:r>
                          </w:p>
                        </w:tc>
                      </w:tr>
                      <w:tr w14:paraId="0927B1CD">
                        <w:tblPrEx>
                          <w:tblCellMar>
                            <w:top w:w="0" w:type="dxa"/>
                            <w:left w:w="0" w:type="dxa"/>
                            <w:bottom w:w="0" w:type="dxa"/>
                            <w:right w:w="0" w:type="dxa"/>
                          </w:tblCellMar>
                        </w:tblPrEx>
                        <w:trPr>
                          <w:trHeight w:val="567" w:hRule="exact"/>
                          <w:jc w:val="center"/>
                        </w:trPr>
                        <w:tc>
                          <w:tcPr>
                            <w:tcW w:w="9639" w:type="dxa"/>
                            <w:gridSpan w:val="3"/>
                            <w:tcBorders>
                              <w:top w:val="single" w:color="auto" w:sz="8" w:space="0"/>
                            </w:tcBorders>
                            <w:vAlign w:val="center"/>
                          </w:tcPr>
                          <w:p w14:paraId="4EABB42A">
                            <w:pPr>
                              <w:jc w:val="center"/>
                              <w:rPr>
                                <w:rFonts w:eastAsia="黑体"/>
                                <w:spacing w:val="30"/>
                                <w:sz w:val="32"/>
                              </w:rPr>
                            </w:pPr>
                          </w:p>
                        </w:tc>
                      </w:tr>
                      <w:tr w14:paraId="12623D1E">
                        <w:tblPrEx>
                          <w:tblCellMar>
                            <w:top w:w="0" w:type="dxa"/>
                            <w:left w:w="0" w:type="dxa"/>
                            <w:bottom w:w="0" w:type="dxa"/>
                            <w:right w:w="0" w:type="dxa"/>
                          </w:tblCellMar>
                        </w:tblPrEx>
                        <w:trPr>
                          <w:trHeight w:val="380" w:hRule="exact"/>
                          <w:jc w:val="center"/>
                        </w:trPr>
                        <w:tc>
                          <w:tcPr>
                            <w:tcW w:w="9639" w:type="dxa"/>
                            <w:gridSpan w:val="3"/>
                          </w:tcPr>
                          <w:p w14:paraId="5EC8AE10">
                            <w:pPr>
                              <w:spacing w:line="360" w:lineRule="exact"/>
                              <w:jc w:val="center"/>
                              <w:rPr>
                                <w:sz w:val="30"/>
                                <w:szCs w:val="30"/>
                              </w:rPr>
                            </w:pPr>
                            <w:r>
                              <w:rPr>
                                <w:rFonts w:hint="eastAsia" w:eastAsia="黑体"/>
                                <w:spacing w:val="40"/>
                                <w:sz w:val="32"/>
                                <w:szCs w:val="32"/>
                              </w:rPr>
                              <w:t>中华中医药学会</w:t>
                            </w:r>
                            <w:r>
                              <w:rPr>
                                <w:rFonts w:hint="eastAsia" w:eastAsia="黑体"/>
                                <w:spacing w:val="40"/>
                                <w:sz w:val="28"/>
                                <w:szCs w:val="28"/>
                              </w:rPr>
                              <w:t>发布</w:t>
                            </w:r>
                          </w:p>
                        </w:tc>
                      </w:tr>
                    </w:tbl>
                    <w:p w14:paraId="656C0E89"/>
                  </w:txbxContent>
                </v:textbox>
              </v:shape>
            </w:pict>
          </mc:Fallback>
        </mc:AlternateContent>
      </w:r>
    </w:p>
    <w:p w14:paraId="4C704DD7">
      <w:pPr>
        <w:rPr>
          <w:rFonts w:ascii="仿宋" w:hAnsi="仿宋" w:eastAsia="仿宋"/>
          <w:sz w:val="30"/>
          <w:szCs w:val="30"/>
        </w:rPr>
      </w:pPr>
    </w:p>
    <w:p w14:paraId="4A19F3A6">
      <w:pPr>
        <w:rPr>
          <w:rFonts w:ascii="仿宋" w:hAnsi="仿宋" w:eastAsia="仿宋"/>
          <w:sz w:val="30"/>
          <w:szCs w:val="30"/>
        </w:rPr>
      </w:pPr>
    </w:p>
    <w:p w14:paraId="1730FD04">
      <w:pPr>
        <w:rPr>
          <w:rFonts w:ascii="仿宋" w:hAnsi="仿宋" w:eastAsia="仿宋"/>
          <w:sz w:val="30"/>
          <w:szCs w:val="30"/>
        </w:rPr>
      </w:pPr>
    </w:p>
    <w:p w14:paraId="2AF4CB27">
      <w:pPr>
        <w:rPr>
          <w:rFonts w:ascii="仿宋" w:hAnsi="仿宋" w:eastAsia="仿宋"/>
          <w:sz w:val="30"/>
          <w:szCs w:val="30"/>
        </w:rPr>
      </w:pPr>
    </w:p>
    <w:p w14:paraId="0D56F0F5">
      <w:pPr>
        <w:rPr>
          <w:rFonts w:ascii="仿宋" w:hAnsi="仿宋" w:eastAsia="仿宋"/>
          <w:sz w:val="30"/>
          <w:szCs w:val="30"/>
        </w:rPr>
      </w:pPr>
    </w:p>
    <w:p w14:paraId="14BEACE5">
      <w:pPr>
        <w:rPr>
          <w:rFonts w:ascii="仿宋" w:hAnsi="仿宋" w:eastAsia="仿宋"/>
          <w:sz w:val="30"/>
          <w:szCs w:val="30"/>
        </w:rPr>
      </w:pPr>
    </w:p>
    <w:p w14:paraId="2CCD9E2F">
      <w:pPr>
        <w:rPr>
          <w:rFonts w:ascii="仿宋" w:hAnsi="仿宋" w:eastAsia="仿宋"/>
          <w:sz w:val="30"/>
          <w:szCs w:val="30"/>
        </w:rPr>
      </w:pPr>
    </w:p>
    <w:p w14:paraId="79201D23">
      <w:pPr>
        <w:rPr>
          <w:rFonts w:ascii="仿宋" w:hAnsi="仿宋" w:eastAsia="仿宋"/>
          <w:sz w:val="30"/>
          <w:szCs w:val="30"/>
        </w:rPr>
        <w:sectPr>
          <w:headerReference r:id="rId3" w:type="default"/>
          <w:pgSz w:w="11906" w:h="16838"/>
          <w:pgMar w:top="1440" w:right="1797" w:bottom="1440" w:left="1797" w:header="1418" w:footer="1134" w:gutter="0"/>
          <w:pgNumType w:start="1"/>
          <w:cols w:space="720" w:num="1"/>
          <w:formProt w:val="0"/>
          <w:docGrid w:linePitch="312" w:charSpace="0"/>
        </w:sectPr>
      </w:pPr>
    </w:p>
    <w:p w14:paraId="7E4AC7EF">
      <w:pPr>
        <w:rPr>
          <w:rFonts w:ascii="仿宋" w:hAnsi="仿宋" w:eastAsia="仿宋"/>
          <w:sz w:val="30"/>
          <w:szCs w:val="30"/>
        </w:rPr>
      </w:pPr>
    </w:p>
    <w:sdt>
      <w:sdtPr>
        <w:rPr>
          <w:rFonts w:hint="eastAsia" w:ascii="宋体" w:hAnsi="宋体" w:eastAsia="宋体" w:cs="宋体"/>
          <w:b/>
          <w:bCs/>
          <w:sz w:val="22"/>
          <w:szCs w:val="24"/>
        </w:rPr>
        <w:id w:val="147481627"/>
        <w:docPartObj>
          <w:docPartGallery w:val="Table of Contents"/>
          <w:docPartUnique/>
        </w:docPartObj>
      </w:sdtPr>
      <w:sdtEndPr>
        <w:rPr>
          <w:rFonts w:ascii="宋体" w:hAnsi="宋体" w:eastAsia="宋体"/>
        </w:rPr>
      </w:sdtEndPr>
      <w:sdtContent>
        <w:p w14:paraId="402C870F">
          <w:pPr>
            <w:jc w:val="center"/>
            <w:rPr>
              <w:rFonts w:hint="eastAsia" w:ascii="宋体" w:hAnsi="宋体" w:eastAsia="宋体" w:cs="宋体"/>
              <w:b/>
              <w:bCs/>
              <w:sz w:val="22"/>
              <w:szCs w:val="22"/>
            </w:rPr>
          </w:pPr>
          <w:r>
            <w:rPr>
              <w:rFonts w:hint="eastAsia" w:ascii="宋体" w:hAnsi="宋体" w:eastAsia="宋体" w:cs="宋体"/>
              <w:b/>
              <w:bCs/>
              <w:sz w:val="22"/>
              <w:szCs w:val="22"/>
            </w:rPr>
            <w:t>目  次</w:t>
          </w:r>
        </w:p>
        <w:p w14:paraId="156E0BBC">
          <w:pPr>
            <w:pStyle w:val="9"/>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TOC \o "1-1" \h \u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_Toc28341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前  言</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_Toc28341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2</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4B0DA267">
          <w:pPr>
            <w:pStyle w:val="9"/>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_Toc19319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引 言</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_Toc19319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3D397CD0">
          <w:pPr>
            <w:pStyle w:val="9"/>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_Toc6477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i w:val="0"/>
              <w:sz w:val="21"/>
              <w:szCs w:val="21"/>
            </w:rPr>
            <w:t xml:space="preserve">1 </w:t>
          </w:r>
          <w:r>
            <w:rPr>
              <w:rFonts w:hint="eastAsia" w:ascii="宋体" w:hAnsi="宋体" w:eastAsia="宋体" w:cs="宋体"/>
              <w:b w:val="0"/>
              <w:bCs w:val="0"/>
              <w:sz w:val="21"/>
              <w:szCs w:val="21"/>
            </w:rPr>
            <w:t>范围</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_Toc6477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255B3DAD">
          <w:pPr>
            <w:pStyle w:val="9"/>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_Toc8167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i w:val="0"/>
              <w:sz w:val="21"/>
              <w:szCs w:val="21"/>
            </w:rPr>
            <w:t xml:space="preserve">2 </w:t>
          </w:r>
          <w:r>
            <w:rPr>
              <w:rFonts w:hint="eastAsia" w:ascii="宋体" w:hAnsi="宋体" w:eastAsia="宋体" w:cs="宋体"/>
              <w:b w:val="0"/>
              <w:bCs w:val="0"/>
              <w:sz w:val="21"/>
              <w:szCs w:val="21"/>
            </w:rPr>
            <w:t>规范性引用文件</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_Toc8167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4ADF3A82">
          <w:pPr>
            <w:pStyle w:val="9"/>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_Toc9848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i w:val="0"/>
              <w:sz w:val="21"/>
              <w:szCs w:val="21"/>
            </w:rPr>
            <w:t xml:space="preserve">3 </w:t>
          </w:r>
          <w:r>
            <w:rPr>
              <w:rFonts w:hint="eastAsia" w:ascii="宋体" w:hAnsi="宋体" w:eastAsia="宋体" w:cs="宋体"/>
              <w:b w:val="0"/>
              <w:bCs w:val="0"/>
              <w:sz w:val="21"/>
              <w:szCs w:val="21"/>
            </w:rPr>
            <w:t>术语和定义</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_Toc9848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26C2270F">
          <w:pPr>
            <w:pStyle w:val="9"/>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_Toc17304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4 冠心病热毒证诊断</w:t>
          </w:r>
          <w:r>
            <w:rPr>
              <w:rFonts w:hint="eastAsia" w:ascii="宋体" w:hAnsi="宋体" w:eastAsia="宋体" w:cs="宋体"/>
              <w:b w:val="0"/>
              <w:bCs w:val="0"/>
              <w:sz w:val="21"/>
              <w:szCs w:val="21"/>
              <w:lang w:val="en-US" w:eastAsia="zh-CN"/>
            </w:rPr>
            <w:t>依据</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_Toc17304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6</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2890329D">
          <w:pPr>
            <w:pStyle w:val="9"/>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_Toc6640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0"/>
              <w:sz w:val="21"/>
              <w:szCs w:val="21"/>
            </w:rPr>
            <w:t>附 录 A</w:t>
          </w:r>
          <w:r>
            <w:rPr>
              <w:rFonts w:hint="eastAsia" w:ascii="宋体" w:hAnsi="宋体" w:eastAsia="宋体" w:cs="宋体"/>
              <w:b w:val="0"/>
              <w:bCs w:val="0"/>
              <w:kern w:val="0"/>
              <w:sz w:val="21"/>
              <w:szCs w:val="21"/>
              <w:lang w:val="en-US" w:eastAsia="zh-CN"/>
            </w:rPr>
            <w:t xml:space="preserve"> </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_Toc3374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0"/>
              <w:sz w:val="21"/>
              <w:szCs w:val="21"/>
            </w:rPr>
            <w:t>历年冠心病中医“热”相关辨证标准</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_Toc3374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8</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4B1C0F25">
          <w:pPr>
            <w:pStyle w:val="9"/>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_Toc4694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0"/>
              <w:sz w:val="21"/>
              <w:szCs w:val="21"/>
            </w:rPr>
            <w:t>附 录 B</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_Toc24872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0"/>
              <w:sz w:val="21"/>
              <w:szCs w:val="21"/>
            </w:rPr>
            <w:t>历年冠心病中医“毒”相关辨证标准</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_Toc24872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9</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41F00632">
          <w:pPr>
            <w:pStyle w:val="9"/>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_Toc10500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0"/>
              <w:sz w:val="21"/>
              <w:szCs w:val="21"/>
            </w:rPr>
            <w:t>附 录 C</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_Toc1769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kern w:val="0"/>
              <w:sz w:val="21"/>
              <w:szCs w:val="21"/>
            </w:rPr>
            <w:t>历年冠心病中医“热毒”相关辨证标准</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_Toc1769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10</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2B34E978">
          <w:pPr>
            <w:pStyle w:val="9"/>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_Toc5498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参 考 文 献</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_Toc5498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11</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14:paraId="67C589CF">
          <w:r>
            <w:rPr>
              <w:rFonts w:hint="eastAsia" w:ascii="宋体" w:hAnsi="宋体" w:eastAsia="宋体" w:cs="宋体"/>
              <w:b w:val="0"/>
              <w:bCs w:val="0"/>
              <w:sz w:val="21"/>
              <w:szCs w:val="21"/>
            </w:rPr>
            <w:fldChar w:fldCharType="end"/>
          </w:r>
        </w:p>
      </w:sdtContent>
    </w:sdt>
    <w:p w14:paraId="4BA05F0F">
      <w:pPr>
        <w:ind w:firstLine="420" w:firstLineChars="200"/>
      </w:pPr>
      <w:r>
        <w:br w:type="page"/>
      </w:r>
    </w:p>
    <w:tbl>
      <w:tblPr>
        <w:tblStyle w:val="12"/>
        <w:tblW w:w="0" w:type="auto"/>
        <w:tblInd w:w="-180" w:type="dxa"/>
        <w:tblLayout w:type="fixed"/>
        <w:tblCellMar>
          <w:top w:w="0" w:type="dxa"/>
          <w:left w:w="0" w:type="dxa"/>
          <w:bottom w:w="0" w:type="dxa"/>
          <w:right w:w="0" w:type="dxa"/>
        </w:tblCellMar>
      </w:tblPr>
      <w:tblGrid>
        <w:gridCol w:w="9356"/>
      </w:tblGrid>
      <w:tr w14:paraId="256F994C">
        <w:tblPrEx>
          <w:tblCellMar>
            <w:top w:w="0" w:type="dxa"/>
            <w:left w:w="0" w:type="dxa"/>
            <w:bottom w:w="0" w:type="dxa"/>
            <w:right w:w="0" w:type="dxa"/>
          </w:tblCellMar>
        </w:tblPrEx>
        <w:trPr>
          <w:trHeight w:val="567" w:hRule="exact"/>
        </w:trPr>
        <w:tc>
          <w:tcPr>
            <w:tcW w:w="9356" w:type="dxa"/>
            <w:vAlign w:val="center"/>
          </w:tcPr>
          <w:p w14:paraId="1AD60B0C">
            <w:pPr>
              <w:jc w:val="center"/>
              <w:rPr>
                <w:rFonts w:eastAsia="华文中宋"/>
              </w:rPr>
            </w:pPr>
          </w:p>
        </w:tc>
      </w:tr>
      <w:tr w14:paraId="741A285D">
        <w:tblPrEx>
          <w:tblCellMar>
            <w:top w:w="0" w:type="dxa"/>
            <w:left w:w="0" w:type="dxa"/>
            <w:bottom w:w="0" w:type="dxa"/>
            <w:right w:w="0" w:type="dxa"/>
          </w:tblCellMar>
        </w:tblPrEx>
        <w:trPr>
          <w:trHeight w:val="360" w:hRule="exact"/>
        </w:trPr>
        <w:tc>
          <w:tcPr>
            <w:tcW w:w="9356" w:type="dxa"/>
            <w:vAlign w:val="center"/>
          </w:tcPr>
          <w:p w14:paraId="6A855116">
            <w:pPr>
              <w:spacing w:line="360" w:lineRule="exact"/>
              <w:jc w:val="center"/>
              <w:outlineLvl w:val="0"/>
              <w:rPr>
                <w:rFonts w:ascii="黑体" w:eastAsia="黑体"/>
              </w:rPr>
            </w:pPr>
            <w:bookmarkStart w:id="1" w:name="_Toc28341"/>
            <w:bookmarkStart w:id="2" w:name="_Toc26522"/>
            <w:bookmarkStart w:id="3" w:name="_Toc4415"/>
            <w:r>
              <w:rPr>
                <w:rFonts w:hint="eastAsia" w:ascii="黑体" w:eastAsia="黑体"/>
                <w:sz w:val="32"/>
              </w:rPr>
              <w:t>前  言</w:t>
            </w:r>
            <w:bookmarkEnd w:id="1"/>
            <w:bookmarkEnd w:id="2"/>
            <w:bookmarkEnd w:id="3"/>
          </w:p>
        </w:tc>
      </w:tr>
      <w:tr w14:paraId="3244E296">
        <w:tblPrEx>
          <w:tblCellMar>
            <w:top w:w="0" w:type="dxa"/>
            <w:left w:w="0" w:type="dxa"/>
            <w:bottom w:w="0" w:type="dxa"/>
            <w:right w:w="0" w:type="dxa"/>
          </w:tblCellMar>
        </w:tblPrEx>
        <w:trPr>
          <w:trHeight w:val="519" w:hRule="exact"/>
        </w:trPr>
        <w:tc>
          <w:tcPr>
            <w:tcW w:w="9356" w:type="dxa"/>
            <w:vAlign w:val="center"/>
          </w:tcPr>
          <w:p w14:paraId="5F0C9E3B">
            <w:pPr>
              <w:jc w:val="center"/>
              <w:rPr>
                <w:rFonts w:eastAsia="华文中宋"/>
              </w:rPr>
            </w:pPr>
          </w:p>
        </w:tc>
      </w:tr>
    </w:tbl>
    <w:p w14:paraId="054B2903">
      <w:pPr>
        <w:pStyle w:val="21"/>
        <w:spacing w:line="360" w:lineRule="exact"/>
        <w:ind w:firstLine="420"/>
        <w:rPr>
          <w:rFonts w:ascii="Times New Roman"/>
        </w:rPr>
      </w:pPr>
      <w:r>
        <w:rPr>
          <w:rFonts w:hint="eastAsia" w:ascii="Times New Roman"/>
        </w:rPr>
        <w:t>本文件参照GB/T1.1—20</w:t>
      </w:r>
      <w:r>
        <w:rPr>
          <w:rFonts w:ascii="Times New Roman"/>
        </w:rPr>
        <w:t>20</w:t>
      </w:r>
      <w:r>
        <w:rPr>
          <w:rFonts w:hint="eastAsia" w:ascii="Times New Roman"/>
        </w:rPr>
        <w:t>《标准化工作导则 第1部分：标准化文件的结构和起草规则》的规定起草。</w:t>
      </w:r>
    </w:p>
    <w:p w14:paraId="6BD6680C">
      <w:pPr>
        <w:pStyle w:val="21"/>
        <w:spacing w:line="360" w:lineRule="exact"/>
        <w:ind w:firstLine="420"/>
        <w:rPr>
          <w:rFonts w:ascii="Times New Roman"/>
        </w:rPr>
      </w:pPr>
      <w:r>
        <w:rPr>
          <w:rFonts w:hint="eastAsia" w:ascii="Times New Roman"/>
        </w:rPr>
        <w:t>请注意本文件的某些内容可能涉及专利。本文件的发布机构不承担识别专利的责任。</w:t>
      </w:r>
    </w:p>
    <w:p w14:paraId="150E95AD">
      <w:pPr>
        <w:pStyle w:val="21"/>
        <w:spacing w:line="360" w:lineRule="exact"/>
        <w:ind w:firstLine="420"/>
        <w:rPr>
          <w:rFonts w:ascii="Times New Roman"/>
        </w:rPr>
      </w:pPr>
      <w:r>
        <w:rPr>
          <w:rFonts w:hint="eastAsia" w:ascii="Times New Roman"/>
        </w:rPr>
        <w:t>本文件由山东中医药大学附属医院提出。</w:t>
      </w:r>
    </w:p>
    <w:p w14:paraId="1ECF6D94">
      <w:pPr>
        <w:pStyle w:val="21"/>
        <w:spacing w:line="360" w:lineRule="exact"/>
        <w:ind w:firstLine="420"/>
        <w:rPr>
          <w:rFonts w:ascii="Times New Roman"/>
        </w:rPr>
      </w:pPr>
      <w:r>
        <w:rPr>
          <w:rFonts w:hint="eastAsia" w:ascii="Times New Roman"/>
        </w:rPr>
        <w:t>本文件由中华中医药学会归口。</w:t>
      </w:r>
    </w:p>
    <w:p w14:paraId="72A436A6">
      <w:pPr>
        <w:pStyle w:val="21"/>
        <w:spacing w:line="360" w:lineRule="exact"/>
        <w:ind w:firstLine="420"/>
        <w:rPr>
          <w:rFonts w:hAnsi="宋体"/>
          <w:szCs w:val="21"/>
        </w:rPr>
      </w:pPr>
      <w:r>
        <w:rPr>
          <w:rFonts w:hint="eastAsia" w:ascii="Times New Roman"/>
        </w:rPr>
        <w:t>本文件起草单位：</w:t>
      </w:r>
      <w:r>
        <w:rPr>
          <w:rFonts w:hint="eastAsia" w:hAnsi="宋体" w:cs="宋体"/>
          <w:iCs/>
          <w:szCs w:val="21"/>
        </w:rPr>
        <w:t>山东中医药大学附属医院</w:t>
      </w:r>
      <w:r>
        <w:rPr>
          <w:rFonts w:hint="eastAsia" w:hAnsi="宋体" w:cs="宋体"/>
          <w:iCs/>
          <w:szCs w:val="21"/>
          <w:lang w:eastAsia="zh-CN"/>
        </w:rPr>
        <w:t>、</w:t>
      </w:r>
      <w:r>
        <w:rPr>
          <w:rFonts w:hint="eastAsia" w:hAnsi="宋体" w:cs="宋体"/>
          <w:iCs/>
          <w:szCs w:val="21"/>
        </w:rPr>
        <w:t>中国中医科学院西苑医院</w:t>
      </w:r>
      <w:r>
        <w:rPr>
          <w:rFonts w:hint="eastAsia" w:hAnsi="宋体" w:cs="宋体"/>
          <w:iCs/>
          <w:szCs w:val="21"/>
          <w:lang w:eastAsia="zh-CN"/>
        </w:rPr>
        <w:t>、</w:t>
      </w:r>
      <w:r>
        <w:rPr>
          <w:rFonts w:hint="eastAsia" w:hAnsi="宋体" w:cs="宋体"/>
          <w:iCs/>
          <w:szCs w:val="21"/>
        </w:rPr>
        <w:t>天津中医药大学第一附属医院</w:t>
      </w:r>
      <w:r>
        <w:rPr>
          <w:rFonts w:hint="eastAsia" w:hAnsi="宋体" w:cs="宋体"/>
          <w:iCs/>
          <w:szCs w:val="21"/>
          <w:lang w:eastAsia="zh-CN"/>
        </w:rPr>
        <w:t>、</w:t>
      </w:r>
      <w:r>
        <w:rPr>
          <w:rFonts w:hint="eastAsia" w:hAnsi="宋体" w:cs="宋体"/>
          <w:iCs/>
          <w:szCs w:val="21"/>
        </w:rPr>
        <w:t>中国中医科学院广安门医院</w:t>
      </w:r>
      <w:r>
        <w:rPr>
          <w:rFonts w:hint="eastAsia" w:hAnsi="宋体" w:cs="宋体"/>
          <w:iCs/>
          <w:szCs w:val="21"/>
          <w:lang w:eastAsia="zh-CN"/>
        </w:rPr>
        <w:t>、</w:t>
      </w:r>
      <w:r>
        <w:rPr>
          <w:rFonts w:hint="eastAsia" w:hAnsi="宋体" w:cs="宋体"/>
          <w:iCs/>
          <w:szCs w:val="21"/>
        </w:rPr>
        <w:t>河南中医学院第一附属医院</w:t>
      </w:r>
      <w:r>
        <w:rPr>
          <w:rFonts w:hint="eastAsia" w:hAnsi="宋体" w:cs="宋体"/>
          <w:iCs/>
          <w:szCs w:val="21"/>
          <w:lang w:eastAsia="zh-CN"/>
        </w:rPr>
        <w:t>、</w:t>
      </w:r>
      <w:r>
        <w:rPr>
          <w:rFonts w:hint="eastAsia" w:hAnsi="宋体" w:cs="宋体"/>
          <w:iCs/>
          <w:szCs w:val="21"/>
          <w:lang w:val="en-US" w:eastAsia="zh-CN"/>
        </w:rPr>
        <w:t>中国医学科学院阜外医院、</w:t>
      </w:r>
      <w:r>
        <w:rPr>
          <w:rFonts w:hint="eastAsia" w:hAnsi="宋体"/>
          <w:szCs w:val="21"/>
        </w:rPr>
        <w:t>辽宁中医药大学附属医院</w:t>
      </w:r>
      <w:r>
        <w:rPr>
          <w:rFonts w:hint="eastAsia" w:hAnsi="宋体" w:cs="宋体"/>
          <w:iCs/>
          <w:szCs w:val="21"/>
          <w:lang w:eastAsia="zh-CN"/>
        </w:rPr>
        <w:t>、</w:t>
      </w:r>
      <w:r>
        <w:rPr>
          <w:rFonts w:hint="eastAsia" w:hAnsi="宋体" w:cs="宋体"/>
          <w:iCs/>
          <w:szCs w:val="21"/>
        </w:rPr>
        <w:t>中国中医科学院</w:t>
      </w:r>
      <w:r>
        <w:rPr>
          <w:rFonts w:hint="eastAsia" w:hAnsi="宋体" w:cs="宋体"/>
          <w:iCs/>
          <w:szCs w:val="21"/>
          <w:lang w:eastAsia="zh-CN"/>
        </w:rPr>
        <w:t>、</w:t>
      </w:r>
      <w:r>
        <w:rPr>
          <w:rFonts w:hint="eastAsia" w:hAnsi="宋体"/>
          <w:szCs w:val="21"/>
        </w:rPr>
        <w:t>北京中医药大学</w:t>
      </w:r>
      <w:r>
        <w:rPr>
          <w:rFonts w:hint="eastAsia" w:hAnsi="宋体"/>
          <w:szCs w:val="21"/>
          <w:lang w:eastAsia="zh-CN"/>
        </w:rPr>
        <w:t>、</w:t>
      </w:r>
      <w:r>
        <w:rPr>
          <w:rFonts w:hint="eastAsia"/>
        </w:rPr>
        <w:t>上海</w:t>
      </w:r>
      <w:r>
        <w:t>中医药大学</w:t>
      </w:r>
      <w:r>
        <w:rPr>
          <w:rFonts w:hint="eastAsia" w:hAnsi="宋体"/>
          <w:szCs w:val="21"/>
          <w:lang w:eastAsia="zh-CN"/>
        </w:rPr>
        <w:t>、</w:t>
      </w:r>
      <w:r>
        <w:rPr>
          <w:rFonts w:hint="eastAsia" w:hAnsi="宋体"/>
          <w:szCs w:val="21"/>
        </w:rPr>
        <w:t>广西中医药大学</w:t>
      </w:r>
      <w:r>
        <w:rPr>
          <w:rFonts w:hint="eastAsia" w:hAnsi="宋体"/>
          <w:szCs w:val="21"/>
          <w:lang w:eastAsia="zh-CN"/>
        </w:rPr>
        <w:t>、</w:t>
      </w:r>
      <w:r>
        <w:rPr>
          <w:rFonts w:hint="eastAsia" w:hAnsi="宋体"/>
          <w:szCs w:val="21"/>
        </w:rPr>
        <w:t>福建中医药大学</w:t>
      </w:r>
      <w:r>
        <w:rPr>
          <w:rFonts w:hint="eastAsia" w:hAnsi="宋体"/>
          <w:szCs w:val="21"/>
          <w:lang w:eastAsia="zh-CN"/>
        </w:rPr>
        <w:t>、</w:t>
      </w:r>
      <w:r>
        <w:rPr>
          <w:rFonts w:hint="eastAsia" w:hAnsi="宋体" w:cs="宋体"/>
          <w:iCs/>
          <w:szCs w:val="21"/>
        </w:rPr>
        <w:t>陕西省中医院</w:t>
      </w:r>
      <w:r>
        <w:rPr>
          <w:rFonts w:hint="eastAsia" w:hAnsi="宋体" w:cs="宋体"/>
          <w:iCs/>
          <w:szCs w:val="21"/>
          <w:lang w:eastAsia="zh-CN"/>
        </w:rPr>
        <w:t>、</w:t>
      </w:r>
      <w:r>
        <w:rPr>
          <w:rFonts w:hAnsi="宋体"/>
          <w:szCs w:val="21"/>
        </w:rPr>
        <w:t>湖南中医药大学第一附属医院</w:t>
      </w:r>
      <w:r>
        <w:rPr>
          <w:rFonts w:hint="eastAsia" w:hAnsi="宋体"/>
          <w:szCs w:val="21"/>
          <w:lang w:eastAsia="zh-CN"/>
        </w:rPr>
        <w:t>、</w:t>
      </w:r>
      <w:r>
        <w:fldChar w:fldCharType="begin"/>
      </w:r>
      <w:r>
        <w:instrText xml:space="preserve"> HYPERLINK "http://www.baidu.com/link?url=dyowi6SRbYx4L-bWb0MqCyYWd1piQUBq2JLQECwYvBZl5drel0cQmxz-_CaURUjy" \t "https://www.baidu.com/_blank" </w:instrText>
      </w:r>
      <w:r>
        <w:fldChar w:fldCharType="separate"/>
      </w:r>
      <w:r>
        <w:rPr>
          <w:rFonts w:hAnsi="宋体"/>
          <w:szCs w:val="21"/>
        </w:rPr>
        <w:t>甘肃中医药大学附属医院</w:t>
      </w:r>
      <w:r>
        <w:rPr>
          <w:rFonts w:hAnsi="宋体"/>
          <w:szCs w:val="21"/>
        </w:rPr>
        <w:fldChar w:fldCharType="end"/>
      </w:r>
      <w:r>
        <w:rPr>
          <w:rFonts w:hint="eastAsia" w:hAnsi="宋体"/>
          <w:szCs w:val="21"/>
          <w:lang w:eastAsia="zh-CN"/>
        </w:rPr>
        <w:t>、</w:t>
      </w:r>
      <w:r>
        <w:rPr>
          <w:rFonts w:hint="eastAsia" w:hAnsi="宋体"/>
          <w:szCs w:val="21"/>
        </w:rPr>
        <w:t>新疆医科大学附属中医医院</w:t>
      </w:r>
      <w:r>
        <w:rPr>
          <w:rFonts w:hint="eastAsia" w:hAnsi="宋体"/>
          <w:szCs w:val="21"/>
          <w:lang w:eastAsia="zh-CN"/>
        </w:rPr>
        <w:t>、</w:t>
      </w:r>
      <w:r>
        <w:rPr>
          <w:rFonts w:hint="eastAsia" w:hAnsi="宋体"/>
          <w:szCs w:val="21"/>
        </w:rPr>
        <w:t>临沂市中心医院。</w:t>
      </w:r>
    </w:p>
    <w:p w14:paraId="00C07D55">
      <w:pPr>
        <w:pStyle w:val="21"/>
        <w:spacing w:line="360" w:lineRule="exact"/>
        <w:ind w:firstLine="420"/>
        <w:rPr>
          <w:rFonts w:ascii="Times New Roman"/>
        </w:rPr>
      </w:pPr>
      <w:r>
        <w:rPr>
          <w:rFonts w:hint="eastAsia" w:ascii="Times New Roman"/>
        </w:rPr>
        <w:t>本文件主要起草人：李晓、史大卓、毛静远、胡元会、朱明军。</w:t>
      </w:r>
    </w:p>
    <w:p w14:paraId="3D0C8A88">
      <w:pPr>
        <w:pStyle w:val="21"/>
        <w:spacing w:line="360" w:lineRule="exact"/>
        <w:ind w:firstLine="420"/>
        <w:rPr>
          <w:rFonts w:hint="eastAsia" w:hAnsi="宋体" w:eastAsia="宋体"/>
          <w:lang w:eastAsia="zh-CN"/>
        </w:rPr>
      </w:pPr>
      <w:r>
        <w:rPr>
          <w:rFonts w:hint="eastAsia" w:ascii="Times New Roman"/>
        </w:rPr>
        <w:t>本文件其它起草人：薛一涛、邓悦、张明雪、</w:t>
      </w:r>
      <w:bookmarkStart w:id="4" w:name="OLE_LINK6"/>
      <w:bookmarkStart w:id="5" w:name="OLE_LINK5"/>
      <w:r>
        <w:rPr>
          <w:rFonts w:hint="eastAsia" w:ascii="Times New Roman"/>
        </w:rPr>
        <w:t>岳桂华、</w:t>
      </w:r>
      <w:r>
        <w:rPr>
          <w:rFonts w:hint="eastAsia" w:ascii="Times New Roman"/>
          <w:lang w:val="en-US" w:eastAsia="zh-CN"/>
        </w:rPr>
        <w:t>吴永健、</w:t>
      </w:r>
      <w:r>
        <w:rPr>
          <w:rFonts w:hint="eastAsia" w:ascii="Times New Roman"/>
        </w:rPr>
        <w:t>梁春、郭淑贞、吴美平、安东青、徐浩</w:t>
      </w:r>
      <w:bookmarkStart w:id="6" w:name="OLE_LINK3"/>
      <w:bookmarkStart w:id="7" w:name="OLE_LINK4"/>
      <w:r>
        <w:rPr>
          <w:rFonts w:hint="eastAsia" w:ascii="Times New Roman"/>
        </w:rPr>
        <w:t>、高蕊、赵燕、何建成、林雪娟、</w:t>
      </w:r>
      <w:bookmarkEnd w:id="6"/>
      <w:bookmarkEnd w:id="7"/>
      <w:r>
        <w:rPr>
          <w:rFonts w:hint="eastAsia" w:ascii="Times New Roman"/>
        </w:rPr>
        <w:t>付长庚、刘玥、谢雁鸣、田相同、林谦、李军、李应东、彭军、刘建和、</w:t>
      </w:r>
      <w:r>
        <w:rPr>
          <w:rFonts w:hint="eastAsia" w:ascii="Times New Roman"/>
          <w:lang w:val="en-US" w:eastAsia="zh-CN"/>
        </w:rPr>
        <w:t>赵明君、</w:t>
      </w:r>
      <w:r>
        <w:rPr>
          <w:rFonts w:hint="eastAsia" w:ascii="Times New Roman"/>
        </w:rPr>
        <w:t>黎元元</w:t>
      </w:r>
      <w:bookmarkEnd w:id="4"/>
      <w:bookmarkEnd w:id="5"/>
      <w:r>
        <w:rPr>
          <w:rFonts w:hint="eastAsia" w:ascii="Times New Roman"/>
        </w:rPr>
        <w:t>、杨金龙、</w:t>
      </w:r>
      <w:r>
        <w:rPr>
          <w:rFonts w:hint="eastAsia" w:ascii="Times New Roman"/>
          <w:lang w:val="en-US" w:eastAsia="zh-CN"/>
        </w:rPr>
        <w:t>何吉富、</w:t>
      </w:r>
      <w:r>
        <w:rPr>
          <w:rFonts w:hint="eastAsia" w:ascii="Times New Roman"/>
        </w:rPr>
        <w:t>姜新凤</w:t>
      </w:r>
      <w:r>
        <w:rPr>
          <w:rFonts w:hint="eastAsia" w:ascii="Times New Roman"/>
          <w:lang w:eastAsia="zh-CN"/>
        </w:rPr>
        <w:t>。</w:t>
      </w:r>
    </w:p>
    <w:p w14:paraId="68AEB3D4">
      <w:pPr>
        <w:pStyle w:val="21"/>
        <w:spacing w:line="360" w:lineRule="exact"/>
        <w:ind w:firstLine="420"/>
        <w:rPr>
          <w:rFonts w:ascii="Times New Roman"/>
        </w:rPr>
      </w:pPr>
      <w:r>
        <w:rPr>
          <w:rFonts w:hint="eastAsia" w:ascii="Times New Roman"/>
        </w:rPr>
        <w:t>学术顾问：丁书文。</w:t>
      </w:r>
    </w:p>
    <w:p w14:paraId="24D109AD">
      <w:pPr>
        <w:pStyle w:val="21"/>
        <w:ind w:firstLine="420"/>
        <w:rPr>
          <w:rFonts w:hAnsi="宋体"/>
        </w:rPr>
      </w:pPr>
    </w:p>
    <w:p w14:paraId="0ED694F9">
      <w:pPr>
        <w:pStyle w:val="21"/>
        <w:ind w:firstLine="420"/>
        <w:rPr>
          <w:rFonts w:hAnsi="宋体"/>
        </w:rPr>
      </w:pPr>
    </w:p>
    <w:p w14:paraId="4CFB6F6A">
      <w:pPr>
        <w:pStyle w:val="21"/>
        <w:ind w:firstLine="420"/>
        <w:rPr>
          <w:rFonts w:hAnsi="宋体"/>
        </w:rPr>
      </w:pPr>
    </w:p>
    <w:p w14:paraId="2CA3AE28">
      <w:pPr>
        <w:pStyle w:val="21"/>
        <w:ind w:firstLine="420"/>
        <w:rPr>
          <w:rFonts w:hAnsi="宋体"/>
        </w:rPr>
      </w:pPr>
    </w:p>
    <w:p w14:paraId="1AA76B97">
      <w:pPr>
        <w:pStyle w:val="21"/>
        <w:ind w:firstLine="420"/>
      </w:pPr>
      <w:r>
        <w:br w:type="page"/>
      </w:r>
    </w:p>
    <w:p w14:paraId="4BC6D928">
      <w:pPr>
        <w:pStyle w:val="28"/>
        <w:rPr>
          <w:rFonts w:hAnsi="宋体"/>
          <w:iCs/>
          <w:szCs w:val="21"/>
        </w:rPr>
      </w:pPr>
      <w:bookmarkStart w:id="8" w:name="_Toc19319"/>
      <w:bookmarkStart w:id="9" w:name="_Toc510534526"/>
      <w:bookmarkStart w:id="10" w:name="_Toc23714"/>
      <w:bookmarkStart w:id="11" w:name="_Toc509933847"/>
      <w:bookmarkStart w:id="12" w:name="_Toc436205034"/>
      <w:bookmarkStart w:id="13" w:name="_Toc12746"/>
      <w:r>
        <w:rPr>
          <w:rFonts w:hint="eastAsia"/>
        </w:rPr>
        <w:t>引</w:t>
      </w:r>
      <w:bookmarkStart w:id="14" w:name="BKYY"/>
      <w:r>
        <w:t> </w:t>
      </w:r>
      <w:r>
        <w:rPr>
          <w:rFonts w:hint="eastAsia"/>
        </w:rPr>
        <w:t>言</w:t>
      </w:r>
      <w:bookmarkEnd w:id="8"/>
      <w:bookmarkEnd w:id="9"/>
      <w:bookmarkEnd w:id="10"/>
      <w:bookmarkEnd w:id="11"/>
      <w:bookmarkEnd w:id="12"/>
      <w:bookmarkEnd w:id="13"/>
      <w:bookmarkEnd w:id="14"/>
    </w:p>
    <w:p w14:paraId="3CBF6BFC">
      <w:pPr>
        <w:pStyle w:val="21"/>
        <w:spacing w:line="360" w:lineRule="exact"/>
        <w:ind w:firstLine="0" w:firstLineChars="0"/>
        <w:rPr>
          <w:rFonts w:hAnsi="宋体"/>
          <w:i/>
          <w:color w:val="0070C0"/>
          <w:szCs w:val="21"/>
        </w:rPr>
      </w:pPr>
    </w:p>
    <w:p w14:paraId="3CFEB18A">
      <w:pPr>
        <w:widowControl/>
        <w:rPr>
          <w:rFonts w:ascii="Times New Roman" w:hAnsi="Times New Roman" w:eastAsia="黑体" w:cs="Times New Roman"/>
          <w:i/>
          <w:color w:val="0070C0"/>
          <w:kern w:val="0"/>
          <w:sz w:val="20"/>
          <w:szCs w:val="21"/>
        </w:rPr>
      </w:pPr>
    </w:p>
    <w:p w14:paraId="413F27CF">
      <w:pPr>
        <w:spacing w:line="360" w:lineRule="auto"/>
        <w:ind w:firstLine="420" w:firstLineChars="200"/>
        <w:jc w:val="left"/>
        <w:rPr>
          <w:rFonts w:ascii="宋体" w:hAnsi="宋体" w:eastAsia="宋体" w:cs="宋体"/>
          <w:szCs w:val="21"/>
        </w:rPr>
      </w:pPr>
      <w:r>
        <w:rPr>
          <w:rFonts w:hint="eastAsia" w:ascii="宋体" w:hAnsi="宋体" w:eastAsia="宋体" w:cs="宋体"/>
          <w:szCs w:val="21"/>
        </w:rPr>
        <w:t>当前心血管疾病（CVD）仍然是影响我国居民健康的最大威胁，是导致死亡的首位疾病。2023年流行病学显示，我国居民冠状动脉粥样硬化性心脏病（coronary atherosclerotic heart disease，以下简称冠心病）患病率为758/10万，死亡率为</w:t>
      </w:r>
      <w:r>
        <w:rPr>
          <w:rFonts w:hint="eastAsia" w:ascii="宋体" w:hAnsi="宋体" w:eastAsia="宋体" w:cs="宋体"/>
          <w:color w:val="231F20"/>
          <w:kern w:val="0"/>
          <w:szCs w:val="21"/>
        </w:rPr>
        <w:t>135.08/10万，且</w:t>
      </w:r>
      <w:r>
        <w:rPr>
          <w:rFonts w:hint="eastAsia" w:ascii="宋体" w:hAnsi="宋体" w:eastAsia="宋体" w:cs="宋体"/>
          <w:szCs w:val="21"/>
        </w:rPr>
        <w:t>呈持续上升态势</w:t>
      </w:r>
      <w:r>
        <w:rPr>
          <w:rFonts w:hint="eastAsia" w:ascii="宋体" w:hAnsi="宋体" w:eastAsia="宋体" w:cs="宋体"/>
          <w:szCs w:val="21"/>
          <w:vertAlign w:val="superscript"/>
        </w:rPr>
        <w:t>[1]</w:t>
      </w:r>
      <w:r>
        <w:rPr>
          <w:rFonts w:hint="eastAsia" w:ascii="宋体" w:hAnsi="宋体" w:eastAsia="宋体" w:cs="宋体"/>
          <w:szCs w:val="21"/>
        </w:rPr>
        <w:t>。《健康中国“2030”规划纲要》提出重大慢性疾病（癌症、脑卒中、冠心病）死亡率降低30%的目标，强调要充分发挥中医药独特优势，提高中医药服务能力</w:t>
      </w:r>
      <w:r>
        <w:rPr>
          <w:rFonts w:hint="eastAsia" w:ascii="宋体" w:hAnsi="宋体" w:eastAsia="宋体" w:cs="宋体"/>
          <w:szCs w:val="21"/>
          <w:vertAlign w:val="superscript"/>
        </w:rPr>
        <w:t>[2]</w:t>
      </w:r>
      <w:r>
        <w:rPr>
          <w:rFonts w:hint="eastAsia" w:ascii="宋体" w:hAnsi="宋体" w:eastAsia="宋体" w:cs="宋体"/>
          <w:szCs w:val="21"/>
        </w:rPr>
        <w:t>。因此，如何降低冠心病患病率、死亡率是当前面临的首要任务。</w:t>
      </w:r>
    </w:p>
    <w:p w14:paraId="3AC259FB">
      <w:pPr>
        <w:pStyle w:val="21"/>
        <w:spacing w:line="360" w:lineRule="auto"/>
        <w:ind w:firstLine="420"/>
        <w:rPr>
          <w:szCs w:val="21"/>
        </w:rPr>
      </w:pPr>
      <w:r>
        <w:rPr>
          <w:rFonts w:hint="eastAsia"/>
          <w:szCs w:val="21"/>
        </w:rPr>
        <w:t>当前冠脉介入诊疗技术已趋于成熟，但冠心病发病率、死亡率仍逐年升高</w:t>
      </w:r>
      <w:r>
        <w:rPr>
          <w:rFonts w:hint="eastAsia"/>
          <w:szCs w:val="21"/>
          <w:vertAlign w:val="superscript"/>
        </w:rPr>
        <w:t>[3]</w:t>
      </w:r>
      <w:r>
        <w:rPr>
          <w:rFonts w:hint="eastAsia"/>
          <w:szCs w:val="21"/>
        </w:rPr>
        <w:t>。目前中医药多从本虚（气血阴阳亏虚）标实（气滞、寒凝、痰浊、血瘀）辨治冠心病</w:t>
      </w:r>
      <w:r>
        <w:rPr>
          <w:rFonts w:hint="eastAsia"/>
          <w:szCs w:val="21"/>
          <w:vertAlign w:val="superscript"/>
        </w:rPr>
        <w:t>[4-5]</w:t>
      </w:r>
      <w:r>
        <w:rPr>
          <w:rFonts w:hint="eastAsia"/>
          <w:szCs w:val="21"/>
        </w:rPr>
        <w:t>。随着人民生活水平提高、工作居住环境及生活习惯的变化，高脂、高糖摄入增加，高血压病、糖尿病、肥胖症、高脂血症患者增多，湿热、火热体质人群逐渐增多，导致冠心病证型及临床特征发生改变，瘀滞热毒实证增多，而虚寒证明显减少</w:t>
      </w:r>
      <w:r>
        <w:rPr>
          <w:rFonts w:hint="eastAsia"/>
          <w:szCs w:val="21"/>
          <w:vertAlign w:val="superscript"/>
        </w:rPr>
        <w:t>[6]</w:t>
      </w:r>
      <w:r>
        <w:rPr>
          <w:rFonts w:hint="eastAsia"/>
          <w:szCs w:val="21"/>
        </w:rPr>
        <w:t>。既往从气滞、血瘀、痰浊、寒凝论治冠心病的理法方药已不能满足临床需求，亟需探索新理论、新治法、新方药。</w:t>
      </w:r>
    </w:p>
    <w:p w14:paraId="26CABC4B">
      <w:pPr>
        <w:pStyle w:val="21"/>
        <w:spacing w:line="360" w:lineRule="auto"/>
        <w:ind w:firstLine="420"/>
        <w:rPr>
          <w:szCs w:val="21"/>
        </w:rPr>
      </w:pPr>
      <w:r>
        <w:rPr>
          <w:rFonts w:hint="eastAsia"/>
          <w:szCs w:val="21"/>
        </w:rPr>
        <w:t>随着诊疗技术的发展，急危重症及反复发作的冠心病，成为当今治疗的难点和重点，而目前的常规辨证分型难以体现冠心病的危重、复杂程度。全国名老中医丁书文教授总结多年临床经验及实验研究，提出冠心病热毒理论，认为元气亏虚为热毒之源，痰浊、瘀血是冠心病重要的病理产物，热毒伤络是冠心病缠绵难愈、凶险易变的关键，提出“益气活血解毒”治疗大法</w:t>
      </w:r>
      <w:r>
        <w:rPr>
          <w:rFonts w:hint="eastAsia"/>
          <w:szCs w:val="21"/>
          <w:vertAlign w:val="superscript"/>
        </w:rPr>
        <w:t>[8]</w:t>
      </w:r>
      <w:r>
        <w:rPr>
          <w:rFonts w:hint="eastAsia"/>
          <w:szCs w:val="21"/>
        </w:rPr>
        <w:t>，提高了中医药治疗难治性心绞痛疗效</w:t>
      </w:r>
      <w:r>
        <w:rPr>
          <w:rFonts w:hint="eastAsia"/>
          <w:szCs w:val="21"/>
          <w:vertAlign w:val="superscript"/>
        </w:rPr>
        <w:t>[9-12]</w:t>
      </w:r>
      <w:r>
        <w:rPr>
          <w:rFonts w:hint="eastAsia"/>
          <w:szCs w:val="21"/>
        </w:rPr>
        <w:t>。</w:t>
      </w:r>
    </w:p>
    <w:p w14:paraId="4C916E20">
      <w:pPr>
        <w:pStyle w:val="21"/>
        <w:spacing w:line="360" w:lineRule="auto"/>
        <w:ind w:firstLine="420"/>
        <w:rPr>
          <w:rFonts w:hAnsi="宋体" w:cs="宋体"/>
          <w:sz w:val="24"/>
          <w:szCs w:val="24"/>
        </w:rPr>
      </w:pPr>
      <w:r>
        <w:rPr>
          <w:rFonts w:hint="eastAsia"/>
          <w:szCs w:val="21"/>
        </w:rPr>
        <w:t>当前冠心病热毒证的临床辨识尚未形成规范，及时辨识辨治这一较为危重的证型，有助于中医药治疗水平提高，而从目前的痰浊、血瘀证型辨治难以体现冠心病的危重、复杂程度。</w:t>
      </w:r>
      <w:r>
        <w:rPr>
          <w:rFonts w:hAnsi="宋体" w:cs="宋体"/>
          <w:szCs w:val="21"/>
        </w:rPr>
        <w:t>为落实《中医药标准化中长期发展规划纲要（2011-2020）》提出的“全面推进中医药标准体系建设”的重要任务，充分发挥中医药防治心血管疾病的优势，本</w:t>
      </w:r>
      <w:r>
        <w:rPr>
          <w:rFonts w:hint="eastAsia" w:hAnsi="宋体" w:cs="宋体"/>
          <w:szCs w:val="21"/>
        </w:rPr>
        <w:t>共识</w:t>
      </w:r>
      <w:r>
        <w:rPr>
          <w:rFonts w:hAnsi="宋体" w:cs="宋体"/>
          <w:szCs w:val="21"/>
        </w:rPr>
        <w:t>在系统回顾既往冠心病热</w:t>
      </w:r>
      <w:r>
        <w:rPr>
          <w:rFonts w:hint="eastAsia" w:hAnsi="宋体" w:cs="宋体"/>
          <w:szCs w:val="21"/>
        </w:rPr>
        <w:t>毒</w:t>
      </w:r>
      <w:r>
        <w:rPr>
          <w:rFonts w:hAnsi="宋体" w:cs="宋体"/>
          <w:szCs w:val="21"/>
        </w:rPr>
        <w:t>相关证</w:t>
      </w:r>
      <w:r>
        <w:rPr>
          <w:rFonts w:hint="eastAsia" w:hAnsi="宋体" w:cs="宋体"/>
          <w:szCs w:val="21"/>
        </w:rPr>
        <w:t>诊疗文献</w:t>
      </w:r>
      <w:r>
        <w:rPr>
          <w:rFonts w:hint="eastAsia" w:hAnsi="宋体" w:cs="宋体"/>
          <w:szCs w:val="21"/>
          <w:vertAlign w:val="superscript"/>
        </w:rPr>
        <w:t>[13-35]</w:t>
      </w:r>
      <w:r>
        <w:rPr>
          <w:rFonts w:hAnsi="宋体" w:cs="宋体"/>
          <w:szCs w:val="21"/>
        </w:rPr>
        <w:t>的基础上，开展多轮研讨与论证，确立了冠心病</w:t>
      </w:r>
      <w:r>
        <w:rPr>
          <w:rFonts w:hint="eastAsia" w:hAnsi="宋体" w:cs="宋体"/>
          <w:szCs w:val="21"/>
        </w:rPr>
        <w:t>热毒证</w:t>
      </w:r>
      <w:r>
        <w:rPr>
          <w:rFonts w:hAnsi="宋体" w:cs="宋体"/>
          <w:szCs w:val="21"/>
        </w:rPr>
        <w:t>临床诊断条目及其权重，旨在制定冠心病</w:t>
      </w:r>
      <w:r>
        <w:rPr>
          <w:rFonts w:hint="eastAsia" w:hAnsi="宋体" w:cs="宋体"/>
          <w:szCs w:val="21"/>
        </w:rPr>
        <w:t>热毒</w:t>
      </w:r>
      <w:r>
        <w:rPr>
          <w:rFonts w:hAnsi="宋体" w:cs="宋体"/>
          <w:szCs w:val="21"/>
        </w:rPr>
        <w:t>证相关诊断标准，为冠心病</w:t>
      </w:r>
      <w:r>
        <w:rPr>
          <w:rFonts w:hint="eastAsia" w:hAnsi="宋体" w:cs="宋体"/>
          <w:szCs w:val="21"/>
        </w:rPr>
        <w:t>热毒</w:t>
      </w:r>
      <w:r>
        <w:rPr>
          <w:rFonts w:hAnsi="宋体" w:cs="宋体"/>
          <w:szCs w:val="21"/>
        </w:rPr>
        <w:t xml:space="preserve">证的临床诊疗和科学研究提供指导。 </w:t>
      </w:r>
    </w:p>
    <w:p w14:paraId="7DBF5741">
      <w:pPr>
        <w:widowControl/>
        <w:rPr>
          <w:rFonts w:ascii="Times New Roman" w:hAnsi="Times New Roman" w:eastAsia="黑体" w:cs="Times New Roman"/>
          <w:i/>
          <w:color w:val="0070C0"/>
          <w:kern w:val="0"/>
          <w:sz w:val="20"/>
          <w:szCs w:val="21"/>
        </w:rPr>
      </w:pPr>
    </w:p>
    <w:p w14:paraId="75F63447">
      <w:pPr>
        <w:widowControl/>
        <w:rPr>
          <w:rFonts w:ascii="Times New Roman" w:hAnsi="Times New Roman" w:eastAsia="黑体" w:cs="Times New Roman"/>
          <w:i/>
          <w:color w:val="0070C0"/>
          <w:kern w:val="0"/>
          <w:sz w:val="20"/>
          <w:szCs w:val="21"/>
        </w:rPr>
        <w:sectPr>
          <w:headerReference r:id="rId4" w:type="default"/>
          <w:footerReference r:id="rId5" w:type="default"/>
          <w:pgSz w:w="11906" w:h="16838"/>
          <w:pgMar w:top="1440" w:right="1797" w:bottom="1440" w:left="1797" w:header="1418" w:footer="1134" w:gutter="0"/>
          <w:pgNumType w:start="1"/>
          <w:cols w:space="720" w:num="1"/>
          <w:formProt w:val="0"/>
          <w:docGrid w:linePitch="312" w:charSpace="0"/>
        </w:sectPr>
      </w:pPr>
      <w:r>
        <w:rPr>
          <w:rFonts w:ascii="Times New Roman" w:hAnsi="Times New Roman" w:eastAsia="黑体" w:cs="Times New Roman"/>
          <w:i/>
          <w:color w:val="0070C0"/>
          <w:kern w:val="0"/>
          <w:sz w:val="20"/>
          <w:szCs w:val="21"/>
        </w:rPr>
        <w:br w:type="page"/>
      </w:r>
    </w:p>
    <w:tbl>
      <w:tblPr>
        <w:tblStyle w:val="12"/>
        <w:tblW w:w="0" w:type="auto"/>
        <w:tblInd w:w="0" w:type="dxa"/>
        <w:tblLayout w:type="fixed"/>
        <w:tblCellMar>
          <w:top w:w="0" w:type="dxa"/>
          <w:left w:w="0" w:type="dxa"/>
          <w:bottom w:w="0" w:type="dxa"/>
          <w:right w:w="0" w:type="dxa"/>
        </w:tblCellMar>
      </w:tblPr>
      <w:tblGrid>
        <w:gridCol w:w="9356"/>
      </w:tblGrid>
      <w:tr w14:paraId="3C545B6E">
        <w:tblPrEx>
          <w:tblCellMar>
            <w:top w:w="0" w:type="dxa"/>
            <w:left w:w="0" w:type="dxa"/>
            <w:bottom w:w="0" w:type="dxa"/>
            <w:right w:w="0" w:type="dxa"/>
          </w:tblCellMar>
        </w:tblPrEx>
        <w:trPr>
          <w:trHeight w:val="360" w:hRule="exact"/>
        </w:trPr>
        <w:tc>
          <w:tcPr>
            <w:tcW w:w="9356" w:type="dxa"/>
            <w:vAlign w:val="center"/>
          </w:tcPr>
          <w:p w14:paraId="3DEBE7FD">
            <w:pPr>
              <w:jc w:val="center"/>
              <w:rPr>
                <w:sz w:val="30"/>
                <w:szCs w:val="30"/>
              </w:rPr>
            </w:pPr>
            <w:r>
              <w:rPr>
                <w:rFonts w:hint="eastAsia" w:ascii="黑体" w:hAnsi="黑体" w:eastAsia="黑体" w:cs="Times New Roman"/>
                <w:color w:val="000000"/>
                <w:sz w:val="30"/>
                <w:szCs w:val="30"/>
              </w:rPr>
              <w:t>冠状动脉粥样硬化性心脏病热毒证诊断专家共识</w:t>
            </w:r>
          </w:p>
          <w:p w14:paraId="4F7484F7">
            <w:pPr>
              <w:jc w:val="center"/>
              <w:rPr>
                <w:sz w:val="30"/>
                <w:szCs w:val="30"/>
              </w:rPr>
            </w:pPr>
          </w:p>
          <w:p w14:paraId="227E6F82">
            <w:pPr>
              <w:jc w:val="center"/>
              <w:rPr>
                <w:sz w:val="30"/>
                <w:szCs w:val="30"/>
              </w:rPr>
            </w:pPr>
          </w:p>
          <w:p w14:paraId="05B277CA">
            <w:pPr>
              <w:jc w:val="center"/>
              <w:rPr>
                <w:sz w:val="30"/>
                <w:szCs w:val="30"/>
              </w:rPr>
            </w:pPr>
          </w:p>
          <w:p w14:paraId="46C780BE">
            <w:pPr>
              <w:jc w:val="center"/>
              <w:rPr>
                <w:sz w:val="30"/>
                <w:szCs w:val="30"/>
              </w:rPr>
            </w:pPr>
          </w:p>
          <w:p w14:paraId="53C10FE2">
            <w:pPr>
              <w:jc w:val="center"/>
              <w:rPr>
                <w:sz w:val="30"/>
                <w:szCs w:val="30"/>
              </w:rPr>
            </w:pPr>
          </w:p>
          <w:p w14:paraId="15324594">
            <w:pPr>
              <w:jc w:val="center"/>
              <w:rPr>
                <w:sz w:val="30"/>
                <w:szCs w:val="30"/>
              </w:rPr>
            </w:pPr>
          </w:p>
          <w:p w14:paraId="405E4C96">
            <w:pPr>
              <w:jc w:val="center"/>
              <w:rPr>
                <w:sz w:val="30"/>
                <w:szCs w:val="30"/>
              </w:rPr>
            </w:pPr>
          </w:p>
          <w:p w14:paraId="291A083F">
            <w:pPr>
              <w:jc w:val="center"/>
              <w:rPr>
                <w:sz w:val="30"/>
                <w:szCs w:val="30"/>
              </w:rPr>
            </w:pPr>
          </w:p>
          <w:p w14:paraId="6080D8F8">
            <w:pPr>
              <w:jc w:val="center"/>
              <w:rPr>
                <w:sz w:val="30"/>
                <w:szCs w:val="30"/>
              </w:rPr>
            </w:pPr>
          </w:p>
          <w:p w14:paraId="2C698FE4">
            <w:pPr>
              <w:spacing w:line="360" w:lineRule="exact"/>
              <w:jc w:val="center"/>
              <w:rPr>
                <w:rFonts w:ascii="黑体" w:eastAsia="黑体"/>
                <w:sz w:val="30"/>
                <w:szCs w:val="30"/>
              </w:rPr>
            </w:pPr>
          </w:p>
        </w:tc>
      </w:tr>
      <w:tr w14:paraId="08E74DBC">
        <w:tblPrEx>
          <w:tblCellMar>
            <w:top w:w="0" w:type="dxa"/>
            <w:left w:w="0" w:type="dxa"/>
            <w:bottom w:w="0" w:type="dxa"/>
            <w:right w:w="0" w:type="dxa"/>
          </w:tblCellMar>
        </w:tblPrEx>
        <w:trPr>
          <w:trHeight w:val="316" w:hRule="exact"/>
        </w:trPr>
        <w:tc>
          <w:tcPr>
            <w:tcW w:w="9356" w:type="dxa"/>
          </w:tcPr>
          <w:p w14:paraId="759BE512">
            <w:pPr>
              <w:jc w:val="center"/>
              <w:rPr>
                <w:rFonts w:ascii="黑体" w:eastAsia="黑体"/>
                <w:sz w:val="32"/>
                <w:szCs w:val="32"/>
              </w:rPr>
            </w:pPr>
          </w:p>
        </w:tc>
      </w:tr>
    </w:tbl>
    <w:p w14:paraId="67DF8499">
      <w:pPr>
        <w:pStyle w:val="20"/>
        <w:numPr>
          <w:ilvl w:val="0"/>
          <w:numId w:val="2"/>
        </w:numPr>
        <w:spacing w:beforeLines="100" w:afterLines="100"/>
        <w:ind w:left="0"/>
        <w:outlineLvl w:val="0"/>
        <w:rPr>
          <w:rFonts w:ascii="Times New Roman"/>
        </w:rPr>
      </w:pPr>
      <w:bookmarkStart w:id="15" w:name="_Toc459724774"/>
      <w:bookmarkStart w:id="16" w:name="_Toc15744"/>
      <w:bookmarkStart w:id="17" w:name="_Toc6477"/>
      <w:bookmarkStart w:id="18" w:name="_Toc510534528"/>
      <w:bookmarkStart w:id="19" w:name="_Toc31554"/>
      <w:bookmarkStart w:id="20" w:name="_Toc459720143"/>
      <w:bookmarkStart w:id="21" w:name="_Toc509933849"/>
      <w:bookmarkStart w:id="22" w:name="_Toc459704603"/>
      <w:r>
        <w:rPr>
          <w:rFonts w:ascii="Times New Roman"/>
        </w:rPr>
        <w:t>范围</w:t>
      </w:r>
      <w:bookmarkEnd w:id="15"/>
      <w:bookmarkEnd w:id="16"/>
      <w:bookmarkEnd w:id="17"/>
      <w:bookmarkEnd w:id="18"/>
      <w:bookmarkEnd w:id="19"/>
      <w:bookmarkEnd w:id="20"/>
      <w:bookmarkEnd w:id="21"/>
      <w:bookmarkEnd w:id="22"/>
    </w:p>
    <w:p w14:paraId="043DFBCB">
      <w:pPr>
        <w:pStyle w:val="21"/>
        <w:spacing w:line="360" w:lineRule="exact"/>
        <w:ind w:firstLine="420"/>
      </w:pPr>
      <w:bookmarkStart w:id="23" w:name="_Toc459704604"/>
      <w:bookmarkStart w:id="24" w:name="_Toc459720144"/>
      <w:bookmarkStart w:id="25" w:name="_Toc459724775"/>
      <w:r>
        <w:rPr>
          <w:rFonts w:hint="eastAsia"/>
        </w:rPr>
        <w:t>本文件制定了冠状动脉粥样硬化性心脏病热毒证诊断的技术要求。</w:t>
      </w:r>
    </w:p>
    <w:p w14:paraId="54742441">
      <w:pPr>
        <w:pStyle w:val="21"/>
        <w:spacing w:line="360" w:lineRule="exact"/>
        <w:ind w:firstLine="420"/>
        <w:rPr>
          <w:rFonts w:ascii="Times New Roman" w:eastAsia="黑体"/>
          <w:i/>
          <w:color w:val="0070C0"/>
          <w:sz w:val="20"/>
          <w:szCs w:val="21"/>
        </w:rPr>
      </w:pPr>
      <w:r>
        <w:rPr>
          <w:rFonts w:hint="eastAsia"/>
        </w:rPr>
        <w:t>本文件适用于各级中医（中西医结合）医疗机构、教育机构、科研院所以及开展中医药服务的医疗机构，可供执业中医师（中西医结合）、执业助理中医师等对冠状动脉粥样硬化性心脏病热毒证的临床诊断及科学研究使用。</w:t>
      </w:r>
    </w:p>
    <w:p w14:paraId="66C0A17D">
      <w:pPr>
        <w:pStyle w:val="20"/>
        <w:numPr>
          <w:ilvl w:val="0"/>
          <w:numId w:val="2"/>
        </w:numPr>
        <w:spacing w:beforeLines="100" w:afterLines="100"/>
        <w:ind w:left="0"/>
        <w:outlineLvl w:val="0"/>
        <w:rPr>
          <w:rFonts w:ascii="Times New Roman"/>
        </w:rPr>
      </w:pPr>
      <w:bookmarkStart w:id="26" w:name="_Toc510534529"/>
      <w:bookmarkStart w:id="27" w:name="_Toc8167"/>
      <w:bookmarkStart w:id="28" w:name="_Toc509933850"/>
      <w:bookmarkStart w:id="29" w:name="_Toc19064"/>
      <w:bookmarkStart w:id="30" w:name="_Toc16127"/>
      <w:r>
        <w:rPr>
          <w:rFonts w:ascii="Times New Roman"/>
        </w:rPr>
        <w:t>规范性引用文件</w:t>
      </w:r>
      <w:bookmarkEnd w:id="23"/>
      <w:bookmarkEnd w:id="24"/>
      <w:bookmarkEnd w:id="25"/>
      <w:bookmarkEnd w:id="26"/>
      <w:bookmarkEnd w:id="27"/>
      <w:bookmarkEnd w:id="28"/>
      <w:bookmarkEnd w:id="29"/>
      <w:bookmarkEnd w:id="30"/>
    </w:p>
    <w:p w14:paraId="4F1A28B1">
      <w:pPr>
        <w:pStyle w:val="21"/>
        <w:tabs>
          <w:tab w:val="center" w:pos="4201"/>
          <w:tab w:val="right" w:leader="dot" w:pos="9298"/>
        </w:tabs>
        <w:spacing w:line="360" w:lineRule="exact"/>
        <w:ind w:firstLine="420"/>
        <w:rPr>
          <w:rFonts w:ascii="Times New Roman"/>
          <w:color w:val="000000"/>
        </w:rPr>
      </w:pPr>
      <w:bookmarkStart w:id="31" w:name="_Toc459704605"/>
      <w:bookmarkEnd w:id="31"/>
      <w:bookmarkStart w:id="32" w:name="_Toc459720145"/>
      <w:bookmarkStart w:id="33" w:name="_Toc459724776"/>
      <w:r>
        <w:rPr>
          <w:rFonts w:hint="eastAsia" w:ascii="Times New Roman"/>
          <w:color w:val="000000"/>
        </w:rPr>
        <w:t>下列文件对本文件的应用是必不可少的。凡是注日期的引用文件，仅注日期的版本适用于本文件。凡是不注日期的引用文件，其最新版本（包括所有的修改单）适用于本文件。</w:t>
      </w:r>
    </w:p>
    <w:p w14:paraId="4EFF0BE7">
      <w:pPr>
        <w:pStyle w:val="21"/>
        <w:shd w:val="clear" w:color="auto" w:fill="FFFFFF"/>
        <w:tabs>
          <w:tab w:val="center" w:pos="4201"/>
          <w:tab w:val="right" w:leader="dot" w:pos="9298"/>
        </w:tabs>
        <w:spacing w:before="200" w:after="100"/>
        <w:ind w:firstLine="420"/>
        <w:rPr>
          <w:rFonts w:hint="default" w:hAnsi="宋体" w:eastAsia="宋体" w:cs="宋体"/>
          <w:szCs w:val="21"/>
          <w:shd w:val="clear" w:color="auto" w:fill="FFFFFF"/>
          <w:lang w:val="en-US" w:eastAsia="zh-CN"/>
        </w:rPr>
      </w:pPr>
      <w:r>
        <w:rPr>
          <w:rFonts w:hint="eastAsia" w:hAnsi="宋体" w:cs="宋体"/>
          <w:szCs w:val="21"/>
          <w:shd w:val="clear" w:color="auto" w:fill="FFFFFF"/>
        </w:rPr>
        <w:t>GB/T16751.1-2023 中医临床诊疗术语 第1部分：疾病</w:t>
      </w:r>
      <w:r>
        <w:rPr>
          <w:rFonts w:hint="eastAsia" w:hAnsi="宋体" w:cs="宋体"/>
          <w:szCs w:val="21"/>
          <w:shd w:val="clear" w:color="auto" w:fill="FFFFFF"/>
          <w:vertAlign w:val="superscript"/>
          <w:lang w:val="en-US" w:eastAsia="zh-CN"/>
        </w:rPr>
        <w:t>[36]</w:t>
      </w:r>
    </w:p>
    <w:p w14:paraId="6A42AC53">
      <w:pPr>
        <w:pStyle w:val="21"/>
        <w:shd w:val="clear" w:color="auto" w:fill="FFFFFF"/>
        <w:tabs>
          <w:tab w:val="center" w:pos="4201"/>
          <w:tab w:val="right" w:leader="dot" w:pos="9298"/>
        </w:tabs>
        <w:spacing w:before="200" w:after="100"/>
        <w:ind w:firstLine="420"/>
        <w:rPr>
          <w:rFonts w:hint="default" w:hAnsi="宋体" w:eastAsia="宋体" w:cs="宋体"/>
          <w:szCs w:val="21"/>
          <w:lang w:val="en-US" w:eastAsia="zh-CN"/>
        </w:rPr>
      </w:pPr>
      <w:r>
        <w:rPr>
          <w:rFonts w:hint="eastAsia" w:hAnsi="宋体" w:cs="宋体"/>
          <w:szCs w:val="21"/>
        </w:rPr>
        <w:t>GB/T16751.2-2021 中医临床诊疗术语 第2部分：证候</w:t>
      </w:r>
      <w:r>
        <w:rPr>
          <w:rFonts w:hint="eastAsia" w:hAnsi="宋体" w:cs="宋体"/>
          <w:szCs w:val="21"/>
          <w:vertAlign w:val="superscript"/>
          <w:lang w:val="en-US" w:eastAsia="zh-CN"/>
        </w:rPr>
        <w:t>[37]</w:t>
      </w:r>
    </w:p>
    <w:p w14:paraId="4DC99245">
      <w:pPr>
        <w:pStyle w:val="21"/>
        <w:tabs>
          <w:tab w:val="center" w:pos="4201"/>
          <w:tab w:val="right" w:leader="dot" w:pos="9298"/>
        </w:tabs>
        <w:ind w:firstLine="420"/>
        <w:rPr>
          <w:rFonts w:hint="default" w:hAnsi="宋体" w:eastAsia="宋体" w:cs="宋体"/>
          <w:szCs w:val="21"/>
          <w:shd w:val="clear" w:color="auto" w:fill="FFFFFF"/>
          <w:lang w:val="en-US" w:eastAsia="zh-CN"/>
        </w:rPr>
      </w:pPr>
      <w:r>
        <w:rPr>
          <w:rFonts w:hint="eastAsia" w:hAnsi="宋体" w:cs="宋体"/>
          <w:szCs w:val="21"/>
          <w:shd w:val="clear" w:color="auto" w:fill="FFFFFF"/>
        </w:rPr>
        <w:t>＂International　Classification of Diseases for Mortality and Morbidity Statistics＂(Eleventh Revision)(2018,WHO)[ICD-11]</w:t>
      </w:r>
      <w:r>
        <w:rPr>
          <w:rFonts w:hint="eastAsia" w:hAnsi="宋体" w:cs="宋体"/>
          <w:szCs w:val="21"/>
          <w:shd w:val="clear" w:color="auto" w:fill="FFFFFF"/>
          <w:vertAlign w:val="superscript"/>
          <w:lang w:val="en-US" w:eastAsia="zh-CN"/>
        </w:rPr>
        <w:t>[38]</w:t>
      </w:r>
    </w:p>
    <w:p w14:paraId="50390EAD">
      <w:pPr>
        <w:pStyle w:val="20"/>
        <w:numPr>
          <w:ilvl w:val="0"/>
          <w:numId w:val="2"/>
        </w:numPr>
        <w:spacing w:beforeLines="100" w:afterLines="100"/>
        <w:ind w:left="0"/>
        <w:outlineLvl w:val="0"/>
        <w:rPr>
          <w:rFonts w:ascii="Times New Roman"/>
        </w:rPr>
      </w:pPr>
      <w:bookmarkStart w:id="34" w:name="_Toc9848"/>
      <w:bookmarkStart w:id="35" w:name="_Toc28431"/>
      <w:bookmarkStart w:id="36" w:name="_Toc1677"/>
      <w:bookmarkStart w:id="37" w:name="_Toc510534530"/>
      <w:bookmarkStart w:id="38" w:name="_Toc436205037"/>
      <w:bookmarkStart w:id="39" w:name="_Toc509933851"/>
      <w:r>
        <w:rPr>
          <w:rFonts w:hint="eastAsia" w:ascii="Times New Roman"/>
        </w:rPr>
        <w:t>术语和定义</w:t>
      </w:r>
      <w:bookmarkEnd w:id="34"/>
      <w:bookmarkEnd w:id="35"/>
      <w:bookmarkEnd w:id="36"/>
      <w:bookmarkEnd w:id="37"/>
      <w:bookmarkEnd w:id="38"/>
      <w:bookmarkEnd w:id="39"/>
    </w:p>
    <w:p w14:paraId="4614B0E0">
      <w:pPr>
        <w:pStyle w:val="21"/>
        <w:spacing w:line="360" w:lineRule="exact"/>
        <w:ind w:firstLine="420"/>
      </w:pPr>
      <w:bookmarkStart w:id="40" w:name="_Hlk92788667"/>
      <w:r>
        <w:rPr>
          <w:rFonts w:hint="eastAsia"/>
        </w:rPr>
        <w:t>下列术语和定义适用于本文件。</w:t>
      </w:r>
    </w:p>
    <w:bookmarkEnd w:id="40"/>
    <w:p w14:paraId="04F05F60">
      <w:pPr>
        <w:pStyle w:val="21"/>
        <w:spacing w:line="360" w:lineRule="exact"/>
        <w:ind w:firstLine="0" w:firstLineChars="0"/>
        <w:rPr>
          <w:rFonts w:hint="eastAsia" w:ascii="黑体" w:hAnsi="黑体" w:eastAsia="黑体" w:cs="黑体"/>
        </w:rPr>
      </w:pPr>
      <w:r>
        <w:rPr>
          <w:rFonts w:hint="eastAsia" w:ascii="黑体" w:hAnsi="黑体" w:eastAsia="黑体" w:cs="黑体"/>
        </w:rPr>
        <w:t xml:space="preserve">3.1 </w:t>
      </w:r>
    </w:p>
    <w:p w14:paraId="44C7D5C1">
      <w:pPr>
        <w:pStyle w:val="21"/>
        <w:spacing w:line="360" w:lineRule="exact"/>
        <w:ind w:firstLine="420" w:firstLineChars="200"/>
        <w:rPr>
          <w:rFonts w:hint="eastAsia" w:ascii="黑体" w:hAnsi="黑体" w:eastAsia="黑体" w:cs="黑体"/>
        </w:rPr>
      </w:pPr>
      <w:r>
        <w:rPr>
          <w:rFonts w:hint="eastAsia" w:ascii="黑体" w:hAnsi="黑体" w:eastAsia="黑体" w:cs="黑体"/>
        </w:rPr>
        <w:t>冠状动脉粥样硬化性心脏病（Coronary Heart Disease）</w:t>
      </w:r>
    </w:p>
    <w:p w14:paraId="30E7E086">
      <w:pPr>
        <w:pStyle w:val="21"/>
        <w:spacing w:line="360" w:lineRule="exact"/>
        <w:ind w:firstLine="420" w:firstLineChars="200"/>
      </w:pPr>
      <w:r>
        <w:t>冠状动脉粥样硬化性心脏病简称冠心病，指冠状动脉粥样硬化使血管腔狭窄或阻塞和（或）冠状动脉功能性（痉挛）导致心肌缺血缺氧或坏死而引起的心脏病。</w:t>
      </w:r>
    </w:p>
    <w:p w14:paraId="5500DDDD">
      <w:pPr>
        <w:pStyle w:val="21"/>
        <w:spacing w:line="360" w:lineRule="exact"/>
        <w:ind w:firstLine="0" w:firstLineChars="0"/>
        <w:rPr>
          <w:rFonts w:hint="eastAsia" w:ascii="黑体" w:hAnsi="黑体" w:eastAsia="黑体" w:cs="黑体"/>
        </w:rPr>
      </w:pPr>
      <w:r>
        <w:rPr>
          <w:rFonts w:hint="eastAsia" w:ascii="黑体" w:hAnsi="黑体" w:eastAsia="黑体" w:cs="黑体"/>
        </w:rPr>
        <w:t>3.2</w:t>
      </w:r>
    </w:p>
    <w:p w14:paraId="7EDCEC92">
      <w:pPr>
        <w:pStyle w:val="21"/>
        <w:spacing w:line="360" w:lineRule="exact"/>
        <w:ind w:firstLine="420" w:firstLineChars="200"/>
        <w:rPr>
          <w:rFonts w:hint="eastAsia" w:ascii="黑体" w:hAnsi="黑体" w:eastAsia="黑体" w:cs="黑体"/>
        </w:rPr>
      </w:pPr>
      <w:r>
        <w:rPr>
          <w:rFonts w:hint="eastAsia" w:ascii="黑体" w:hAnsi="黑体" w:eastAsia="黑体" w:cs="黑体"/>
        </w:rPr>
        <w:t>胸痹心痛 （heartache due to chest impediment）</w:t>
      </w:r>
    </w:p>
    <w:p w14:paraId="55B1AB64">
      <w:pPr>
        <w:pStyle w:val="21"/>
        <w:spacing w:line="360" w:lineRule="exact"/>
        <w:ind w:firstLine="420" w:firstLineChars="200"/>
      </w:pPr>
      <w:r>
        <w:t>又称胸痹，因胸阳不振，阴寒、痰浊、血瘀等留踞胸廓，或心气不足，鼓动乏力，致使气血痹阻，心失血养所致。临床以胸闷、气短及发作性心胸疼痛为特征的心系疾病。</w:t>
      </w:r>
    </w:p>
    <w:p w14:paraId="5634453A">
      <w:pPr>
        <w:pStyle w:val="21"/>
        <w:spacing w:line="360" w:lineRule="exact"/>
        <w:ind w:firstLine="0" w:firstLineChars="0"/>
        <w:rPr>
          <w:rFonts w:hint="eastAsia" w:ascii="黑体" w:hAnsi="黑体" w:eastAsia="黑体" w:cs="黑体"/>
        </w:rPr>
      </w:pPr>
      <w:r>
        <w:rPr>
          <w:rFonts w:hint="eastAsia" w:ascii="黑体" w:hAnsi="黑体" w:eastAsia="黑体" w:cs="黑体"/>
        </w:rPr>
        <w:t>3.3</w:t>
      </w:r>
    </w:p>
    <w:p w14:paraId="0E90E3F7">
      <w:pPr>
        <w:pStyle w:val="21"/>
        <w:spacing w:line="360" w:lineRule="exact"/>
        <w:ind w:firstLine="420" w:firstLineChars="200"/>
        <w:rPr>
          <w:rFonts w:hint="eastAsia" w:ascii="黑体" w:hAnsi="黑体" w:eastAsia="黑体" w:cs="黑体"/>
        </w:rPr>
      </w:pPr>
      <w:r>
        <w:rPr>
          <w:rFonts w:hint="eastAsia" w:ascii="黑体" w:hAnsi="黑体" w:eastAsia="黑体" w:cs="黑体"/>
        </w:rPr>
        <w:t>热毒证（syndrome of fire toxin）</w:t>
      </w:r>
    </w:p>
    <w:p w14:paraId="3A4A4A23">
      <w:pPr>
        <w:pStyle w:val="21"/>
        <w:spacing w:line="360" w:lineRule="exact"/>
        <w:ind w:firstLine="420" w:firstLineChars="200"/>
      </w:pPr>
      <w:r>
        <w:t>因痰瘀互结，久郁化热，火热成毒，热毒灼伤心脉所致。临床以胸痛，胸闷，心悸，烦躁，口干、口苦，舌红苔黄，脉数、细、弦、滑等为特征的证候。</w:t>
      </w:r>
    </w:p>
    <w:p w14:paraId="3D24715A">
      <w:pPr>
        <w:pStyle w:val="21"/>
        <w:spacing w:line="360" w:lineRule="exact"/>
        <w:ind w:firstLine="0" w:firstLineChars="0"/>
        <w:rPr>
          <w:rFonts w:hint="eastAsia" w:ascii="黑体" w:hAnsi="黑体" w:eastAsia="黑体" w:cs="黑体"/>
        </w:rPr>
      </w:pPr>
      <w:r>
        <w:rPr>
          <w:rFonts w:hint="eastAsia" w:ascii="黑体" w:hAnsi="黑体" w:eastAsia="黑体" w:cs="黑体"/>
        </w:rPr>
        <w:t>3.4</w:t>
      </w:r>
    </w:p>
    <w:p w14:paraId="636C9CAD">
      <w:pPr>
        <w:pStyle w:val="21"/>
        <w:spacing w:line="360" w:lineRule="exact"/>
        <w:ind w:firstLine="420" w:firstLineChars="200"/>
        <w:rPr>
          <w:rFonts w:hint="eastAsia" w:ascii="黑体" w:hAnsi="黑体" w:eastAsia="黑体" w:cs="黑体"/>
        </w:rPr>
      </w:pPr>
      <w:r>
        <w:rPr>
          <w:rFonts w:hint="eastAsia" w:ascii="黑体" w:hAnsi="黑体" w:eastAsia="黑体" w:cs="黑体"/>
        </w:rPr>
        <w:t>胸痛 （chest pain）</w:t>
      </w:r>
    </w:p>
    <w:p w14:paraId="768F68AE">
      <w:pPr>
        <w:pStyle w:val="21"/>
        <w:spacing w:line="360" w:lineRule="exact"/>
        <w:ind w:firstLine="420" w:firstLineChars="200"/>
      </w:pPr>
      <w:r>
        <w:t>临床以心胸、胸肋等部位自觉疼痛或切按则痛等为特征的症状。</w:t>
      </w:r>
    </w:p>
    <w:p w14:paraId="6660F6C0">
      <w:pPr>
        <w:pStyle w:val="21"/>
        <w:spacing w:line="360" w:lineRule="exact"/>
        <w:ind w:firstLine="0" w:firstLineChars="0"/>
        <w:rPr>
          <w:rFonts w:hint="eastAsia" w:ascii="黑体" w:hAnsi="黑体" w:eastAsia="黑体" w:cs="黑体"/>
        </w:rPr>
      </w:pPr>
      <w:r>
        <w:rPr>
          <w:rFonts w:hint="eastAsia" w:ascii="黑体" w:hAnsi="黑体" w:eastAsia="黑体" w:cs="黑体"/>
        </w:rPr>
        <w:t>3.5</w:t>
      </w:r>
    </w:p>
    <w:p w14:paraId="73527309">
      <w:pPr>
        <w:pStyle w:val="21"/>
        <w:spacing w:line="360" w:lineRule="exact"/>
        <w:ind w:firstLine="420" w:firstLineChars="200"/>
        <w:rPr>
          <w:rFonts w:hint="eastAsia" w:ascii="黑体" w:hAnsi="黑体" w:eastAsia="黑体" w:cs="黑体"/>
        </w:rPr>
      </w:pPr>
      <w:r>
        <w:rPr>
          <w:rFonts w:hint="eastAsia" w:ascii="黑体" w:hAnsi="黑体" w:eastAsia="黑体" w:cs="黑体"/>
        </w:rPr>
        <w:t>胸闷 （chest distress）</w:t>
      </w:r>
    </w:p>
    <w:p w14:paraId="5276B453">
      <w:pPr>
        <w:pStyle w:val="21"/>
        <w:spacing w:line="360" w:lineRule="exact"/>
        <w:ind w:firstLine="420" w:firstLineChars="200"/>
      </w:pPr>
      <w:r>
        <w:t>胸中堵塞不畅、满闷不舒的症状。轻者可以耐受，重者则觉得难受，甚至发生呼吸困难。</w:t>
      </w:r>
    </w:p>
    <w:p w14:paraId="25A86EC0">
      <w:pPr>
        <w:pStyle w:val="21"/>
        <w:spacing w:line="360" w:lineRule="exact"/>
        <w:ind w:firstLine="0" w:firstLineChars="0"/>
        <w:rPr>
          <w:rFonts w:hint="eastAsia" w:ascii="黑体" w:hAnsi="黑体" w:eastAsia="黑体" w:cs="黑体"/>
        </w:rPr>
      </w:pPr>
      <w:r>
        <w:rPr>
          <w:rFonts w:hint="eastAsia" w:ascii="黑体" w:hAnsi="黑体" w:eastAsia="黑体" w:cs="黑体"/>
        </w:rPr>
        <w:t>3.6</w:t>
      </w:r>
    </w:p>
    <w:p w14:paraId="550DC5C1">
      <w:pPr>
        <w:pStyle w:val="21"/>
        <w:spacing w:line="360" w:lineRule="exact"/>
        <w:ind w:firstLine="420" w:firstLineChars="200"/>
        <w:rPr>
          <w:rFonts w:hint="eastAsia" w:ascii="黑体" w:hAnsi="黑体" w:eastAsia="黑体" w:cs="黑体"/>
        </w:rPr>
      </w:pPr>
      <w:r>
        <w:rPr>
          <w:rFonts w:hint="eastAsia" w:ascii="黑体" w:hAnsi="黑体" w:eastAsia="黑体" w:cs="黑体"/>
        </w:rPr>
        <w:t>烦躁 （dysphoria）</w:t>
      </w:r>
    </w:p>
    <w:p w14:paraId="2C9DF729">
      <w:pPr>
        <w:pStyle w:val="21"/>
        <w:spacing w:line="360" w:lineRule="exact"/>
        <w:ind w:firstLine="420" w:firstLineChars="200"/>
      </w:pPr>
      <w:r>
        <w:t>临床以自觉心中烦闷，急躁易怒，坐卧不宁，无所适从，甚则行为举止躁动不安为特征的症状。</w:t>
      </w:r>
    </w:p>
    <w:p w14:paraId="7DA153F3">
      <w:pPr>
        <w:pStyle w:val="21"/>
        <w:spacing w:line="360" w:lineRule="exact"/>
        <w:ind w:firstLine="0" w:firstLineChars="0"/>
        <w:rPr>
          <w:rFonts w:hint="eastAsia" w:ascii="黑体" w:hAnsi="黑体" w:eastAsia="黑体" w:cs="黑体"/>
        </w:rPr>
      </w:pPr>
      <w:r>
        <w:rPr>
          <w:rFonts w:hint="eastAsia" w:ascii="黑体" w:hAnsi="黑体" w:eastAsia="黑体" w:cs="黑体"/>
        </w:rPr>
        <w:t>3.7</w:t>
      </w:r>
    </w:p>
    <w:p w14:paraId="43FA54D6">
      <w:pPr>
        <w:pStyle w:val="21"/>
        <w:spacing w:line="360" w:lineRule="exact"/>
        <w:ind w:firstLine="420" w:firstLineChars="200"/>
        <w:rPr>
          <w:rFonts w:hint="eastAsia" w:ascii="黑体" w:hAnsi="黑体" w:eastAsia="黑体" w:cs="黑体"/>
        </w:rPr>
      </w:pPr>
      <w:r>
        <w:rPr>
          <w:rFonts w:hint="eastAsia" w:ascii="黑体" w:hAnsi="黑体" w:eastAsia="黑体" w:cs="黑体"/>
        </w:rPr>
        <w:t>心悸（palpitation）</w:t>
      </w:r>
    </w:p>
    <w:p w14:paraId="7C9B6C56">
      <w:pPr>
        <w:pStyle w:val="21"/>
        <w:spacing w:line="360" w:lineRule="exact"/>
        <w:ind w:firstLine="420" w:firstLineChars="200"/>
      </w:pPr>
      <w:r>
        <w:t>感觉心脏跳动不安，常伴有心慌的表现。</w:t>
      </w:r>
    </w:p>
    <w:p w14:paraId="6470BFBD">
      <w:pPr>
        <w:pStyle w:val="21"/>
        <w:spacing w:line="360" w:lineRule="exact"/>
        <w:ind w:firstLine="0" w:firstLineChars="0"/>
        <w:rPr>
          <w:rFonts w:hint="eastAsia" w:ascii="黑体" w:hAnsi="黑体" w:eastAsia="黑体" w:cs="黑体"/>
        </w:rPr>
      </w:pPr>
      <w:r>
        <w:rPr>
          <w:rFonts w:hint="eastAsia" w:ascii="黑体" w:hAnsi="黑体" w:eastAsia="黑体" w:cs="黑体"/>
        </w:rPr>
        <w:t>3.8</w:t>
      </w:r>
    </w:p>
    <w:p w14:paraId="425470D2">
      <w:pPr>
        <w:pStyle w:val="21"/>
        <w:spacing w:line="360" w:lineRule="exact"/>
        <w:ind w:firstLine="420" w:firstLineChars="200"/>
        <w:rPr>
          <w:rFonts w:hint="eastAsia" w:ascii="黑体" w:hAnsi="黑体" w:eastAsia="黑体" w:cs="黑体"/>
        </w:rPr>
      </w:pPr>
      <w:r>
        <w:rPr>
          <w:rFonts w:hint="eastAsia" w:ascii="黑体" w:hAnsi="黑体" w:eastAsia="黑体" w:cs="黑体"/>
        </w:rPr>
        <w:t>大便秘结（constipation）</w:t>
      </w:r>
    </w:p>
    <w:p w14:paraId="00CD8C18">
      <w:pPr>
        <w:pStyle w:val="21"/>
        <w:spacing w:line="360" w:lineRule="exact"/>
        <w:ind w:firstLine="420" w:firstLineChars="200"/>
      </w:pPr>
      <w:r>
        <w:t>粪便干燥坚硬，排出困难，排便次数减少的表现。</w:t>
      </w:r>
    </w:p>
    <w:p w14:paraId="3F911F91">
      <w:pPr>
        <w:pStyle w:val="21"/>
        <w:spacing w:line="360" w:lineRule="exact"/>
        <w:ind w:firstLine="0" w:firstLineChars="0"/>
        <w:rPr>
          <w:rFonts w:hint="eastAsia" w:ascii="黑体" w:hAnsi="黑体" w:eastAsia="黑体" w:cs="黑体"/>
        </w:rPr>
      </w:pPr>
      <w:r>
        <w:rPr>
          <w:rFonts w:hint="eastAsia" w:ascii="黑体" w:hAnsi="黑体" w:eastAsia="黑体" w:cs="黑体"/>
        </w:rPr>
        <w:t>3.9</w:t>
      </w:r>
    </w:p>
    <w:p w14:paraId="69E2C163">
      <w:pPr>
        <w:pStyle w:val="21"/>
        <w:spacing w:line="360" w:lineRule="exact"/>
        <w:ind w:firstLine="420" w:firstLineChars="200"/>
        <w:rPr>
          <w:rFonts w:hint="eastAsia" w:ascii="黑体" w:hAnsi="黑体" w:eastAsia="黑体" w:cs="黑体"/>
        </w:rPr>
      </w:pPr>
      <w:r>
        <w:rPr>
          <w:rFonts w:hint="eastAsia" w:ascii="黑体" w:hAnsi="黑体" w:eastAsia="黑体" w:cs="黑体"/>
        </w:rPr>
        <w:t>大便黏滞（sticky stool with ungratifying defecation）</w:t>
      </w:r>
    </w:p>
    <w:p w14:paraId="5A00CA8C">
      <w:pPr>
        <w:pStyle w:val="21"/>
        <w:spacing w:line="360" w:lineRule="exact"/>
        <w:ind w:firstLine="420" w:firstLineChars="200"/>
      </w:pPr>
      <w:r>
        <w:t>大便</w:t>
      </w:r>
      <w:r>
        <w:rPr>
          <w:rFonts w:hint="eastAsia"/>
        </w:rPr>
        <w:t>黏滞</w:t>
      </w:r>
      <w:r>
        <w:t>是指大便黏稠且自觉排便不畅感的症状</w:t>
      </w:r>
      <w:r>
        <w:rPr>
          <w:rFonts w:hint="eastAsia"/>
        </w:rPr>
        <w:t>.</w:t>
      </w:r>
    </w:p>
    <w:p w14:paraId="0AC5E473">
      <w:pPr>
        <w:pStyle w:val="21"/>
        <w:spacing w:line="360" w:lineRule="exact"/>
        <w:ind w:firstLine="0" w:firstLineChars="0"/>
        <w:rPr>
          <w:rFonts w:hint="eastAsia" w:ascii="黑体" w:hAnsi="黑体" w:eastAsia="黑体" w:cs="黑体"/>
        </w:rPr>
      </w:pPr>
      <w:r>
        <w:rPr>
          <w:rFonts w:hint="eastAsia" w:ascii="黑体" w:hAnsi="黑体" w:eastAsia="黑体" w:cs="黑体"/>
        </w:rPr>
        <w:t>3.10</w:t>
      </w:r>
    </w:p>
    <w:p w14:paraId="7DBDC947">
      <w:pPr>
        <w:pStyle w:val="21"/>
        <w:spacing w:line="360" w:lineRule="exact"/>
        <w:ind w:firstLine="420" w:firstLineChars="200"/>
        <w:rPr>
          <w:rFonts w:hint="eastAsia" w:ascii="黑体" w:hAnsi="黑体" w:eastAsia="黑体" w:cs="黑体"/>
        </w:rPr>
      </w:pPr>
      <w:r>
        <w:rPr>
          <w:rFonts w:hint="eastAsia" w:ascii="黑体" w:hAnsi="黑体" w:eastAsia="黑体" w:cs="黑体"/>
        </w:rPr>
        <w:t>口干 （dry mouth）</w:t>
      </w:r>
    </w:p>
    <w:p w14:paraId="4C530CBD">
      <w:pPr>
        <w:pStyle w:val="21"/>
        <w:spacing w:line="360" w:lineRule="exact"/>
        <w:ind w:firstLine="420" w:firstLineChars="200"/>
      </w:pPr>
      <w:r>
        <w:t>口腔干燥，少津或无津的表现</w:t>
      </w:r>
    </w:p>
    <w:p w14:paraId="23B865B8">
      <w:pPr>
        <w:pStyle w:val="21"/>
        <w:spacing w:line="360" w:lineRule="exact"/>
        <w:ind w:firstLine="0" w:firstLineChars="0"/>
        <w:rPr>
          <w:rFonts w:hint="eastAsia" w:ascii="黑体" w:hAnsi="黑体" w:eastAsia="黑体" w:cs="黑体"/>
        </w:rPr>
      </w:pPr>
      <w:r>
        <w:rPr>
          <w:rFonts w:hint="eastAsia" w:ascii="黑体" w:hAnsi="黑体" w:eastAsia="黑体" w:cs="黑体"/>
        </w:rPr>
        <w:t>3.11</w:t>
      </w:r>
    </w:p>
    <w:p w14:paraId="1B5ACF47">
      <w:pPr>
        <w:pStyle w:val="21"/>
        <w:spacing w:line="360" w:lineRule="exact"/>
        <w:ind w:firstLine="420" w:firstLineChars="200"/>
        <w:rPr>
          <w:rFonts w:hint="eastAsia" w:ascii="黑体" w:hAnsi="黑体" w:eastAsia="黑体" w:cs="黑体"/>
        </w:rPr>
      </w:pPr>
      <w:r>
        <w:rPr>
          <w:rFonts w:hint="eastAsia" w:ascii="黑体" w:hAnsi="黑体" w:eastAsia="黑体" w:cs="黑体"/>
        </w:rPr>
        <w:t>口苦（bitter taste in mouth）</w:t>
      </w:r>
    </w:p>
    <w:p w14:paraId="2F9ECCFE">
      <w:pPr>
        <w:pStyle w:val="21"/>
        <w:spacing w:line="360" w:lineRule="exact"/>
        <w:ind w:firstLine="420" w:firstLineChars="200"/>
      </w:pPr>
      <w:r>
        <w:t>自觉口中有苦味的表现。</w:t>
      </w:r>
    </w:p>
    <w:p w14:paraId="74BAE11E">
      <w:pPr>
        <w:pStyle w:val="21"/>
        <w:spacing w:line="360" w:lineRule="exact"/>
        <w:ind w:firstLine="0" w:firstLineChars="0"/>
        <w:rPr>
          <w:rFonts w:hint="eastAsia" w:ascii="黑体" w:hAnsi="黑体" w:eastAsia="黑体" w:cs="黑体"/>
        </w:rPr>
      </w:pPr>
      <w:r>
        <w:rPr>
          <w:rFonts w:hint="eastAsia" w:ascii="黑体" w:hAnsi="黑体" w:eastAsia="黑体" w:cs="黑体"/>
        </w:rPr>
        <w:t>3.12</w:t>
      </w:r>
    </w:p>
    <w:p w14:paraId="2AE34E76">
      <w:pPr>
        <w:pStyle w:val="21"/>
        <w:spacing w:line="360" w:lineRule="exact"/>
        <w:ind w:firstLine="420" w:firstLineChars="200"/>
        <w:rPr>
          <w:rFonts w:hint="eastAsia" w:ascii="黑体" w:hAnsi="黑体" w:eastAsia="黑体" w:cs="黑体"/>
        </w:rPr>
      </w:pPr>
      <w:r>
        <w:rPr>
          <w:rFonts w:hint="eastAsia" w:ascii="黑体" w:hAnsi="黑体" w:eastAsia="黑体" w:cs="黑体"/>
        </w:rPr>
        <w:t>热性阳亢体质（heat induced Yang hyperactivity constitution）</w:t>
      </w:r>
    </w:p>
    <w:p w14:paraId="5DCA9E52">
      <w:pPr>
        <w:pStyle w:val="21"/>
        <w:spacing w:line="360" w:lineRule="exact"/>
        <w:ind w:firstLine="420" w:firstLineChars="200"/>
      </w:pPr>
      <w:r>
        <w:t>指体内阳气过盛、阴液相对不足的状态。主要表现为怕热、易汗出、面色偏红、口干舌燥、喜冷饮、口腔溃疡、大便干结、睡眠差、急躁易怒，舌质红、舌苔薄黄或少苔。</w:t>
      </w:r>
    </w:p>
    <w:p w14:paraId="0F3EB1B3">
      <w:pPr>
        <w:pStyle w:val="21"/>
        <w:spacing w:line="360" w:lineRule="exact"/>
        <w:ind w:firstLine="0" w:firstLineChars="0"/>
        <w:rPr>
          <w:rFonts w:hint="eastAsia" w:ascii="黑体" w:hAnsi="黑体" w:eastAsia="黑体" w:cs="黑体"/>
        </w:rPr>
      </w:pPr>
      <w:r>
        <w:rPr>
          <w:rFonts w:hint="eastAsia" w:ascii="黑体" w:hAnsi="黑体" w:eastAsia="黑体" w:cs="黑体"/>
        </w:rPr>
        <w:t>3.13</w:t>
      </w:r>
    </w:p>
    <w:p w14:paraId="067F585D">
      <w:pPr>
        <w:pStyle w:val="21"/>
        <w:spacing w:line="360" w:lineRule="exact"/>
        <w:ind w:firstLine="420" w:firstLineChars="200"/>
        <w:rPr>
          <w:rFonts w:hint="eastAsia" w:ascii="黑体" w:hAnsi="黑体" w:eastAsia="黑体" w:cs="黑体"/>
        </w:rPr>
      </w:pPr>
      <w:r>
        <w:rPr>
          <w:rFonts w:hint="eastAsia" w:ascii="黑体" w:hAnsi="黑体" w:eastAsia="黑体" w:cs="黑体"/>
        </w:rPr>
        <w:t>阴虚</w:t>
      </w:r>
      <w:r>
        <w:rPr>
          <w:rFonts w:hint="eastAsia" w:ascii="黑体" w:hAnsi="黑体" w:eastAsia="黑体" w:cs="黑体"/>
          <w:lang w:val="en-US" w:eastAsia="zh-CN"/>
        </w:rPr>
        <w:t>阳亢</w:t>
      </w:r>
      <w:r>
        <w:rPr>
          <w:rFonts w:hint="eastAsia" w:ascii="黑体" w:hAnsi="黑体" w:eastAsia="黑体" w:cs="黑体"/>
        </w:rPr>
        <w:t>体质（Yin deficiency constitution）</w:t>
      </w:r>
    </w:p>
    <w:p w14:paraId="07C5F597">
      <w:pPr>
        <w:pStyle w:val="21"/>
        <w:spacing w:line="360" w:lineRule="exact"/>
        <w:ind w:firstLine="420" w:firstLineChars="200"/>
      </w:pPr>
      <w:r>
        <w:rPr>
          <w:rFonts w:hint="eastAsia"/>
        </w:rPr>
        <w:t>是指阴液亏少，以口燥咽干、手足心热等虚热表现为主要特征的体质状态。</w:t>
      </w:r>
    </w:p>
    <w:p w14:paraId="7BD8B552">
      <w:pPr>
        <w:pStyle w:val="21"/>
        <w:spacing w:line="360" w:lineRule="exact"/>
        <w:ind w:firstLine="0" w:firstLineChars="0"/>
        <w:rPr>
          <w:rFonts w:hint="eastAsia" w:ascii="黑体" w:hAnsi="黑体" w:eastAsia="黑体" w:cs="黑体"/>
        </w:rPr>
      </w:pPr>
      <w:r>
        <w:rPr>
          <w:rFonts w:hint="eastAsia" w:ascii="黑体" w:hAnsi="黑体" w:eastAsia="黑体" w:cs="黑体"/>
        </w:rPr>
        <w:t>3.14</w:t>
      </w:r>
    </w:p>
    <w:p w14:paraId="546BCAB8">
      <w:pPr>
        <w:pStyle w:val="21"/>
        <w:spacing w:line="360" w:lineRule="exact"/>
        <w:ind w:firstLine="420" w:firstLineChars="200"/>
        <w:rPr>
          <w:rFonts w:hint="eastAsia" w:ascii="黑体" w:hAnsi="黑体" w:eastAsia="黑体" w:cs="黑体"/>
        </w:rPr>
      </w:pPr>
      <w:r>
        <w:rPr>
          <w:rFonts w:hint="eastAsia" w:ascii="黑体" w:hAnsi="黑体" w:eastAsia="黑体" w:cs="黑体"/>
        </w:rPr>
        <w:t>舌质红（red tongue）</w:t>
      </w:r>
    </w:p>
    <w:p w14:paraId="45E3E51F">
      <w:pPr>
        <w:pStyle w:val="21"/>
        <w:spacing w:line="360" w:lineRule="exact"/>
        <w:ind w:firstLine="420" w:firstLineChars="200"/>
      </w:pPr>
      <w:r>
        <w:t>舌体颜色鲜红的舌象。</w:t>
      </w:r>
    </w:p>
    <w:p w14:paraId="75095495">
      <w:pPr>
        <w:pStyle w:val="21"/>
        <w:spacing w:line="360" w:lineRule="exact"/>
        <w:ind w:firstLine="0" w:firstLineChars="0"/>
        <w:rPr>
          <w:rFonts w:hint="eastAsia" w:ascii="黑体" w:hAnsi="黑体" w:eastAsia="黑体" w:cs="黑体"/>
        </w:rPr>
      </w:pPr>
      <w:r>
        <w:rPr>
          <w:rFonts w:hint="eastAsia" w:ascii="黑体" w:hAnsi="黑体" w:eastAsia="黑体" w:cs="黑体"/>
        </w:rPr>
        <w:t>3.15</w:t>
      </w:r>
    </w:p>
    <w:p w14:paraId="645D587E">
      <w:pPr>
        <w:pStyle w:val="21"/>
        <w:spacing w:line="360" w:lineRule="exact"/>
        <w:ind w:firstLine="420" w:firstLineChars="200"/>
        <w:rPr>
          <w:rFonts w:hint="eastAsia" w:ascii="黑体" w:hAnsi="黑体" w:eastAsia="黑体" w:cs="黑体"/>
        </w:rPr>
      </w:pPr>
      <w:r>
        <w:rPr>
          <w:rFonts w:hint="eastAsia" w:ascii="黑体" w:hAnsi="黑体" w:eastAsia="黑体" w:cs="黑体"/>
        </w:rPr>
        <w:t>舌质暗红（dark red tongue）</w:t>
      </w:r>
    </w:p>
    <w:p w14:paraId="46ECCF97">
      <w:pPr>
        <w:pStyle w:val="21"/>
        <w:spacing w:line="360" w:lineRule="exact"/>
        <w:ind w:firstLine="420" w:firstLineChars="200"/>
      </w:pPr>
      <w:r>
        <w:t>舌体颜色暗红的舌象。</w:t>
      </w:r>
    </w:p>
    <w:p w14:paraId="77EABCD4">
      <w:pPr>
        <w:pStyle w:val="21"/>
        <w:spacing w:line="360" w:lineRule="exact"/>
        <w:ind w:firstLine="0" w:firstLineChars="0"/>
        <w:rPr>
          <w:rFonts w:hint="eastAsia" w:ascii="黑体" w:hAnsi="黑体" w:eastAsia="黑体" w:cs="黑体"/>
        </w:rPr>
      </w:pPr>
      <w:r>
        <w:rPr>
          <w:rFonts w:hint="eastAsia" w:ascii="黑体" w:hAnsi="黑体" w:eastAsia="黑体" w:cs="黑体"/>
        </w:rPr>
        <w:t>3.16</w:t>
      </w:r>
    </w:p>
    <w:p w14:paraId="4AC732CD">
      <w:pPr>
        <w:pStyle w:val="21"/>
        <w:spacing w:line="360" w:lineRule="exact"/>
        <w:ind w:firstLine="420" w:firstLineChars="200"/>
        <w:rPr>
          <w:rFonts w:hint="eastAsia" w:ascii="黑体" w:hAnsi="黑体" w:eastAsia="黑体" w:cs="黑体"/>
        </w:rPr>
      </w:pPr>
      <w:r>
        <w:rPr>
          <w:rFonts w:hint="eastAsia" w:ascii="黑体" w:hAnsi="黑体" w:eastAsia="黑体" w:cs="黑体"/>
        </w:rPr>
        <w:t>舌苔黄 （yellow fur）</w:t>
      </w:r>
    </w:p>
    <w:p w14:paraId="1DA73A34">
      <w:pPr>
        <w:pStyle w:val="21"/>
        <w:spacing w:line="360" w:lineRule="exact"/>
        <w:ind w:firstLine="420" w:firstLineChars="200"/>
      </w:pPr>
      <w:r>
        <w:t>又称黄苔，舌苔呈黄色的舌象。</w:t>
      </w:r>
    </w:p>
    <w:p w14:paraId="1715C492">
      <w:pPr>
        <w:pStyle w:val="21"/>
        <w:spacing w:line="360" w:lineRule="exact"/>
        <w:ind w:firstLine="0" w:firstLineChars="0"/>
        <w:rPr>
          <w:rFonts w:hint="eastAsia" w:ascii="黑体" w:hAnsi="黑体" w:eastAsia="黑体" w:cs="黑体"/>
        </w:rPr>
      </w:pPr>
      <w:r>
        <w:rPr>
          <w:rFonts w:hint="eastAsia" w:ascii="黑体" w:hAnsi="黑体" w:eastAsia="黑体" w:cs="黑体"/>
        </w:rPr>
        <w:t>3.17</w:t>
      </w:r>
    </w:p>
    <w:p w14:paraId="4C00B1B3">
      <w:pPr>
        <w:pStyle w:val="21"/>
        <w:spacing w:line="360" w:lineRule="exact"/>
        <w:ind w:firstLine="420" w:firstLineChars="200"/>
        <w:rPr>
          <w:rFonts w:hint="eastAsia" w:ascii="黑体" w:hAnsi="黑体" w:eastAsia="黑体" w:cs="黑体"/>
        </w:rPr>
      </w:pPr>
      <w:r>
        <w:rPr>
          <w:rFonts w:hint="eastAsia" w:ascii="黑体" w:hAnsi="黑体" w:eastAsia="黑体" w:cs="黑体"/>
        </w:rPr>
        <w:t>舌苔黄腻（yellow-greasy fur）</w:t>
      </w:r>
    </w:p>
    <w:p w14:paraId="5983BBFD">
      <w:pPr>
        <w:pStyle w:val="21"/>
        <w:spacing w:line="360" w:lineRule="exact"/>
        <w:ind w:firstLine="420" w:firstLineChars="200"/>
      </w:pPr>
      <w:r>
        <w:t>舌苔腻指苔质颗粒细小致密，紧贴舌面，不易刮脱，并在舌的中根部较厚，边尖较薄的舌象。舌苔黄腻指兼具舌苔黄和舌苔腻2种特征的舌象。</w:t>
      </w:r>
    </w:p>
    <w:p w14:paraId="6474B391">
      <w:pPr>
        <w:pStyle w:val="21"/>
        <w:spacing w:line="360" w:lineRule="exact"/>
        <w:ind w:firstLine="0" w:firstLineChars="0"/>
        <w:rPr>
          <w:rFonts w:hint="eastAsia" w:ascii="黑体" w:hAnsi="黑体" w:eastAsia="黑体" w:cs="黑体"/>
        </w:rPr>
      </w:pPr>
      <w:r>
        <w:rPr>
          <w:rFonts w:hint="eastAsia" w:ascii="黑体" w:hAnsi="黑体" w:eastAsia="黑体" w:cs="黑体"/>
        </w:rPr>
        <w:t>3.18</w:t>
      </w:r>
    </w:p>
    <w:p w14:paraId="17C98E29">
      <w:pPr>
        <w:pStyle w:val="21"/>
        <w:spacing w:line="360" w:lineRule="exact"/>
        <w:ind w:firstLine="420" w:firstLineChars="200"/>
        <w:rPr>
          <w:rFonts w:hint="eastAsia" w:ascii="黑体" w:hAnsi="黑体" w:eastAsia="黑体" w:cs="黑体"/>
        </w:rPr>
      </w:pPr>
      <w:r>
        <w:rPr>
          <w:rFonts w:hint="eastAsia" w:ascii="黑体" w:hAnsi="黑体" w:eastAsia="黑体" w:cs="黑体"/>
        </w:rPr>
        <w:t>舌苔黄燥（yellow-dry fur）</w:t>
      </w:r>
    </w:p>
    <w:p w14:paraId="5F43FF1F">
      <w:pPr>
        <w:pStyle w:val="21"/>
        <w:spacing w:line="360" w:lineRule="exact"/>
        <w:ind w:firstLine="420" w:firstLineChars="200"/>
      </w:pPr>
      <w:r>
        <w:rPr>
          <w:rFonts w:hint="eastAsia"/>
        </w:rPr>
        <w:t>舌苔成黄色，苔面缺乏津液，苔质干燥，扪之燥涩的舌象。</w:t>
      </w:r>
    </w:p>
    <w:p w14:paraId="60E1C5D4">
      <w:pPr>
        <w:pStyle w:val="21"/>
        <w:spacing w:line="360" w:lineRule="exact"/>
        <w:ind w:firstLine="0" w:firstLineChars="0"/>
        <w:rPr>
          <w:rFonts w:hint="eastAsia" w:ascii="黑体" w:hAnsi="黑体" w:eastAsia="黑体" w:cs="黑体"/>
        </w:rPr>
      </w:pPr>
      <w:r>
        <w:rPr>
          <w:rFonts w:hint="eastAsia" w:ascii="黑体" w:hAnsi="黑体" w:eastAsia="黑体" w:cs="黑体"/>
        </w:rPr>
        <w:t>3.19</w:t>
      </w:r>
    </w:p>
    <w:p w14:paraId="1EA8A48D">
      <w:pPr>
        <w:pStyle w:val="21"/>
        <w:spacing w:line="360" w:lineRule="exact"/>
        <w:ind w:firstLine="420" w:firstLineChars="200"/>
        <w:rPr>
          <w:rFonts w:hint="eastAsia" w:ascii="黑体" w:hAnsi="黑体" w:eastAsia="黑体" w:cs="黑体"/>
        </w:rPr>
      </w:pPr>
      <w:r>
        <w:rPr>
          <w:rFonts w:hint="eastAsia" w:ascii="黑体" w:hAnsi="黑体" w:eastAsia="黑体" w:cs="黑体"/>
        </w:rPr>
        <w:t>脉弦（stringy pulse）</w:t>
      </w:r>
    </w:p>
    <w:p w14:paraId="58129449">
      <w:pPr>
        <w:pStyle w:val="21"/>
        <w:spacing w:line="360" w:lineRule="exact"/>
        <w:ind w:firstLine="420" w:firstLineChars="200"/>
      </w:pPr>
      <w:r>
        <w:t>又称弦脉，端直而长，指下挺然，如按琴弦的脉象。</w:t>
      </w:r>
    </w:p>
    <w:p w14:paraId="73C6BE8B">
      <w:pPr>
        <w:pStyle w:val="21"/>
        <w:spacing w:line="360" w:lineRule="exact"/>
        <w:ind w:firstLine="0" w:firstLineChars="0"/>
        <w:rPr>
          <w:rFonts w:hint="eastAsia" w:ascii="黑体" w:hAnsi="黑体" w:eastAsia="黑体" w:cs="黑体"/>
        </w:rPr>
      </w:pPr>
      <w:r>
        <w:rPr>
          <w:rFonts w:hint="eastAsia" w:ascii="黑体" w:hAnsi="黑体" w:eastAsia="黑体" w:cs="黑体"/>
        </w:rPr>
        <w:t>3.20</w:t>
      </w:r>
    </w:p>
    <w:p w14:paraId="7BEA60F5">
      <w:pPr>
        <w:pStyle w:val="21"/>
        <w:spacing w:line="360" w:lineRule="exact"/>
        <w:ind w:firstLine="420" w:firstLineChars="200"/>
        <w:rPr>
          <w:rFonts w:hint="eastAsia" w:ascii="黑体" w:hAnsi="黑体" w:eastAsia="黑体" w:cs="黑体"/>
        </w:rPr>
      </w:pPr>
      <w:r>
        <w:rPr>
          <w:rFonts w:hint="eastAsia" w:ascii="黑体" w:hAnsi="黑体" w:eastAsia="黑体" w:cs="黑体"/>
        </w:rPr>
        <w:t>脉滑数（rapid-lippery pulse ）</w:t>
      </w:r>
    </w:p>
    <w:p w14:paraId="33679471">
      <w:pPr>
        <w:pStyle w:val="21"/>
        <w:spacing w:line="360" w:lineRule="exact"/>
        <w:ind w:firstLine="420" w:firstLineChars="200"/>
      </w:pPr>
      <w:r>
        <w:t>脉滑指往来流利，应指圆滑，如珠走盘的脉象。脉数指脉来急速，一息五至以上（相当于每分钟90次以上）的脉象。脉滑数指兼具以上2种特征的脉象。</w:t>
      </w:r>
    </w:p>
    <w:p w14:paraId="0062EF52">
      <w:pPr>
        <w:pStyle w:val="21"/>
        <w:spacing w:line="360" w:lineRule="exact"/>
        <w:ind w:firstLine="0" w:firstLineChars="0"/>
        <w:rPr>
          <w:rFonts w:hint="eastAsia" w:ascii="黑体" w:hAnsi="黑体" w:eastAsia="黑体" w:cs="黑体"/>
        </w:rPr>
      </w:pPr>
      <w:r>
        <w:rPr>
          <w:rFonts w:hint="eastAsia" w:ascii="黑体" w:hAnsi="黑体" w:eastAsia="黑体" w:cs="黑体"/>
        </w:rPr>
        <w:t>3.21</w:t>
      </w:r>
    </w:p>
    <w:p w14:paraId="13DDB568">
      <w:pPr>
        <w:pStyle w:val="21"/>
        <w:spacing w:line="360" w:lineRule="exact"/>
        <w:ind w:firstLine="420" w:firstLineChars="200"/>
        <w:rPr>
          <w:rFonts w:hint="eastAsia" w:ascii="黑体" w:hAnsi="黑体" w:eastAsia="黑体" w:cs="黑体"/>
        </w:rPr>
      </w:pPr>
      <w:r>
        <w:rPr>
          <w:rFonts w:hint="eastAsia" w:ascii="黑体" w:hAnsi="黑体" w:eastAsia="黑体" w:cs="黑体"/>
        </w:rPr>
        <w:t>脉沉（deep pulse）</w:t>
      </w:r>
    </w:p>
    <w:p w14:paraId="1CF07EA4">
      <w:pPr>
        <w:pStyle w:val="21"/>
        <w:spacing w:line="360" w:lineRule="exact"/>
        <w:ind w:firstLine="420" w:firstLineChars="200"/>
      </w:pPr>
      <w:r>
        <w:t>脉沉指脉位深，轻取不能应指，重按才显现于指下的脉象。</w:t>
      </w:r>
    </w:p>
    <w:p w14:paraId="01E730FA">
      <w:pPr>
        <w:pStyle w:val="21"/>
        <w:spacing w:line="360" w:lineRule="exact"/>
        <w:ind w:firstLine="0" w:firstLineChars="0"/>
      </w:pPr>
    </w:p>
    <w:p w14:paraId="35AAE6C9">
      <w:pPr>
        <w:pStyle w:val="21"/>
        <w:tabs>
          <w:tab w:val="center" w:pos="4201"/>
          <w:tab w:val="right" w:leader="dot" w:pos="9298"/>
        </w:tabs>
        <w:ind w:firstLine="0" w:firstLineChars="0"/>
        <w:outlineLvl w:val="0"/>
        <w:rPr>
          <w:rFonts w:ascii="黑体" w:hAnsi="黑体" w:eastAsia="黑体" w:cs="黑体"/>
          <w:szCs w:val="21"/>
        </w:rPr>
      </w:pPr>
      <w:bookmarkStart w:id="41" w:name="_Toc6651"/>
      <w:bookmarkStart w:id="42" w:name="_Toc5188"/>
      <w:bookmarkStart w:id="43" w:name="_Toc17304"/>
      <w:r>
        <w:rPr>
          <w:rFonts w:hint="eastAsia" w:ascii="Times New Roman"/>
          <w:color w:val="000000"/>
        </w:rPr>
        <w:t xml:space="preserve">4 </w:t>
      </w:r>
      <w:r>
        <w:rPr>
          <w:rFonts w:hint="eastAsia" w:ascii="黑体" w:hAnsi="黑体" w:eastAsia="黑体" w:cs="黑体"/>
          <w:szCs w:val="21"/>
        </w:rPr>
        <w:t>冠心病热毒证诊断</w:t>
      </w:r>
      <w:bookmarkEnd w:id="41"/>
      <w:bookmarkEnd w:id="42"/>
      <w:r>
        <w:rPr>
          <w:rFonts w:hint="eastAsia" w:ascii="黑体" w:hAnsi="黑体" w:eastAsia="黑体" w:cs="黑体"/>
          <w:szCs w:val="21"/>
          <w:lang w:val="en-US" w:eastAsia="zh-CN"/>
        </w:rPr>
        <w:t>依据</w:t>
      </w:r>
      <w:bookmarkEnd w:id="43"/>
      <w:bookmarkStart w:id="68" w:name="_GoBack"/>
      <w:bookmarkEnd w:id="68"/>
    </w:p>
    <w:p w14:paraId="3F1E4358">
      <w:pPr>
        <w:pStyle w:val="21"/>
        <w:numPr>
          <w:ilvl w:val="255"/>
          <w:numId w:val="0"/>
        </w:numPr>
        <w:spacing w:line="360" w:lineRule="exact"/>
        <w:rPr>
          <w:rFonts w:ascii="黑体" w:hAnsi="黑体" w:eastAsia="黑体" w:cs="黑体"/>
          <w:szCs w:val="21"/>
        </w:rPr>
      </w:pPr>
    </w:p>
    <w:p w14:paraId="22A645DA">
      <w:pPr>
        <w:pStyle w:val="21"/>
        <w:numPr>
          <w:ilvl w:val="255"/>
          <w:numId w:val="0"/>
        </w:numPr>
        <w:spacing w:line="360" w:lineRule="exact"/>
        <w:ind w:firstLine="420" w:firstLineChars="200"/>
        <w:jc w:val="center"/>
        <w:rPr>
          <w:rFonts w:hAnsi="宋体" w:cs="宋体"/>
          <w:sz w:val="21"/>
          <w:szCs w:val="21"/>
        </w:rPr>
      </w:pPr>
      <w:r>
        <w:rPr>
          <w:rFonts w:hint="eastAsia" w:hAnsi="宋体" w:cs="宋体"/>
          <w:sz w:val="21"/>
          <w:szCs w:val="21"/>
        </w:rPr>
        <w:t>表1.冠心病热毒证诊断</w:t>
      </w:r>
      <w:r>
        <w:rPr>
          <w:rFonts w:hint="eastAsia" w:hAnsi="宋体" w:cs="宋体"/>
          <w:sz w:val="21"/>
          <w:szCs w:val="21"/>
          <w:lang w:val="en-US" w:eastAsia="zh-CN"/>
        </w:rPr>
        <w:t>依据表</w:t>
      </w:r>
    </w:p>
    <w:tbl>
      <w:tblPr>
        <w:tblStyle w:val="13"/>
        <w:tblpPr w:leftFromText="180" w:rightFromText="180" w:vertAnchor="text" w:horzAnchor="page" w:tblpX="1872" w:tblpY="119"/>
        <w:tblOverlap w:val="never"/>
        <w:tblW w:w="88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7"/>
        <w:gridCol w:w="7419"/>
      </w:tblGrid>
      <w:tr w14:paraId="69126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87" w:type="dxa"/>
            <w:tcBorders>
              <w:top w:val="single" w:color="auto" w:sz="4" w:space="0"/>
              <w:bottom w:val="single" w:color="auto" w:sz="4" w:space="0"/>
              <w:tl2br w:val="nil"/>
              <w:tr2bl w:val="nil"/>
            </w:tcBorders>
            <w:shd w:val="clear" w:color="auto" w:fill="auto"/>
            <w:vAlign w:val="center"/>
          </w:tcPr>
          <w:p w14:paraId="0DA89749">
            <w:pPr>
              <w:pStyle w:val="20"/>
              <w:numPr>
                <w:ilvl w:val="255"/>
                <w:numId w:val="0"/>
              </w:numPr>
              <w:spacing w:beforeLines="100" w:afterLines="100"/>
              <w:ind w:left="0"/>
              <w:rPr>
                <w:rFonts w:ascii="宋体" w:hAnsi="宋体" w:eastAsia="宋体" w:cs="宋体"/>
                <w:sz w:val="21"/>
                <w:szCs w:val="21"/>
              </w:rPr>
            </w:pPr>
            <w:r>
              <w:rPr>
                <w:rFonts w:hint="eastAsia" w:ascii="宋体" w:hAnsi="宋体" w:eastAsia="宋体" w:cs="宋体"/>
                <w:sz w:val="21"/>
                <w:szCs w:val="21"/>
              </w:rPr>
              <w:t>指标类型</w:t>
            </w:r>
          </w:p>
        </w:tc>
        <w:tc>
          <w:tcPr>
            <w:tcW w:w="7419" w:type="dxa"/>
            <w:tcBorders>
              <w:top w:val="single" w:color="auto" w:sz="4" w:space="0"/>
              <w:bottom w:val="single" w:color="auto" w:sz="4" w:space="0"/>
              <w:tl2br w:val="nil"/>
              <w:tr2bl w:val="nil"/>
            </w:tcBorders>
            <w:shd w:val="clear" w:color="auto" w:fill="auto"/>
            <w:vAlign w:val="center"/>
          </w:tcPr>
          <w:p w14:paraId="4099B48C">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条目</w:t>
            </w:r>
          </w:p>
        </w:tc>
      </w:tr>
      <w:tr w14:paraId="07554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87" w:type="dxa"/>
            <w:tcBorders>
              <w:top w:val="single" w:color="auto" w:sz="4" w:space="0"/>
              <w:bottom w:val="single" w:color="auto" w:sz="4" w:space="0"/>
              <w:tl2br w:val="nil"/>
              <w:tr2bl w:val="nil"/>
            </w:tcBorders>
          </w:tcPr>
          <w:p w14:paraId="3A931769">
            <w:pPr>
              <w:pStyle w:val="20"/>
              <w:numPr>
                <w:ilvl w:val="255"/>
                <w:numId w:val="0"/>
              </w:numPr>
              <w:spacing w:beforeLines="100" w:afterLines="100"/>
              <w:ind w:left="0"/>
              <w:rPr>
                <w:rFonts w:ascii="宋体" w:hAnsi="宋体" w:eastAsia="宋体" w:cs="宋体"/>
                <w:sz w:val="21"/>
                <w:szCs w:val="21"/>
              </w:rPr>
            </w:pPr>
            <w:r>
              <w:rPr>
                <w:rFonts w:hint="eastAsia" w:ascii="宋体" w:hAnsi="宋体" w:eastAsia="宋体" w:cs="宋体"/>
                <w:sz w:val="21"/>
                <w:szCs w:val="21"/>
              </w:rPr>
              <w:t>主症</w:t>
            </w:r>
          </w:p>
        </w:tc>
        <w:tc>
          <w:tcPr>
            <w:tcW w:w="7419" w:type="dxa"/>
            <w:tcBorders>
              <w:top w:val="single" w:color="auto" w:sz="4" w:space="0"/>
              <w:bottom w:val="single" w:color="auto" w:sz="4" w:space="0"/>
              <w:tl2br w:val="nil"/>
              <w:tr2bl w:val="nil"/>
            </w:tcBorders>
            <w:shd w:val="clear" w:color="auto" w:fill="auto"/>
            <w:vAlign w:val="center"/>
          </w:tcPr>
          <w:p w14:paraId="2FB60594">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胸痛</w:t>
            </w:r>
            <w:r>
              <w:rPr>
                <w:rFonts w:hint="eastAsia" w:ascii="宋体" w:hAnsi="宋体" w:eastAsia="宋体" w:cs="宋体"/>
                <w:sz w:val="21"/>
                <w:szCs w:val="21"/>
                <w:lang w:val="en-US" w:eastAsia="zh-CN"/>
              </w:rPr>
              <w:t>或（和）胸闷</w:t>
            </w:r>
            <w:r>
              <w:rPr>
                <w:rFonts w:hint="eastAsia" w:ascii="宋体" w:hAnsi="宋体" w:eastAsia="宋体" w:cs="宋体"/>
                <w:sz w:val="21"/>
                <w:szCs w:val="21"/>
              </w:rPr>
              <w:t>反复发作，或</w:t>
            </w:r>
            <w:r>
              <w:rPr>
                <w:rFonts w:hint="eastAsia" w:ascii="宋体" w:hAnsi="宋体" w:eastAsia="宋体" w:cs="宋体"/>
                <w:sz w:val="21"/>
                <w:szCs w:val="21"/>
                <w:lang w:val="en-US" w:eastAsia="zh-CN"/>
              </w:rPr>
              <w:t>进行性加重</w:t>
            </w:r>
          </w:p>
        </w:tc>
      </w:tr>
      <w:tr w14:paraId="36765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387" w:type="dxa"/>
            <w:vMerge w:val="restart"/>
            <w:tcBorders>
              <w:top w:val="single" w:color="auto" w:sz="4" w:space="0"/>
              <w:tl2br w:val="nil"/>
              <w:tr2bl w:val="nil"/>
            </w:tcBorders>
          </w:tcPr>
          <w:p w14:paraId="48F15368">
            <w:pPr>
              <w:pStyle w:val="20"/>
              <w:numPr>
                <w:ilvl w:val="255"/>
                <w:numId w:val="0"/>
              </w:numPr>
              <w:spacing w:beforeLines="100" w:afterLines="100"/>
              <w:ind w:left="0"/>
              <w:rPr>
                <w:rFonts w:ascii="宋体" w:hAnsi="宋体" w:eastAsia="宋体" w:cs="宋体"/>
                <w:sz w:val="21"/>
                <w:szCs w:val="21"/>
              </w:rPr>
            </w:pPr>
            <w:r>
              <w:rPr>
                <w:rFonts w:hint="eastAsia" w:ascii="宋体" w:hAnsi="宋体" w:eastAsia="宋体" w:cs="宋体"/>
                <w:sz w:val="21"/>
                <w:szCs w:val="21"/>
              </w:rPr>
              <w:t>次症</w:t>
            </w:r>
          </w:p>
        </w:tc>
        <w:tc>
          <w:tcPr>
            <w:tcW w:w="7419" w:type="dxa"/>
            <w:tcBorders>
              <w:top w:val="single" w:color="auto" w:sz="4" w:space="0"/>
              <w:tl2br w:val="nil"/>
              <w:tr2bl w:val="nil"/>
            </w:tcBorders>
            <w:vAlign w:val="center"/>
          </w:tcPr>
          <w:p w14:paraId="0C6A1236">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1.烦躁</w:t>
            </w:r>
          </w:p>
        </w:tc>
      </w:tr>
      <w:tr w14:paraId="28F3A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387" w:type="dxa"/>
            <w:vMerge w:val="continue"/>
            <w:tcBorders>
              <w:tl2br w:val="nil"/>
              <w:tr2bl w:val="nil"/>
            </w:tcBorders>
          </w:tcPr>
          <w:p w14:paraId="0FD4359E">
            <w:pPr>
              <w:pStyle w:val="20"/>
              <w:numPr>
                <w:ilvl w:val="255"/>
                <w:numId w:val="0"/>
              </w:numPr>
              <w:spacing w:beforeLines="100" w:afterLines="100"/>
              <w:ind w:left="0" w:firstLine="420" w:firstLineChars="200"/>
              <w:rPr>
                <w:rFonts w:ascii="宋体" w:hAnsi="宋体" w:eastAsia="宋体" w:cs="宋体"/>
                <w:sz w:val="21"/>
                <w:szCs w:val="21"/>
              </w:rPr>
            </w:pPr>
          </w:p>
        </w:tc>
        <w:tc>
          <w:tcPr>
            <w:tcW w:w="7419" w:type="dxa"/>
            <w:tcBorders>
              <w:tl2br w:val="nil"/>
              <w:tr2bl w:val="nil"/>
            </w:tcBorders>
            <w:vAlign w:val="center"/>
          </w:tcPr>
          <w:p w14:paraId="7FFA5B1C">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2.心悸</w:t>
            </w:r>
          </w:p>
        </w:tc>
      </w:tr>
      <w:tr w14:paraId="7A556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87" w:type="dxa"/>
            <w:vMerge w:val="continue"/>
            <w:tcBorders>
              <w:tl2br w:val="nil"/>
              <w:tr2bl w:val="nil"/>
            </w:tcBorders>
          </w:tcPr>
          <w:p w14:paraId="1625E0E6">
            <w:pPr>
              <w:pStyle w:val="20"/>
              <w:numPr>
                <w:ilvl w:val="255"/>
                <w:numId w:val="0"/>
              </w:numPr>
              <w:spacing w:beforeLines="100" w:afterLines="100"/>
              <w:ind w:left="0" w:firstLine="420" w:firstLineChars="200"/>
              <w:rPr>
                <w:rFonts w:ascii="宋体" w:hAnsi="宋体" w:eastAsia="宋体" w:cs="宋体"/>
                <w:sz w:val="21"/>
                <w:szCs w:val="21"/>
              </w:rPr>
            </w:pPr>
          </w:p>
        </w:tc>
        <w:tc>
          <w:tcPr>
            <w:tcW w:w="7419" w:type="dxa"/>
            <w:tcBorders>
              <w:tl2br w:val="nil"/>
              <w:tr2bl w:val="nil"/>
            </w:tcBorders>
            <w:vAlign w:val="center"/>
          </w:tcPr>
          <w:p w14:paraId="0B071E78">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3.大便秘结或黏滞</w:t>
            </w:r>
          </w:p>
        </w:tc>
      </w:tr>
      <w:tr w14:paraId="41447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387" w:type="dxa"/>
            <w:vMerge w:val="continue"/>
            <w:tcBorders>
              <w:tl2br w:val="nil"/>
              <w:tr2bl w:val="nil"/>
            </w:tcBorders>
          </w:tcPr>
          <w:p w14:paraId="0961D338">
            <w:pPr>
              <w:pStyle w:val="20"/>
              <w:numPr>
                <w:ilvl w:val="255"/>
                <w:numId w:val="0"/>
              </w:numPr>
              <w:spacing w:beforeLines="100" w:afterLines="100"/>
              <w:ind w:left="0" w:firstLine="420" w:firstLineChars="200"/>
              <w:rPr>
                <w:rFonts w:ascii="宋体" w:hAnsi="宋体" w:eastAsia="宋体" w:cs="宋体"/>
                <w:sz w:val="21"/>
                <w:szCs w:val="21"/>
              </w:rPr>
            </w:pPr>
          </w:p>
        </w:tc>
        <w:tc>
          <w:tcPr>
            <w:tcW w:w="7419" w:type="dxa"/>
            <w:tcBorders>
              <w:tl2br w:val="nil"/>
              <w:tr2bl w:val="nil"/>
            </w:tcBorders>
            <w:vAlign w:val="center"/>
          </w:tcPr>
          <w:p w14:paraId="0C712FD7">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4.口干、口苦</w:t>
            </w:r>
          </w:p>
        </w:tc>
      </w:tr>
      <w:tr w14:paraId="2CCC0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387" w:type="dxa"/>
            <w:vMerge w:val="continue"/>
            <w:tcBorders>
              <w:bottom w:val="single" w:color="auto" w:sz="4" w:space="0"/>
              <w:tl2br w:val="nil"/>
              <w:tr2bl w:val="nil"/>
            </w:tcBorders>
          </w:tcPr>
          <w:p w14:paraId="5F4EF746">
            <w:pPr>
              <w:pStyle w:val="20"/>
              <w:numPr>
                <w:ilvl w:val="255"/>
                <w:numId w:val="0"/>
              </w:numPr>
              <w:spacing w:beforeLines="100" w:afterLines="100"/>
              <w:ind w:left="0" w:firstLine="420" w:firstLineChars="200"/>
              <w:rPr>
                <w:rFonts w:ascii="宋体" w:hAnsi="宋体" w:eastAsia="宋体" w:cs="宋体"/>
                <w:sz w:val="21"/>
                <w:szCs w:val="21"/>
              </w:rPr>
            </w:pPr>
          </w:p>
        </w:tc>
        <w:tc>
          <w:tcPr>
            <w:tcW w:w="7419" w:type="dxa"/>
            <w:tcBorders>
              <w:bottom w:val="single" w:color="auto" w:sz="4" w:space="0"/>
              <w:tl2br w:val="nil"/>
              <w:tr2bl w:val="nil"/>
            </w:tcBorders>
            <w:vAlign w:val="center"/>
          </w:tcPr>
          <w:p w14:paraId="2D3610A7">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5.热性阳亢体质或阴虚阳亢体质</w:t>
            </w:r>
          </w:p>
        </w:tc>
      </w:tr>
      <w:tr w14:paraId="4D5D3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87" w:type="dxa"/>
            <w:vMerge w:val="restart"/>
            <w:tcBorders>
              <w:top w:val="single" w:color="auto" w:sz="4" w:space="0"/>
              <w:left w:val="nil"/>
              <w:bottom w:val="nil"/>
              <w:right w:val="nil"/>
              <w:tl2br w:val="nil"/>
              <w:tr2bl w:val="nil"/>
            </w:tcBorders>
          </w:tcPr>
          <w:p w14:paraId="5CA25E57">
            <w:pPr>
              <w:pStyle w:val="20"/>
              <w:numPr>
                <w:ilvl w:val="255"/>
                <w:numId w:val="0"/>
              </w:numPr>
              <w:spacing w:beforeLines="100" w:afterLines="100"/>
              <w:ind w:left="0"/>
              <w:rPr>
                <w:rFonts w:ascii="宋体" w:hAnsi="宋体" w:eastAsia="宋体" w:cs="宋体"/>
                <w:sz w:val="21"/>
                <w:szCs w:val="21"/>
              </w:rPr>
            </w:pPr>
            <w:r>
              <w:rPr>
                <w:rFonts w:hint="eastAsia" w:ascii="宋体" w:hAnsi="宋体" w:eastAsia="宋体" w:cs="宋体"/>
                <w:sz w:val="21"/>
                <w:szCs w:val="21"/>
              </w:rPr>
              <w:t>理化指标</w:t>
            </w:r>
          </w:p>
        </w:tc>
        <w:tc>
          <w:tcPr>
            <w:tcW w:w="7419" w:type="dxa"/>
            <w:tcBorders>
              <w:top w:val="single" w:color="auto" w:sz="4" w:space="0"/>
              <w:left w:val="nil"/>
              <w:bottom w:val="nil"/>
              <w:right w:val="nil"/>
              <w:tl2br w:val="nil"/>
              <w:tr2bl w:val="nil"/>
            </w:tcBorders>
            <w:vAlign w:val="center"/>
          </w:tcPr>
          <w:p w14:paraId="4CC990BD">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1.冠脉造影显示2支及以上血管</w:t>
            </w:r>
            <w:r>
              <w:rPr>
                <w:rFonts w:hint="eastAsia" w:ascii="宋体" w:hAnsi="宋体" w:eastAsia="宋体" w:cs="宋体"/>
                <w:sz w:val="21"/>
                <w:szCs w:val="21"/>
                <w:lang w:val="en-US" w:eastAsia="zh-CN"/>
              </w:rPr>
              <w:t>管腔狭窄≥50%或至少一支主要血管</w:t>
            </w:r>
            <w:r>
              <w:rPr>
                <w:rFonts w:hint="eastAsia" w:ascii="宋体" w:hAnsi="宋体" w:eastAsia="宋体" w:cs="宋体"/>
                <w:sz w:val="21"/>
                <w:szCs w:val="21"/>
              </w:rPr>
              <w:t>管腔狭窄</w:t>
            </w:r>
            <w:r>
              <w:rPr>
                <w:rFonts w:hint="eastAsia" w:ascii="宋体" w:hAnsi="宋体" w:eastAsia="宋体" w:cs="宋体"/>
                <w:sz w:val="21"/>
                <w:szCs w:val="21"/>
                <w:lang w:val="en-US" w:eastAsia="zh-CN"/>
              </w:rPr>
              <w:t>≥</w:t>
            </w:r>
            <w:r>
              <w:rPr>
                <w:rFonts w:hint="eastAsia" w:ascii="宋体" w:hAnsi="宋体" w:eastAsia="宋体" w:cs="宋体"/>
                <w:sz w:val="21"/>
                <w:szCs w:val="21"/>
              </w:rPr>
              <w:t>75%</w:t>
            </w:r>
            <w:r>
              <w:rPr>
                <w:rFonts w:hint="eastAsia" w:ascii="宋体" w:hAnsi="宋体" w:eastAsia="宋体" w:cs="宋体"/>
                <w:sz w:val="21"/>
                <w:szCs w:val="21"/>
                <w:lang w:eastAsia="zh-CN"/>
              </w:rPr>
              <w:t>。</w:t>
            </w:r>
          </w:p>
        </w:tc>
      </w:tr>
      <w:tr w14:paraId="5585D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87" w:type="dxa"/>
            <w:vMerge w:val="continue"/>
            <w:tcBorders>
              <w:top w:val="nil"/>
              <w:left w:val="nil"/>
              <w:bottom w:val="nil"/>
              <w:right w:val="nil"/>
              <w:tl2br w:val="nil"/>
              <w:tr2bl w:val="nil"/>
            </w:tcBorders>
          </w:tcPr>
          <w:p w14:paraId="06E934E9">
            <w:pPr>
              <w:pStyle w:val="20"/>
              <w:numPr>
                <w:ilvl w:val="255"/>
                <w:numId w:val="0"/>
              </w:numPr>
              <w:spacing w:beforeLines="100" w:afterLines="100"/>
              <w:ind w:left="0" w:firstLine="420" w:firstLineChars="200"/>
              <w:rPr>
                <w:rFonts w:ascii="宋体" w:hAnsi="宋体" w:eastAsia="宋体" w:cs="宋体"/>
                <w:sz w:val="21"/>
                <w:szCs w:val="21"/>
              </w:rPr>
            </w:pPr>
          </w:p>
        </w:tc>
        <w:tc>
          <w:tcPr>
            <w:tcW w:w="7419" w:type="dxa"/>
            <w:tcBorders>
              <w:top w:val="nil"/>
              <w:left w:val="nil"/>
              <w:bottom w:val="nil"/>
              <w:right w:val="nil"/>
              <w:tl2br w:val="nil"/>
              <w:tr2bl w:val="nil"/>
            </w:tcBorders>
            <w:vAlign w:val="center"/>
          </w:tcPr>
          <w:p w14:paraId="7F0411E8">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2.发病时心电图缺血改变</w:t>
            </w:r>
          </w:p>
        </w:tc>
      </w:tr>
      <w:tr w14:paraId="00F43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87" w:type="dxa"/>
            <w:vMerge w:val="continue"/>
            <w:tcBorders>
              <w:top w:val="nil"/>
              <w:left w:val="nil"/>
              <w:bottom w:val="nil"/>
              <w:right w:val="nil"/>
              <w:tl2br w:val="nil"/>
              <w:tr2bl w:val="nil"/>
            </w:tcBorders>
          </w:tcPr>
          <w:p w14:paraId="0155F557">
            <w:pPr>
              <w:pStyle w:val="20"/>
              <w:numPr>
                <w:ilvl w:val="255"/>
                <w:numId w:val="0"/>
              </w:numPr>
              <w:spacing w:beforeLines="100" w:afterLines="100"/>
              <w:ind w:left="0" w:firstLine="420" w:firstLineChars="200"/>
              <w:rPr>
                <w:rFonts w:ascii="宋体" w:hAnsi="宋体" w:eastAsia="宋体" w:cs="宋体"/>
                <w:sz w:val="21"/>
                <w:szCs w:val="21"/>
              </w:rPr>
            </w:pPr>
          </w:p>
        </w:tc>
        <w:tc>
          <w:tcPr>
            <w:tcW w:w="7419" w:type="dxa"/>
            <w:tcBorders>
              <w:top w:val="nil"/>
              <w:left w:val="nil"/>
              <w:bottom w:val="nil"/>
              <w:right w:val="nil"/>
              <w:tl2br w:val="nil"/>
              <w:tr2bl w:val="nil"/>
            </w:tcBorders>
            <w:vAlign w:val="center"/>
          </w:tcPr>
          <w:p w14:paraId="66E0F99C">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3.超敏C反应蛋白（hs-CRP)升高</w:t>
            </w:r>
          </w:p>
        </w:tc>
      </w:tr>
      <w:tr w14:paraId="0EA1F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87" w:type="dxa"/>
            <w:vMerge w:val="continue"/>
            <w:tcBorders>
              <w:top w:val="nil"/>
              <w:left w:val="nil"/>
              <w:bottom w:val="single" w:color="auto" w:sz="4" w:space="0"/>
              <w:right w:val="nil"/>
              <w:tl2br w:val="nil"/>
              <w:tr2bl w:val="nil"/>
            </w:tcBorders>
          </w:tcPr>
          <w:p w14:paraId="2A5F01C3">
            <w:pPr>
              <w:pStyle w:val="20"/>
              <w:numPr>
                <w:ilvl w:val="255"/>
                <w:numId w:val="0"/>
              </w:numPr>
              <w:spacing w:beforeLines="100" w:afterLines="100"/>
              <w:ind w:left="0" w:firstLine="420" w:firstLineChars="200"/>
              <w:rPr>
                <w:rFonts w:ascii="宋体" w:hAnsi="宋体" w:eastAsia="宋体" w:cs="宋体"/>
                <w:sz w:val="21"/>
                <w:szCs w:val="21"/>
              </w:rPr>
            </w:pPr>
          </w:p>
        </w:tc>
        <w:tc>
          <w:tcPr>
            <w:tcW w:w="7419" w:type="dxa"/>
            <w:tcBorders>
              <w:top w:val="nil"/>
              <w:left w:val="nil"/>
              <w:bottom w:val="single" w:color="auto" w:sz="4" w:space="0"/>
              <w:right w:val="nil"/>
              <w:tl2br w:val="nil"/>
              <w:tr2bl w:val="nil"/>
            </w:tcBorders>
            <w:vAlign w:val="center"/>
          </w:tcPr>
          <w:p w14:paraId="07BBEACB">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4.肌钙蛋白I或T升高</w:t>
            </w:r>
          </w:p>
        </w:tc>
      </w:tr>
      <w:tr w14:paraId="18CD8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387" w:type="dxa"/>
            <w:tcBorders>
              <w:top w:val="single" w:color="auto" w:sz="4" w:space="0"/>
              <w:left w:val="nil"/>
              <w:bottom w:val="single" w:color="auto" w:sz="4" w:space="0"/>
              <w:right w:val="nil"/>
              <w:tl2br w:val="nil"/>
              <w:tr2bl w:val="nil"/>
            </w:tcBorders>
          </w:tcPr>
          <w:p w14:paraId="38AE19D6">
            <w:pPr>
              <w:pStyle w:val="20"/>
              <w:numPr>
                <w:ilvl w:val="255"/>
                <w:numId w:val="0"/>
              </w:numPr>
              <w:spacing w:beforeLines="100" w:afterLines="100"/>
              <w:ind w:left="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一般状况</w:t>
            </w:r>
          </w:p>
        </w:tc>
        <w:tc>
          <w:tcPr>
            <w:tcW w:w="7419" w:type="dxa"/>
            <w:tcBorders>
              <w:top w:val="single" w:color="auto" w:sz="4" w:space="0"/>
              <w:left w:val="nil"/>
              <w:bottom w:val="single" w:color="auto" w:sz="4" w:space="0"/>
              <w:right w:val="nil"/>
              <w:tl2br w:val="nil"/>
              <w:tr2bl w:val="nil"/>
            </w:tcBorders>
            <w:vAlign w:val="center"/>
          </w:tcPr>
          <w:p w14:paraId="6027DDFD">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合并糖尿病、高血压、高脂血症、高尿酸血症等危险因素两种及以上</w:t>
            </w:r>
          </w:p>
        </w:tc>
      </w:tr>
      <w:tr w14:paraId="65E01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387" w:type="dxa"/>
            <w:vMerge w:val="restart"/>
            <w:tcBorders>
              <w:top w:val="single" w:color="auto" w:sz="4" w:space="0"/>
              <w:tl2br w:val="nil"/>
              <w:tr2bl w:val="nil"/>
            </w:tcBorders>
            <w:shd w:val="clear" w:color="auto" w:fill="auto"/>
          </w:tcPr>
          <w:p w14:paraId="756CBE51">
            <w:pPr>
              <w:pStyle w:val="20"/>
              <w:numPr>
                <w:ilvl w:val="255"/>
                <w:numId w:val="0"/>
              </w:numPr>
              <w:spacing w:beforeLines="100" w:afterLines="100"/>
              <w:ind w:left="0"/>
              <w:rPr>
                <w:rFonts w:ascii="宋体" w:hAnsi="宋体" w:eastAsia="宋体" w:cs="宋体"/>
                <w:sz w:val="21"/>
                <w:szCs w:val="21"/>
              </w:rPr>
            </w:pPr>
            <w:r>
              <w:rPr>
                <w:rFonts w:hint="eastAsia" w:ascii="宋体" w:hAnsi="宋体" w:eastAsia="宋体" w:cs="宋体"/>
                <w:sz w:val="21"/>
                <w:szCs w:val="21"/>
              </w:rPr>
              <w:t>舌象</w:t>
            </w:r>
          </w:p>
        </w:tc>
        <w:tc>
          <w:tcPr>
            <w:tcW w:w="7419" w:type="dxa"/>
            <w:tcBorders>
              <w:top w:val="single" w:color="auto" w:sz="4" w:space="0"/>
              <w:tl2br w:val="nil"/>
              <w:tr2bl w:val="nil"/>
            </w:tcBorders>
            <w:shd w:val="clear" w:color="auto" w:fill="auto"/>
            <w:vAlign w:val="center"/>
          </w:tcPr>
          <w:p w14:paraId="40E91D98">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1.舌质红</w:t>
            </w:r>
          </w:p>
        </w:tc>
      </w:tr>
      <w:tr w14:paraId="661BF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387" w:type="dxa"/>
            <w:vMerge w:val="continue"/>
            <w:tcBorders>
              <w:tl2br w:val="nil"/>
              <w:tr2bl w:val="nil"/>
            </w:tcBorders>
          </w:tcPr>
          <w:p w14:paraId="364CA1AE">
            <w:pPr>
              <w:pStyle w:val="20"/>
              <w:numPr>
                <w:ilvl w:val="255"/>
                <w:numId w:val="0"/>
              </w:numPr>
              <w:spacing w:beforeLines="100" w:afterLines="100"/>
              <w:ind w:left="0" w:firstLine="420" w:firstLineChars="200"/>
              <w:rPr>
                <w:rFonts w:ascii="宋体" w:hAnsi="宋体" w:eastAsia="宋体" w:cs="宋体"/>
                <w:sz w:val="21"/>
                <w:szCs w:val="21"/>
              </w:rPr>
            </w:pPr>
          </w:p>
        </w:tc>
        <w:tc>
          <w:tcPr>
            <w:tcW w:w="7419" w:type="dxa"/>
            <w:tcBorders>
              <w:tl2br w:val="nil"/>
              <w:tr2bl w:val="nil"/>
            </w:tcBorders>
            <w:shd w:val="clear" w:color="auto" w:fill="auto"/>
            <w:vAlign w:val="center"/>
          </w:tcPr>
          <w:p w14:paraId="40587E96">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2.舌质暗红</w:t>
            </w:r>
          </w:p>
        </w:tc>
      </w:tr>
      <w:tr w14:paraId="460CF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1387" w:type="dxa"/>
            <w:vMerge w:val="continue"/>
            <w:tcBorders>
              <w:tl2br w:val="nil"/>
              <w:tr2bl w:val="nil"/>
            </w:tcBorders>
          </w:tcPr>
          <w:p w14:paraId="3D054E54">
            <w:pPr>
              <w:pStyle w:val="20"/>
              <w:numPr>
                <w:ilvl w:val="255"/>
                <w:numId w:val="0"/>
              </w:numPr>
              <w:spacing w:beforeLines="100" w:afterLines="100"/>
              <w:ind w:left="0" w:firstLine="420" w:firstLineChars="200"/>
              <w:rPr>
                <w:rFonts w:ascii="宋体" w:hAnsi="宋体" w:eastAsia="宋体" w:cs="宋体"/>
                <w:sz w:val="21"/>
                <w:szCs w:val="21"/>
              </w:rPr>
            </w:pPr>
          </w:p>
        </w:tc>
        <w:tc>
          <w:tcPr>
            <w:tcW w:w="7419" w:type="dxa"/>
            <w:tcBorders>
              <w:tl2br w:val="nil"/>
              <w:tr2bl w:val="nil"/>
            </w:tcBorders>
            <w:shd w:val="clear" w:color="auto" w:fill="auto"/>
            <w:vAlign w:val="center"/>
          </w:tcPr>
          <w:p w14:paraId="610186BF">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3.舌苔黄</w:t>
            </w:r>
          </w:p>
        </w:tc>
      </w:tr>
      <w:tr w14:paraId="5D79A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1387" w:type="dxa"/>
            <w:vMerge w:val="continue"/>
            <w:tcBorders>
              <w:bottom w:val="single" w:color="auto" w:sz="4" w:space="0"/>
              <w:tl2br w:val="nil"/>
              <w:tr2bl w:val="nil"/>
            </w:tcBorders>
          </w:tcPr>
          <w:p w14:paraId="3E262497">
            <w:pPr>
              <w:pStyle w:val="20"/>
              <w:numPr>
                <w:ilvl w:val="255"/>
                <w:numId w:val="0"/>
              </w:numPr>
              <w:spacing w:beforeLines="100" w:afterLines="100"/>
              <w:ind w:left="0" w:firstLine="420" w:firstLineChars="200"/>
              <w:rPr>
                <w:rFonts w:ascii="宋体" w:hAnsi="宋体" w:eastAsia="宋体" w:cs="宋体"/>
                <w:sz w:val="21"/>
                <w:szCs w:val="21"/>
              </w:rPr>
            </w:pPr>
          </w:p>
        </w:tc>
        <w:tc>
          <w:tcPr>
            <w:tcW w:w="7419" w:type="dxa"/>
            <w:tcBorders>
              <w:bottom w:val="single" w:color="auto" w:sz="4" w:space="0"/>
              <w:tl2br w:val="nil"/>
              <w:tr2bl w:val="nil"/>
            </w:tcBorders>
            <w:shd w:val="clear" w:color="auto" w:fill="auto"/>
            <w:vAlign w:val="center"/>
          </w:tcPr>
          <w:p w14:paraId="4230144D">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4.舌苔黄腻或黄燥</w:t>
            </w:r>
          </w:p>
        </w:tc>
      </w:tr>
      <w:tr w14:paraId="4C7AD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387" w:type="dxa"/>
            <w:vMerge w:val="restart"/>
            <w:tcBorders>
              <w:top w:val="single" w:color="auto" w:sz="4" w:space="0"/>
              <w:tl2br w:val="nil"/>
              <w:tr2bl w:val="nil"/>
            </w:tcBorders>
            <w:shd w:val="clear" w:color="auto" w:fill="auto"/>
          </w:tcPr>
          <w:p w14:paraId="6CD45253">
            <w:pPr>
              <w:pStyle w:val="20"/>
              <w:numPr>
                <w:ilvl w:val="255"/>
                <w:numId w:val="0"/>
              </w:numPr>
              <w:spacing w:beforeLines="100" w:afterLines="100"/>
              <w:ind w:left="0"/>
              <w:rPr>
                <w:rFonts w:ascii="宋体" w:hAnsi="宋体" w:eastAsia="宋体" w:cs="宋体"/>
                <w:sz w:val="21"/>
                <w:szCs w:val="21"/>
              </w:rPr>
            </w:pPr>
            <w:r>
              <w:rPr>
                <w:rFonts w:hint="eastAsia" w:ascii="宋体" w:hAnsi="宋体" w:eastAsia="宋体" w:cs="宋体"/>
                <w:sz w:val="21"/>
                <w:szCs w:val="21"/>
              </w:rPr>
              <w:t>脉象</w:t>
            </w:r>
          </w:p>
          <w:p w14:paraId="450FE62C">
            <w:pPr>
              <w:pStyle w:val="20"/>
              <w:numPr>
                <w:ilvl w:val="255"/>
                <w:numId w:val="0"/>
              </w:numPr>
              <w:spacing w:beforeLines="100" w:afterLines="100"/>
              <w:ind w:left="0" w:firstLine="420" w:firstLineChars="200"/>
              <w:rPr>
                <w:rFonts w:ascii="宋体" w:hAnsi="宋体" w:eastAsia="宋体" w:cs="宋体"/>
                <w:sz w:val="21"/>
                <w:szCs w:val="21"/>
              </w:rPr>
            </w:pPr>
          </w:p>
          <w:p w14:paraId="3A17273D">
            <w:pPr>
              <w:pStyle w:val="20"/>
              <w:numPr>
                <w:ilvl w:val="255"/>
                <w:numId w:val="0"/>
              </w:numPr>
              <w:spacing w:beforeLines="100" w:afterLines="100"/>
              <w:ind w:left="0" w:firstLine="420" w:firstLineChars="200"/>
              <w:rPr>
                <w:rFonts w:ascii="宋体" w:hAnsi="宋体" w:eastAsia="宋体" w:cs="宋体"/>
                <w:sz w:val="21"/>
                <w:szCs w:val="21"/>
              </w:rPr>
            </w:pPr>
          </w:p>
        </w:tc>
        <w:tc>
          <w:tcPr>
            <w:tcW w:w="7419" w:type="dxa"/>
            <w:tcBorders>
              <w:top w:val="single" w:color="auto" w:sz="4" w:space="0"/>
              <w:tl2br w:val="nil"/>
              <w:tr2bl w:val="nil"/>
            </w:tcBorders>
            <w:shd w:val="clear" w:color="auto" w:fill="auto"/>
            <w:vAlign w:val="center"/>
          </w:tcPr>
          <w:p w14:paraId="4AAF4232">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1.脉弦</w:t>
            </w:r>
          </w:p>
        </w:tc>
      </w:tr>
      <w:tr w14:paraId="38E6E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387" w:type="dxa"/>
            <w:vMerge w:val="continue"/>
            <w:tcBorders>
              <w:tl2br w:val="nil"/>
              <w:tr2bl w:val="nil"/>
            </w:tcBorders>
          </w:tcPr>
          <w:p w14:paraId="1A084337">
            <w:pPr>
              <w:pStyle w:val="20"/>
              <w:numPr>
                <w:ilvl w:val="255"/>
                <w:numId w:val="0"/>
              </w:numPr>
              <w:spacing w:beforeLines="100" w:afterLines="100"/>
              <w:ind w:left="0" w:firstLine="420" w:firstLineChars="200"/>
              <w:rPr>
                <w:rFonts w:ascii="宋体" w:hAnsi="宋体" w:eastAsia="宋体" w:cs="宋体"/>
                <w:sz w:val="21"/>
                <w:szCs w:val="21"/>
              </w:rPr>
            </w:pPr>
          </w:p>
        </w:tc>
        <w:tc>
          <w:tcPr>
            <w:tcW w:w="7419" w:type="dxa"/>
            <w:tcBorders>
              <w:tl2br w:val="nil"/>
              <w:tr2bl w:val="nil"/>
            </w:tcBorders>
            <w:shd w:val="clear" w:color="auto" w:fill="auto"/>
            <w:vAlign w:val="center"/>
          </w:tcPr>
          <w:p w14:paraId="2D644BD6">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2.脉滑数</w:t>
            </w:r>
          </w:p>
        </w:tc>
      </w:tr>
      <w:tr w14:paraId="21BD0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387" w:type="dxa"/>
            <w:vMerge w:val="continue"/>
            <w:tcBorders>
              <w:bottom w:val="single" w:color="auto" w:sz="4" w:space="0"/>
              <w:tl2br w:val="nil"/>
              <w:tr2bl w:val="nil"/>
            </w:tcBorders>
          </w:tcPr>
          <w:p w14:paraId="7F7FDFDD">
            <w:pPr>
              <w:pStyle w:val="20"/>
              <w:numPr>
                <w:ilvl w:val="255"/>
                <w:numId w:val="0"/>
              </w:numPr>
              <w:spacing w:beforeLines="100" w:afterLines="100"/>
              <w:ind w:left="0" w:firstLine="420" w:firstLineChars="200"/>
              <w:rPr>
                <w:rFonts w:ascii="宋体" w:hAnsi="宋体" w:eastAsia="宋体" w:cs="宋体"/>
                <w:sz w:val="21"/>
                <w:szCs w:val="21"/>
              </w:rPr>
            </w:pPr>
          </w:p>
        </w:tc>
        <w:tc>
          <w:tcPr>
            <w:tcW w:w="7419" w:type="dxa"/>
            <w:tcBorders>
              <w:bottom w:val="single" w:color="auto" w:sz="4" w:space="0"/>
              <w:tl2br w:val="nil"/>
              <w:tr2bl w:val="nil"/>
            </w:tcBorders>
            <w:shd w:val="clear" w:color="auto" w:fill="auto"/>
            <w:vAlign w:val="center"/>
          </w:tcPr>
          <w:p w14:paraId="0EFFAFBE">
            <w:pPr>
              <w:pStyle w:val="20"/>
              <w:numPr>
                <w:ilvl w:val="255"/>
                <w:numId w:val="0"/>
              </w:numPr>
              <w:spacing w:beforeLines="100" w:afterLines="100"/>
              <w:ind w:left="0" w:firstLine="420" w:firstLineChars="200"/>
              <w:rPr>
                <w:rFonts w:ascii="宋体" w:hAnsi="宋体" w:eastAsia="宋体" w:cs="宋体"/>
                <w:sz w:val="21"/>
                <w:szCs w:val="21"/>
              </w:rPr>
            </w:pPr>
            <w:r>
              <w:rPr>
                <w:rFonts w:hint="eastAsia" w:ascii="宋体" w:hAnsi="宋体" w:eastAsia="宋体" w:cs="宋体"/>
                <w:sz w:val="21"/>
                <w:szCs w:val="21"/>
              </w:rPr>
              <w:t>3.脉沉</w:t>
            </w:r>
          </w:p>
        </w:tc>
      </w:tr>
    </w:tbl>
    <w:p w14:paraId="5AB83B1E">
      <w:pPr>
        <w:widowControl/>
        <w:spacing w:line="360" w:lineRule="auto"/>
        <w:ind w:firstLine="560" w:firstLineChars="200"/>
        <w:rPr>
          <w:rFonts w:hint="eastAsia" w:ascii="仿宋" w:hAnsi="仿宋" w:eastAsia="仿宋" w:cs="仿宋"/>
          <w:sz w:val="28"/>
          <w:szCs w:val="28"/>
        </w:rPr>
      </w:pPr>
    </w:p>
    <w:p w14:paraId="0137648B">
      <w:pPr>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诊断</w:t>
      </w:r>
      <w:r>
        <w:rPr>
          <w:rFonts w:hint="eastAsia" w:ascii="宋体" w:hAnsi="宋体" w:eastAsia="宋体" w:cs="宋体"/>
          <w:sz w:val="21"/>
          <w:szCs w:val="21"/>
          <w:lang w:val="en-US" w:eastAsia="zh-CN"/>
        </w:rPr>
        <w:t>条件</w:t>
      </w:r>
      <w:r>
        <w:rPr>
          <w:rFonts w:hint="eastAsia" w:ascii="宋体" w:hAnsi="宋体" w:eastAsia="宋体" w:cs="宋体"/>
          <w:sz w:val="21"/>
          <w:szCs w:val="21"/>
        </w:rPr>
        <w:t>：符合冠心病诊断标准，同时符合主症，1条次症，2条理化指标</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舌苔、舌质各1条</w:t>
      </w:r>
      <w:r>
        <w:rPr>
          <w:rFonts w:hint="eastAsia" w:ascii="宋体" w:hAnsi="宋体" w:eastAsia="宋体" w:cs="宋体"/>
          <w:sz w:val="21"/>
          <w:szCs w:val="21"/>
        </w:rPr>
        <w:t>即可诊断</w:t>
      </w:r>
      <w:r>
        <w:rPr>
          <w:rFonts w:hint="eastAsia" w:ascii="宋体" w:hAnsi="宋体" w:eastAsia="宋体" w:cs="宋体"/>
          <w:sz w:val="21"/>
          <w:szCs w:val="21"/>
          <w:lang w:eastAsia="zh-CN"/>
        </w:rPr>
        <w:t>。</w:t>
      </w:r>
      <w:r>
        <w:rPr>
          <w:rFonts w:hint="eastAsia" w:ascii="宋体" w:hAnsi="宋体" w:eastAsia="宋体" w:cs="宋体"/>
          <w:sz w:val="21"/>
          <w:szCs w:val="21"/>
        </w:rPr>
        <w:t>脉象</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一般状况</w:t>
      </w:r>
      <w:r>
        <w:rPr>
          <w:rFonts w:hint="eastAsia" w:ascii="宋体" w:hAnsi="宋体" w:eastAsia="宋体" w:cs="宋体"/>
          <w:sz w:val="21"/>
          <w:szCs w:val="21"/>
        </w:rPr>
        <w:t>作为参考依据，不作为诊断指标。</w:t>
      </w:r>
    </w:p>
    <w:p w14:paraId="55167034">
      <w:pPr>
        <w:widowControl/>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冠心病诊断标准：冠状动脉造影显示至少一支冠状动脉血管管腔狭窄≥50%。</w:t>
      </w:r>
    </w:p>
    <w:p w14:paraId="76CF66F2">
      <w:pPr>
        <w:pStyle w:val="21"/>
        <w:tabs>
          <w:tab w:val="center" w:pos="4201"/>
          <w:tab w:val="right" w:leader="dot" w:pos="9298"/>
        </w:tabs>
        <w:spacing w:line="360" w:lineRule="exact"/>
        <w:ind w:firstLine="420"/>
        <w:rPr>
          <w:rFonts w:hint="eastAsia" w:ascii="宋体" w:hAnsi="宋体" w:eastAsia="宋体" w:cs="宋体"/>
          <w:color w:val="000000"/>
          <w:sz w:val="21"/>
          <w:szCs w:val="21"/>
        </w:rPr>
      </w:pPr>
      <w:r>
        <w:rPr>
          <w:rFonts w:hint="eastAsia" w:ascii="宋体" w:hAnsi="宋体" w:eastAsia="宋体" w:cs="宋体"/>
          <w:sz w:val="21"/>
          <w:szCs w:val="21"/>
        </w:rPr>
        <w:t>局限性：冠心病热毒证病机复杂，诊断时需结合热毒证病证特点（起病急骤、病机复杂、凶险多变、一体多病、顽固难愈）综合考量。</w:t>
      </w:r>
    </w:p>
    <w:bookmarkEnd w:id="32"/>
    <w:bookmarkEnd w:id="33"/>
    <w:p w14:paraId="56822067">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br w:type="page"/>
      </w:r>
    </w:p>
    <w:p w14:paraId="3EC65829">
      <w:pPr>
        <w:jc w:val="center"/>
        <w:outlineLvl w:val="0"/>
        <w:rPr>
          <w:rFonts w:ascii="黑体" w:hAnsi="黑体" w:eastAsia="黑体" w:cs="Times New Roman"/>
          <w:kern w:val="0"/>
          <w:szCs w:val="21"/>
        </w:rPr>
      </w:pPr>
      <w:bookmarkStart w:id="44" w:name="_Toc8465"/>
      <w:bookmarkStart w:id="45" w:name="_Toc9325"/>
      <w:bookmarkStart w:id="46" w:name="_Toc6640"/>
      <w:r>
        <w:rPr>
          <w:rFonts w:hint="eastAsia" w:ascii="黑体" w:hAnsi="黑体" w:eastAsia="黑体" w:cs="Times New Roman"/>
          <w:kern w:val="0"/>
          <w:szCs w:val="21"/>
        </w:rPr>
        <w:t>附 录 A</w:t>
      </w:r>
      <w:bookmarkEnd w:id="44"/>
      <w:bookmarkEnd w:id="45"/>
      <w:bookmarkEnd w:id="46"/>
    </w:p>
    <w:p w14:paraId="15114D58">
      <w:pPr>
        <w:jc w:val="center"/>
        <w:rPr>
          <w:rFonts w:ascii="黑体" w:hAnsi="黑体" w:eastAsia="黑体" w:cs="Times New Roman"/>
          <w:kern w:val="0"/>
          <w:szCs w:val="21"/>
        </w:rPr>
      </w:pPr>
      <w:r>
        <w:rPr>
          <w:rFonts w:hint="eastAsia" w:ascii="黑体" w:hAnsi="黑体" w:eastAsia="黑体" w:cs="Times New Roman"/>
          <w:kern w:val="0"/>
          <w:szCs w:val="21"/>
        </w:rPr>
        <w:t>（</w:t>
      </w:r>
      <w:bookmarkStart w:id="47" w:name="_Hlk92788726"/>
      <w:r>
        <w:rPr>
          <w:rFonts w:hint="eastAsia" w:ascii="黑体" w:hAnsi="黑体" w:eastAsia="黑体" w:cs="Times New Roman"/>
          <w:kern w:val="0"/>
          <w:szCs w:val="21"/>
        </w:rPr>
        <w:t>资料性/规范性</w:t>
      </w:r>
      <w:bookmarkEnd w:id="47"/>
      <w:r>
        <w:rPr>
          <w:rFonts w:hint="eastAsia" w:ascii="黑体" w:hAnsi="黑体" w:eastAsia="黑体" w:cs="Times New Roman"/>
          <w:kern w:val="0"/>
          <w:szCs w:val="21"/>
        </w:rPr>
        <w:t>）</w:t>
      </w:r>
    </w:p>
    <w:p w14:paraId="4BCC37C8">
      <w:pPr>
        <w:widowControl/>
        <w:spacing w:line="360" w:lineRule="auto"/>
        <w:jc w:val="center"/>
        <w:outlineLvl w:val="0"/>
        <w:rPr>
          <w:rFonts w:ascii="仿宋" w:hAnsi="仿宋" w:eastAsia="仿宋"/>
          <w:sz w:val="30"/>
          <w:szCs w:val="30"/>
        </w:rPr>
      </w:pPr>
      <w:bookmarkStart w:id="48" w:name="_Toc2680"/>
      <w:bookmarkStart w:id="49" w:name="_Toc3374"/>
      <w:bookmarkStart w:id="50" w:name="_Toc2224"/>
      <w:r>
        <w:rPr>
          <w:rFonts w:hint="eastAsia" w:ascii="宋体" w:hAnsi="宋体" w:eastAsia="宋体" w:cs="宋体"/>
          <w:b/>
          <w:bCs/>
          <w:kern w:val="0"/>
          <w:szCs w:val="21"/>
        </w:rPr>
        <w:t>历年冠心病中医“热”相关辨证标准</w:t>
      </w:r>
      <w:bookmarkEnd w:id="48"/>
      <w:bookmarkEnd w:id="49"/>
      <w:bookmarkEnd w:id="50"/>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2545"/>
        <w:gridCol w:w="5339"/>
      </w:tblGrid>
      <w:tr w14:paraId="1A593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59D3D7A6">
            <w:pPr>
              <w:rPr>
                <w:rFonts w:hint="eastAsia" w:eastAsiaTheme="minorEastAsia"/>
                <w:vertAlign w:val="baseline"/>
                <w:lang w:val="en-US" w:eastAsia="zh-CN"/>
              </w:rPr>
            </w:pPr>
            <w:r>
              <w:rPr>
                <w:rFonts w:hint="eastAsia"/>
                <w:vertAlign w:val="baseline"/>
                <w:lang w:val="en-US" w:eastAsia="zh-CN"/>
              </w:rPr>
              <w:t>时间</w:t>
            </w:r>
          </w:p>
        </w:tc>
        <w:tc>
          <w:tcPr>
            <w:tcW w:w="2545" w:type="dxa"/>
          </w:tcPr>
          <w:p w14:paraId="3099C530">
            <w:pPr>
              <w:rPr>
                <w:rFonts w:hint="eastAsia" w:eastAsiaTheme="minorEastAsia"/>
                <w:vertAlign w:val="baseline"/>
                <w:lang w:val="en-US" w:eastAsia="zh-CN"/>
              </w:rPr>
            </w:pPr>
            <w:r>
              <w:rPr>
                <w:rFonts w:hint="eastAsia"/>
                <w:vertAlign w:val="baseline"/>
                <w:lang w:val="en-US" w:eastAsia="zh-CN"/>
              </w:rPr>
              <w:t>标准来源</w:t>
            </w:r>
          </w:p>
        </w:tc>
        <w:tc>
          <w:tcPr>
            <w:tcW w:w="5339" w:type="dxa"/>
          </w:tcPr>
          <w:p w14:paraId="33EF7807">
            <w:pPr>
              <w:rPr>
                <w:vertAlign w:val="baseline"/>
              </w:rPr>
            </w:pPr>
            <w:r>
              <w:rPr>
                <w:rFonts w:hint="eastAsia"/>
                <w:vertAlign w:val="baseline"/>
                <w:lang w:val="en-US" w:eastAsia="zh-CN"/>
              </w:rPr>
              <w:t>冠心病中医“热”相关辨证标准</w:t>
            </w:r>
          </w:p>
        </w:tc>
      </w:tr>
      <w:tr w14:paraId="14704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0ED2B732">
            <w:pPr>
              <w:spacing w:line="240" w:lineRule="auto"/>
              <w:rPr>
                <w:vertAlign w:val="baseline"/>
              </w:rPr>
            </w:pPr>
            <w:r>
              <w:rPr>
                <w:rFonts w:hint="eastAsia" w:ascii="宋体" w:hAnsi="宋体" w:eastAsia="宋体" w:cs="宋体"/>
                <w:kern w:val="0"/>
                <w:szCs w:val="21"/>
              </w:rPr>
              <w:t>1979</w:t>
            </w:r>
          </w:p>
        </w:tc>
        <w:tc>
          <w:tcPr>
            <w:tcW w:w="2545" w:type="dxa"/>
          </w:tcPr>
          <w:p w14:paraId="1BF0D867">
            <w:pPr>
              <w:kinsoku w:val="0"/>
              <w:wordWrap w:val="0"/>
              <w:overflowPunct w:val="0"/>
              <w:autoSpaceDE w:val="0"/>
              <w:autoSpaceDN w:val="0"/>
              <w:spacing w:line="240" w:lineRule="auto"/>
              <w:jc w:val="left"/>
              <w:rPr>
                <w:vertAlign w:val="baseline"/>
              </w:rPr>
            </w:pPr>
            <w:r>
              <w:rPr>
                <w:rFonts w:hint="eastAsia" w:ascii="宋体" w:hAnsi="宋体" w:eastAsia="宋体" w:cs="宋体"/>
                <w:kern w:val="0"/>
                <w:szCs w:val="21"/>
              </w:rPr>
              <w:t>冠心病(心绞痛、心肌梗塞)中医辨证参考标准(1979年修订)[J]</w:t>
            </w:r>
          </w:p>
        </w:tc>
        <w:tc>
          <w:tcPr>
            <w:tcW w:w="5339" w:type="dxa"/>
          </w:tcPr>
          <w:p w14:paraId="68EC4F91">
            <w:pPr>
              <w:kinsoku w:val="0"/>
              <w:wordWrap w:val="0"/>
              <w:overflowPunct w:val="0"/>
              <w:autoSpaceDE w:val="0"/>
              <w:autoSpaceDN w:val="0"/>
              <w:spacing w:line="240" w:lineRule="auto"/>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痰阻：苔腻、胸闷(胸痛)或伴恶心呕</w:t>
            </w:r>
            <w:r>
              <w:rPr>
                <w:rFonts w:hint="default" w:ascii="宋体" w:hAnsi="宋体" w:eastAsia="宋体" w:cs="宋体"/>
                <w:kern w:val="0"/>
                <w:szCs w:val="21"/>
                <w:lang w:val="en-US" w:eastAsia="zh-CN"/>
              </w:rPr>
              <w:t>吐或痰多。</w:t>
            </w:r>
          </w:p>
          <w:p w14:paraId="2326C3CE">
            <w:pPr>
              <w:kinsoku w:val="0"/>
              <w:wordWrap w:val="0"/>
              <w:overflowPunct w:val="0"/>
              <w:autoSpaceDE w:val="0"/>
              <w:autoSpaceDN w:val="0"/>
              <w:spacing w:line="240" w:lineRule="auto"/>
              <w:jc w:val="left"/>
              <w:rPr>
                <w:vertAlign w:val="baseline"/>
              </w:rPr>
            </w:pPr>
            <w:r>
              <w:rPr>
                <w:rFonts w:hint="eastAsia" w:ascii="宋体" w:hAnsi="宋体" w:eastAsia="宋体" w:cs="宋体"/>
                <w:kern w:val="0"/>
                <w:szCs w:val="21"/>
                <w:lang w:val="en-US" w:eastAsia="zh-CN"/>
              </w:rPr>
              <w:t>偏热：苔黄腻，脉弦滑或滑数</w:t>
            </w:r>
          </w:p>
        </w:tc>
      </w:tr>
      <w:tr w14:paraId="4FAA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7090A30C">
            <w:pPr>
              <w:spacing w:line="240" w:lineRule="auto"/>
              <w:rPr>
                <w:vertAlign w:val="baseline"/>
              </w:rPr>
            </w:pPr>
            <w:r>
              <w:rPr>
                <w:rFonts w:hint="eastAsia" w:ascii="宋体" w:hAnsi="宋体" w:eastAsia="宋体" w:cs="宋体"/>
                <w:kern w:val="0"/>
                <w:szCs w:val="21"/>
              </w:rPr>
              <w:t>1991</w:t>
            </w:r>
          </w:p>
        </w:tc>
        <w:tc>
          <w:tcPr>
            <w:tcW w:w="2545" w:type="dxa"/>
          </w:tcPr>
          <w:p w14:paraId="30EFF6A3">
            <w:pPr>
              <w:kinsoku w:val="0"/>
              <w:wordWrap w:val="0"/>
              <w:overflowPunct w:val="0"/>
              <w:autoSpaceDE w:val="0"/>
              <w:autoSpaceDN w:val="0"/>
              <w:spacing w:line="240" w:lineRule="auto"/>
              <w:jc w:val="left"/>
              <w:rPr>
                <w:vertAlign w:val="baseline"/>
              </w:rPr>
            </w:pPr>
            <w:r>
              <w:rPr>
                <w:rFonts w:hint="eastAsia" w:ascii="宋体" w:hAnsi="宋体" w:eastAsia="宋体" w:cs="宋体"/>
                <w:kern w:val="0"/>
                <w:szCs w:val="21"/>
              </w:rPr>
              <w:t>冠心病中医辨证标准[J]</w:t>
            </w:r>
          </w:p>
        </w:tc>
        <w:tc>
          <w:tcPr>
            <w:tcW w:w="5339" w:type="dxa"/>
          </w:tcPr>
          <w:p w14:paraId="00048814">
            <w:pPr>
              <w:kinsoku w:val="0"/>
              <w:wordWrap w:val="0"/>
              <w:overflowPunct w:val="0"/>
              <w:autoSpaceDE w:val="0"/>
              <w:autoSpaceDN w:val="0"/>
              <w:spacing w:line="240" w:lineRule="auto"/>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痰浊：胸脘病满，苔厚腻，脉滑。偏寒：苔</w:t>
            </w:r>
            <w:r>
              <w:rPr>
                <w:rFonts w:hint="default" w:ascii="宋体" w:hAnsi="宋体" w:eastAsia="宋体" w:cs="宋体"/>
                <w:kern w:val="0"/>
                <w:szCs w:val="21"/>
                <w:lang w:val="en-US" w:eastAsia="zh-CN"/>
              </w:rPr>
              <w:t>白厚腻。</w:t>
            </w:r>
          </w:p>
          <w:p w14:paraId="56017013">
            <w:pPr>
              <w:kinsoku w:val="0"/>
              <w:wordWrap w:val="0"/>
              <w:overflowPunct w:val="0"/>
              <w:autoSpaceDE w:val="0"/>
              <w:autoSpaceDN w:val="0"/>
              <w:spacing w:line="240" w:lineRule="auto"/>
              <w:jc w:val="left"/>
              <w:rPr>
                <w:vertAlign w:val="baseline"/>
              </w:rPr>
            </w:pPr>
            <w:r>
              <w:rPr>
                <w:rFonts w:hint="eastAsia" w:ascii="宋体" w:hAnsi="宋体" w:eastAsia="宋体" w:cs="宋体"/>
                <w:kern w:val="0"/>
                <w:szCs w:val="21"/>
                <w:lang w:val="en-US" w:eastAsia="zh-CN"/>
              </w:rPr>
              <w:t>偏热：苔黄厚腻，或脉滑数。</w:t>
            </w:r>
          </w:p>
        </w:tc>
      </w:tr>
      <w:tr w14:paraId="5791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7CE7E9C8">
            <w:pPr>
              <w:spacing w:line="240" w:lineRule="auto"/>
              <w:rPr>
                <w:vertAlign w:val="baseline"/>
              </w:rPr>
            </w:pPr>
            <w:r>
              <w:rPr>
                <w:rFonts w:hint="eastAsia" w:ascii="宋体" w:hAnsi="宋体" w:eastAsia="宋体" w:cs="宋体"/>
                <w:kern w:val="0"/>
                <w:szCs w:val="21"/>
              </w:rPr>
              <w:t>1995</w:t>
            </w:r>
          </w:p>
        </w:tc>
        <w:tc>
          <w:tcPr>
            <w:tcW w:w="2545" w:type="dxa"/>
          </w:tcPr>
          <w:p w14:paraId="3B2911A3">
            <w:pPr>
              <w:kinsoku w:val="0"/>
              <w:wordWrap w:val="0"/>
              <w:overflowPunct w:val="0"/>
              <w:autoSpaceDE w:val="0"/>
              <w:autoSpaceDN w:val="0"/>
              <w:spacing w:line="240" w:lineRule="auto"/>
              <w:jc w:val="left"/>
              <w:rPr>
                <w:vertAlign w:val="baseline"/>
              </w:rPr>
            </w:pPr>
            <w:r>
              <w:rPr>
                <w:rFonts w:hint="eastAsia" w:ascii="宋体" w:hAnsi="宋体" w:eastAsia="宋体" w:cs="宋体"/>
                <w:kern w:val="0"/>
                <w:szCs w:val="21"/>
              </w:rPr>
              <w:t>胸痹心悸(冠心病心律失常)中医急症诊疗规范[J]</w:t>
            </w:r>
          </w:p>
        </w:tc>
        <w:tc>
          <w:tcPr>
            <w:tcW w:w="5339" w:type="dxa"/>
          </w:tcPr>
          <w:p w14:paraId="3A8616F1">
            <w:pPr>
              <w:kinsoku w:val="0"/>
              <w:wordWrap w:val="0"/>
              <w:overflowPunct w:val="0"/>
              <w:autoSpaceDE w:val="0"/>
              <w:autoSpaceDN w:val="0"/>
              <w:spacing w:line="240" w:lineRule="auto"/>
              <w:jc w:val="left"/>
              <w:rPr>
                <w:vertAlign w:val="baseline"/>
              </w:rPr>
            </w:pPr>
            <w:r>
              <w:rPr>
                <w:rFonts w:hint="eastAsia" w:ascii="宋体" w:hAnsi="宋体" w:eastAsia="宋体" w:cs="宋体"/>
                <w:kern w:val="0"/>
                <w:szCs w:val="21"/>
                <w:lang w:val="en-US" w:eastAsia="zh-CN"/>
              </w:rPr>
              <w:t>痰火扰心证：胸闷心悸而烦；心下痞满；烦躁失眠。</w:t>
            </w:r>
            <w:r>
              <w:rPr>
                <w:rFonts w:hint="default" w:ascii="宋体" w:hAnsi="宋体" w:eastAsia="宋体" w:cs="宋体"/>
                <w:kern w:val="0"/>
                <w:szCs w:val="21"/>
                <w:lang w:val="en-US" w:eastAsia="zh-CN"/>
              </w:rPr>
              <w:t>兼症：口苦而粘；痰黄而稠；恶心欲呕。舌、脉象：舌红苔黄腻，脉促或结代。</w:t>
            </w:r>
          </w:p>
        </w:tc>
      </w:tr>
      <w:tr w14:paraId="4D38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38A9ED67">
            <w:pPr>
              <w:spacing w:line="240" w:lineRule="auto"/>
              <w:rPr>
                <w:vertAlign w:val="baseline"/>
              </w:rPr>
            </w:pPr>
            <w:r>
              <w:rPr>
                <w:rFonts w:hint="eastAsia" w:ascii="宋体" w:hAnsi="宋体" w:eastAsia="宋体" w:cs="宋体"/>
                <w:kern w:val="0"/>
                <w:szCs w:val="21"/>
              </w:rPr>
              <w:t>2014</w:t>
            </w:r>
          </w:p>
        </w:tc>
        <w:tc>
          <w:tcPr>
            <w:tcW w:w="2545" w:type="dxa"/>
          </w:tcPr>
          <w:p w14:paraId="2FBA1C25">
            <w:pPr>
              <w:spacing w:line="240" w:lineRule="auto"/>
              <w:rPr>
                <w:vertAlign w:val="baseline"/>
              </w:rPr>
            </w:pPr>
            <w:r>
              <w:rPr>
                <w:rFonts w:hint="eastAsia" w:ascii="宋体" w:hAnsi="宋体" w:eastAsia="宋体" w:cs="宋体"/>
                <w:kern w:val="0"/>
                <w:szCs w:val="21"/>
              </w:rPr>
              <w:t>胸痹心痛络风内动证诊断专家共识[J].</w:t>
            </w:r>
          </w:p>
        </w:tc>
        <w:tc>
          <w:tcPr>
            <w:tcW w:w="5339" w:type="dxa"/>
          </w:tcPr>
          <w:p w14:paraId="09BBD1B4">
            <w:pPr>
              <w:spacing w:line="240" w:lineRule="auto"/>
              <w:rPr>
                <w:vertAlign w:val="baseline"/>
              </w:rPr>
            </w:pPr>
            <w:r>
              <w:rPr>
                <w:rFonts w:hint="eastAsia" w:ascii="宋体" w:hAnsi="宋体" w:eastAsia="宋体" w:cs="宋体"/>
                <w:kern w:val="0"/>
                <w:szCs w:val="21"/>
                <w:lang w:val="en-US" w:eastAsia="zh-CN"/>
              </w:rPr>
              <w:t>热毒生风：主症: 突发胸痛或胸闷，胸痛时呈被迫体位或 “</w:t>
            </w:r>
            <w:r>
              <w:rPr>
                <w:rFonts w:hint="default" w:ascii="宋体" w:hAnsi="宋体" w:eastAsia="宋体" w:cs="宋体"/>
                <w:kern w:val="0"/>
                <w:szCs w:val="21"/>
                <w:lang w:val="en-US" w:eastAsia="zh-CN"/>
              </w:rPr>
              <w:t>痛迫行止”。次症: 心悸喘促，心烦口渴，小便黄赤，大便干结。舌脉: 舌红或青紫，舌苔黄腻或黄厚，脉弦滑数。</w:t>
            </w:r>
          </w:p>
        </w:tc>
      </w:tr>
      <w:tr w14:paraId="41F5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7B31E2E0">
            <w:pPr>
              <w:spacing w:line="240" w:lineRule="auto"/>
              <w:rPr>
                <w:vertAlign w:val="baseline"/>
              </w:rPr>
            </w:pPr>
            <w:r>
              <w:rPr>
                <w:rFonts w:hint="eastAsia" w:ascii="宋体" w:hAnsi="宋体" w:eastAsia="宋体" w:cs="宋体"/>
                <w:kern w:val="0"/>
                <w:szCs w:val="21"/>
              </w:rPr>
              <w:t>2018</w:t>
            </w:r>
          </w:p>
        </w:tc>
        <w:tc>
          <w:tcPr>
            <w:tcW w:w="2545" w:type="dxa"/>
          </w:tcPr>
          <w:p w14:paraId="19CECEF8">
            <w:pPr>
              <w:kinsoku w:val="0"/>
              <w:wordWrap w:val="0"/>
              <w:overflowPunct w:val="0"/>
              <w:autoSpaceDE w:val="0"/>
              <w:autoSpaceDN w:val="0"/>
              <w:spacing w:line="240" w:lineRule="auto"/>
              <w:jc w:val="left"/>
              <w:rPr>
                <w:vertAlign w:val="baseline"/>
              </w:rPr>
            </w:pPr>
            <w:r>
              <w:rPr>
                <w:rFonts w:hint="eastAsia" w:ascii="宋体" w:hAnsi="宋体" w:eastAsia="宋体" w:cs="宋体"/>
                <w:kern w:val="0"/>
                <w:szCs w:val="21"/>
              </w:rPr>
              <w:t>冠心病心绞痛证候要素诊断标准[J].</w:t>
            </w:r>
          </w:p>
        </w:tc>
        <w:tc>
          <w:tcPr>
            <w:tcW w:w="5339" w:type="dxa"/>
          </w:tcPr>
          <w:p w14:paraId="19D1F5A5">
            <w:pPr>
              <w:spacing w:line="240" w:lineRule="auto"/>
              <w:rPr>
                <w:rFonts w:hint="eastAsia" w:eastAsiaTheme="minorEastAsia"/>
                <w:vertAlign w:val="baseline"/>
                <w:lang w:eastAsia="zh-CN"/>
              </w:rPr>
            </w:pPr>
            <w:r>
              <w:rPr>
                <w:rFonts w:hint="eastAsia"/>
                <w:vertAlign w:val="baseline"/>
              </w:rPr>
              <w:t>热蕴</w:t>
            </w:r>
            <w:r>
              <w:rPr>
                <w:rFonts w:hint="eastAsia"/>
                <w:vertAlign w:val="baseline"/>
                <w:lang w:eastAsia="zh-CN"/>
              </w:rPr>
              <w:t>：</w:t>
            </w:r>
            <w:r>
              <w:rPr>
                <w:rFonts w:hint="eastAsia"/>
                <w:vertAlign w:val="baseline"/>
              </w:rPr>
              <w:t>胸部灼痛</w:t>
            </w:r>
            <w:r>
              <w:rPr>
                <w:rFonts w:hint="eastAsia"/>
                <w:vertAlign w:val="baseline"/>
                <w:lang w:eastAsia="zh-CN"/>
              </w:rPr>
              <w:t>；</w:t>
            </w:r>
            <w:r>
              <w:rPr>
                <w:rFonts w:hint="eastAsia"/>
                <w:vertAlign w:val="baseline"/>
                <w:lang w:val="en-US" w:eastAsia="zh-CN"/>
              </w:rPr>
              <w:t>口</w:t>
            </w:r>
            <w:r>
              <w:rPr>
                <w:rFonts w:hint="eastAsia"/>
                <w:vertAlign w:val="baseline"/>
              </w:rPr>
              <w:t>干口苦</w:t>
            </w:r>
            <w:r>
              <w:rPr>
                <w:rFonts w:hint="eastAsia"/>
                <w:vertAlign w:val="baseline"/>
                <w:lang w:eastAsia="zh-CN"/>
              </w:rPr>
              <w:t>；</w:t>
            </w:r>
            <w:r>
              <w:rPr>
                <w:rFonts w:hint="eastAsia"/>
                <w:vertAlign w:val="baseline"/>
              </w:rPr>
              <w:t>面红耳赤</w:t>
            </w:r>
            <w:r>
              <w:rPr>
                <w:rFonts w:hint="eastAsia"/>
                <w:vertAlign w:val="baseline"/>
                <w:lang w:eastAsia="zh-CN"/>
              </w:rPr>
              <w:t>；</w:t>
            </w:r>
            <w:r>
              <w:rPr>
                <w:rFonts w:hint="eastAsia"/>
                <w:vertAlign w:val="baseline"/>
              </w:rPr>
              <w:t>大便干</w:t>
            </w:r>
            <w:r>
              <w:rPr>
                <w:rFonts w:hint="eastAsia"/>
                <w:vertAlign w:val="baseline"/>
                <w:lang w:eastAsia="zh-CN"/>
              </w:rPr>
              <w:t>；</w:t>
            </w:r>
            <w:r>
              <w:rPr>
                <w:rFonts w:hint="eastAsia"/>
                <w:vertAlign w:val="baseline"/>
              </w:rPr>
              <w:t>小便黄</w:t>
            </w:r>
            <w:r>
              <w:rPr>
                <w:rFonts w:hint="eastAsia"/>
                <w:vertAlign w:val="baseline"/>
                <w:lang w:eastAsia="zh-CN"/>
              </w:rPr>
              <w:t>；</w:t>
            </w:r>
            <w:r>
              <w:rPr>
                <w:rFonts w:hint="eastAsia"/>
                <w:vertAlign w:val="baseline"/>
              </w:rPr>
              <w:t>舌红苔黄</w:t>
            </w:r>
            <w:r>
              <w:rPr>
                <w:rFonts w:hint="eastAsia"/>
                <w:vertAlign w:val="baseline"/>
                <w:lang w:eastAsia="zh-CN"/>
              </w:rPr>
              <w:t>；</w:t>
            </w:r>
            <w:r>
              <w:rPr>
                <w:rFonts w:hint="eastAsia"/>
                <w:vertAlign w:val="baseline"/>
              </w:rPr>
              <w:t>心烦失眠</w:t>
            </w:r>
            <w:r>
              <w:rPr>
                <w:rFonts w:hint="eastAsia"/>
                <w:vertAlign w:val="baseline"/>
                <w:lang w:eastAsia="zh-CN"/>
              </w:rPr>
              <w:t>；</w:t>
            </w:r>
            <w:r>
              <w:rPr>
                <w:rFonts w:hint="eastAsia"/>
                <w:vertAlign w:val="baseline"/>
              </w:rPr>
              <w:t>脉数</w:t>
            </w:r>
            <w:r>
              <w:rPr>
                <w:rFonts w:hint="eastAsia"/>
                <w:vertAlign w:val="baseline"/>
                <w:lang w:eastAsia="zh-CN"/>
              </w:rPr>
              <w:t>。</w:t>
            </w:r>
          </w:p>
        </w:tc>
      </w:tr>
      <w:tr w14:paraId="6EB29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41765A7F">
            <w:pPr>
              <w:spacing w:line="240" w:lineRule="auto"/>
              <w:rPr>
                <w:vertAlign w:val="baseline"/>
              </w:rPr>
            </w:pPr>
            <w:r>
              <w:rPr>
                <w:rFonts w:hint="eastAsia" w:ascii="宋体" w:hAnsi="宋体" w:eastAsia="宋体" w:cs="宋体"/>
                <w:kern w:val="0"/>
                <w:szCs w:val="21"/>
              </w:rPr>
              <w:t>2018</w:t>
            </w:r>
          </w:p>
        </w:tc>
        <w:tc>
          <w:tcPr>
            <w:tcW w:w="2545" w:type="dxa"/>
          </w:tcPr>
          <w:p w14:paraId="60CA0535">
            <w:pPr>
              <w:kinsoku w:val="0"/>
              <w:wordWrap w:val="0"/>
              <w:overflowPunct w:val="0"/>
              <w:autoSpaceDE w:val="0"/>
              <w:autoSpaceDN w:val="0"/>
              <w:spacing w:line="240" w:lineRule="auto"/>
              <w:jc w:val="left"/>
              <w:rPr>
                <w:vertAlign w:val="baseline"/>
              </w:rPr>
            </w:pPr>
            <w:r>
              <w:rPr>
                <w:rFonts w:hint="eastAsia" w:ascii="宋体" w:hAnsi="宋体" w:eastAsia="宋体" w:cs="宋体"/>
                <w:kern w:val="0"/>
                <w:szCs w:val="21"/>
              </w:rPr>
              <w:t>冠心病心绞痛主要证型的辨证诊断标准[J].</w:t>
            </w:r>
          </w:p>
        </w:tc>
        <w:tc>
          <w:tcPr>
            <w:tcW w:w="5339" w:type="dxa"/>
          </w:tcPr>
          <w:p w14:paraId="3DC2576A">
            <w:pPr>
              <w:spacing w:line="240" w:lineRule="auto"/>
              <w:rPr>
                <w:rFonts w:hint="eastAsia" w:eastAsiaTheme="minorEastAsia"/>
                <w:vertAlign w:val="baseline"/>
                <w:lang w:eastAsia="zh-CN"/>
              </w:rPr>
            </w:pPr>
            <w:r>
              <w:rPr>
                <w:rFonts w:hint="eastAsia"/>
                <w:vertAlign w:val="baseline"/>
              </w:rPr>
              <w:t>痰阻热蕴</w:t>
            </w:r>
            <w:r>
              <w:rPr>
                <w:rFonts w:hint="eastAsia"/>
                <w:vertAlign w:val="baseline"/>
                <w:lang w:eastAsia="zh-CN"/>
              </w:rPr>
              <w:t>：</w:t>
            </w:r>
            <w:r>
              <w:rPr>
                <w:rFonts w:hint="eastAsia"/>
                <w:vertAlign w:val="baseline"/>
              </w:rPr>
              <w:t>痰浊</w:t>
            </w:r>
            <w:r>
              <w:rPr>
                <w:rFonts w:hint="eastAsia"/>
                <w:vertAlign w:val="baseline"/>
                <w:lang w:eastAsia="zh-CN"/>
              </w:rPr>
              <w:t>：</w:t>
            </w:r>
            <w:r>
              <w:rPr>
                <w:rFonts w:hint="eastAsia"/>
                <w:vertAlign w:val="baseline"/>
              </w:rPr>
              <w:t>胸闷痛</w:t>
            </w:r>
            <w:r>
              <w:rPr>
                <w:rFonts w:hint="eastAsia"/>
                <w:vertAlign w:val="baseline"/>
                <w:lang w:eastAsia="zh-CN"/>
              </w:rPr>
              <w:t>；</w:t>
            </w:r>
            <w:r>
              <w:rPr>
                <w:rFonts w:hint="eastAsia"/>
                <w:vertAlign w:val="baseline"/>
              </w:rPr>
              <w:t>痰多体胖</w:t>
            </w:r>
            <w:r>
              <w:rPr>
                <w:rFonts w:hint="eastAsia"/>
                <w:vertAlign w:val="baseline"/>
                <w:lang w:eastAsia="zh-CN"/>
              </w:rPr>
              <w:t>；</w:t>
            </w:r>
            <w:r>
              <w:rPr>
                <w:rFonts w:hint="eastAsia"/>
                <w:vertAlign w:val="baseline"/>
              </w:rPr>
              <w:t>舌胖苔厚腻</w:t>
            </w:r>
            <w:r>
              <w:rPr>
                <w:rFonts w:hint="eastAsia"/>
                <w:vertAlign w:val="baseline"/>
                <w:lang w:eastAsia="zh-CN"/>
              </w:rPr>
              <w:t>；</w:t>
            </w:r>
            <w:r>
              <w:rPr>
                <w:rFonts w:hint="eastAsia"/>
                <w:vertAlign w:val="baseline"/>
              </w:rPr>
              <w:t>大便黏膩</w:t>
            </w:r>
            <w:r>
              <w:rPr>
                <w:rFonts w:hint="eastAsia"/>
                <w:vertAlign w:val="baseline"/>
                <w:lang w:eastAsia="zh-CN"/>
              </w:rPr>
              <w:t>；</w:t>
            </w:r>
            <w:r>
              <w:rPr>
                <w:rFonts w:hint="eastAsia"/>
                <w:vertAlign w:val="baseline"/>
              </w:rPr>
              <w:t>肢体沉重</w:t>
            </w:r>
            <w:r>
              <w:rPr>
                <w:rFonts w:hint="eastAsia"/>
                <w:vertAlign w:val="baseline"/>
                <w:lang w:eastAsia="zh-CN"/>
              </w:rPr>
              <w:t>。</w:t>
            </w:r>
            <w:r>
              <w:rPr>
                <w:rFonts w:hint="eastAsia"/>
                <w:vertAlign w:val="baseline"/>
              </w:rPr>
              <w:t>热蕴</w:t>
            </w:r>
            <w:r>
              <w:rPr>
                <w:rFonts w:hint="eastAsia"/>
                <w:vertAlign w:val="baseline"/>
                <w:lang w:eastAsia="zh-CN"/>
              </w:rPr>
              <w:t>：</w:t>
            </w:r>
            <w:r>
              <w:rPr>
                <w:rFonts w:hint="eastAsia"/>
                <w:vertAlign w:val="baseline"/>
              </w:rPr>
              <w:t>口干欲饮</w:t>
            </w:r>
            <w:r>
              <w:rPr>
                <w:rFonts w:hint="eastAsia"/>
                <w:vertAlign w:val="baseline"/>
                <w:lang w:eastAsia="zh-CN"/>
              </w:rPr>
              <w:t>；</w:t>
            </w:r>
            <w:r>
              <w:rPr>
                <w:rFonts w:hint="eastAsia"/>
                <w:vertAlign w:val="baseline"/>
              </w:rPr>
              <w:t>面红耳赤</w:t>
            </w:r>
            <w:r>
              <w:rPr>
                <w:rFonts w:hint="eastAsia"/>
                <w:vertAlign w:val="baseline"/>
                <w:lang w:eastAsia="zh-CN"/>
              </w:rPr>
              <w:t>；</w:t>
            </w:r>
            <w:r>
              <w:rPr>
                <w:rFonts w:hint="eastAsia"/>
                <w:vertAlign w:val="baseline"/>
              </w:rPr>
              <w:t>大便干</w:t>
            </w:r>
            <w:r>
              <w:rPr>
                <w:rFonts w:hint="eastAsia"/>
                <w:vertAlign w:val="baseline"/>
                <w:lang w:eastAsia="zh-CN"/>
              </w:rPr>
              <w:t>；</w:t>
            </w:r>
            <w:r>
              <w:rPr>
                <w:rFonts w:hint="eastAsia"/>
                <w:vertAlign w:val="baseline"/>
              </w:rPr>
              <w:t>小便黄</w:t>
            </w:r>
            <w:r>
              <w:rPr>
                <w:rFonts w:hint="eastAsia"/>
                <w:vertAlign w:val="baseline"/>
                <w:lang w:eastAsia="zh-CN"/>
              </w:rPr>
              <w:t>；</w:t>
            </w:r>
            <w:r>
              <w:rPr>
                <w:rFonts w:hint="eastAsia"/>
                <w:vertAlign w:val="baseline"/>
              </w:rPr>
              <w:t>舌红苔黄</w:t>
            </w:r>
            <w:r>
              <w:rPr>
                <w:rFonts w:hint="eastAsia"/>
                <w:vertAlign w:val="baseline"/>
                <w:lang w:eastAsia="zh-CN"/>
              </w:rPr>
              <w:t>。</w:t>
            </w:r>
          </w:p>
        </w:tc>
      </w:tr>
      <w:tr w14:paraId="1104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299A3F16">
            <w:pPr>
              <w:spacing w:line="240" w:lineRule="auto"/>
              <w:rPr>
                <w:vertAlign w:val="baseline"/>
              </w:rPr>
            </w:pPr>
            <w:r>
              <w:rPr>
                <w:rFonts w:hint="eastAsia" w:ascii="宋体" w:hAnsi="宋体" w:eastAsia="宋体" w:cs="宋体"/>
                <w:kern w:val="0"/>
                <w:szCs w:val="21"/>
              </w:rPr>
              <w:t>2018</w:t>
            </w:r>
          </w:p>
        </w:tc>
        <w:tc>
          <w:tcPr>
            <w:tcW w:w="2545" w:type="dxa"/>
          </w:tcPr>
          <w:p w14:paraId="0DA8964E">
            <w:pPr>
              <w:kinsoku w:val="0"/>
              <w:wordWrap w:val="0"/>
              <w:overflowPunct w:val="0"/>
              <w:autoSpaceDE w:val="0"/>
              <w:autoSpaceDN w:val="0"/>
              <w:spacing w:line="240" w:lineRule="auto"/>
              <w:jc w:val="left"/>
              <w:rPr>
                <w:vertAlign w:val="baseline"/>
              </w:rPr>
            </w:pPr>
            <w:r>
              <w:rPr>
                <w:rFonts w:hint="eastAsia" w:ascii="宋体" w:hAnsi="宋体" w:eastAsia="宋体" w:cs="宋体"/>
                <w:kern w:val="0"/>
                <w:szCs w:val="21"/>
              </w:rPr>
              <w:t>广东地区冠心病PCI术后患者证型辨证标准及临床随访研究[D].</w:t>
            </w:r>
          </w:p>
        </w:tc>
        <w:tc>
          <w:tcPr>
            <w:tcW w:w="5339" w:type="dxa"/>
          </w:tcPr>
          <w:p w14:paraId="3D6A9B8F">
            <w:pPr>
              <w:kinsoku w:val="0"/>
              <w:wordWrap w:val="0"/>
              <w:overflowPunct w:val="0"/>
              <w:autoSpaceDE w:val="0"/>
              <w:autoSpaceDN w:val="0"/>
              <w:spacing w:line="240" w:lineRule="auto"/>
              <w:jc w:val="left"/>
              <w:rPr>
                <w:vertAlign w:val="baseline"/>
              </w:rPr>
            </w:pPr>
            <w:r>
              <w:rPr>
                <w:rFonts w:hint="eastAsia" w:ascii="宋体" w:hAnsi="宋体" w:eastAsia="宋体" w:cs="宋体"/>
                <w:kern w:val="0"/>
                <w:szCs w:val="21"/>
                <w:lang w:val="en-US" w:eastAsia="zh-CN"/>
              </w:rPr>
              <w:t>热毒血瘀证： 主症：呼吸急促或气促或短气，舌下脉络曲张、紫黑或口唇紫黑，精神亢进或烦躁，面色赤红，实脉，舌红； 次症：语音高亢，胸闷痛，大便燥结，黄痰，小便黄，滑或腻苔，黄苔，厚苔，怕热，痰液浓稠，口气异常，呼吸低微或少气</w:t>
            </w:r>
          </w:p>
        </w:tc>
      </w:tr>
      <w:tr w14:paraId="385A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4D3C167D">
            <w:pPr>
              <w:spacing w:line="240" w:lineRule="auto"/>
              <w:rPr>
                <w:vertAlign w:val="baseline"/>
              </w:rPr>
            </w:pPr>
            <w:r>
              <w:rPr>
                <w:rFonts w:ascii="宋体" w:hAnsi="宋体" w:eastAsia="宋体" w:cs="宋体"/>
                <w:kern w:val="0"/>
                <w:szCs w:val="21"/>
              </w:rPr>
              <w:t>2017</w:t>
            </w:r>
          </w:p>
        </w:tc>
        <w:tc>
          <w:tcPr>
            <w:tcW w:w="2545" w:type="dxa"/>
          </w:tcPr>
          <w:p w14:paraId="284F9A0B">
            <w:pPr>
              <w:kinsoku w:val="0"/>
              <w:wordWrap w:val="0"/>
              <w:overflowPunct w:val="0"/>
              <w:autoSpaceDE w:val="0"/>
              <w:autoSpaceDN w:val="0"/>
              <w:spacing w:line="240" w:lineRule="auto"/>
              <w:jc w:val="left"/>
              <w:rPr>
                <w:vertAlign w:val="baseline"/>
              </w:rPr>
            </w:pPr>
            <w:r>
              <w:rPr>
                <w:rFonts w:ascii="宋体" w:hAnsi="宋体" w:eastAsia="宋体" w:cs="宋体"/>
                <w:kern w:val="0"/>
                <w:szCs w:val="21"/>
              </w:rPr>
              <w:t>冠状动脉支架植入术后患者中医证候辨证规范及分布规律研究[D].</w:t>
            </w:r>
          </w:p>
        </w:tc>
        <w:tc>
          <w:tcPr>
            <w:tcW w:w="5339" w:type="dxa"/>
          </w:tcPr>
          <w:p w14:paraId="6D8755AE">
            <w:pPr>
              <w:kinsoku w:val="0"/>
              <w:wordWrap w:val="0"/>
              <w:overflowPunct w:val="0"/>
              <w:autoSpaceDE w:val="0"/>
              <w:autoSpaceDN w:val="0"/>
              <w:spacing w:line="240" w:lineRule="auto"/>
              <w:jc w:val="left"/>
              <w:rPr>
                <w:vertAlign w:val="baseline"/>
              </w:rPr>
            </w:pPr>
            <w:r>
              <w:rPr>
                <w:rFonts w:hint="eastAsia" w:ascii="宋体" w:hAnsi="宋体" w:eastAsia="宋体" w:cs="宋体"/>
                <w:kern w:val="0"/>
                <w:szCs w:val="21"/>
              </w:rPr>
              <w:t>热毒血瘀证</w:t>
            </w:r>
            <w:r>
              <w:rPr>
                <w:rFonts w:hint="eastAsia" w:ascii="宋体" w:hAnsi="宋体" w:eastAsia="宋体" w:cs="宋体"/>
                <w:kern w:val="0"/>
                <w:szCs w:val="21"/>
                <w:lang w:eastAsia="zh-CN"/>
              </w:rPr>
              <w:t>：</w:t>
            </w:r>
            <w:r>
              <w:rPr>
                <w:rFonts w:hint="eastAsia" w:ascii="宋体" w:hAnsi="宋体" w:eastAsia="宋体" w:cs="宋体"/>
                <w:kern w:val="0"/>
                <w:szCs w:val="21"/>
              </w:rPr>
              <w:t>患者多精神亢奋，伴胸闷痛，气促，面面色赤红，口唇紫黑，口干口苦，多舌红，苔黄厚滑腻或薄黄，舌下络脉曲张，紫黑，口气异常，大便燥结，小便黄，可有浓痰，脉滑数，或脉洪实有力，可伴失眠。</w:t>
            </w:r>
          </w:p>
        </w:tc>
      </w:tr>
      <w:tr w14:paraId="0123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6BE99CE8">
            <w:pPr>
              <w:spacing w:line="240" w:lineRule="auto"/>
              <w:rPr>
                <w:vertAlign w:val="baseline"/>
              </w:rPr>
            </w:pPr>
            <w:r>
              <w:rPr>
                <w:rFonts w:hint="eastAsia" w:ascii="宋体" w:hAnsi="宋体" w:eastAsia="宋体" w:cs="宋体"/>
                <w:kern w:val="0"/>
                <w:szCs w:val="21"/>
              </w:rPr>
              <w:t>2021</w:t>
            </w:r>
          </w:p>
        </w:tc>
        <w:tc>
          <w:tcPr>
            <w:tcW w:w="2545" w:type="dxa"/>
          </w:tcPr>
          <w:p w14:paraId="577B2E91">
            <w:pPr>
              <w:spacing w:line="240" w:lineRule="auto"/>
              <w:rPr>
                <w:vertAlign w:val="baseline"/>
              </w:rPr>
            </w:pPr>
            <w:r>
              <w:rPr>
                <w:rFonts w:hint="eastAsia" w:ascii="宋体" w:hAnsi="宋体" w:eastAsia="宋体" w:cs="宋体"/>
                <w:kern w:val="0"/>
                <w:szCs w:val="21"/>
              </w:rPr>
              <w:t>冠心病热结血脉证临床诊断标准研究[D].</w:t>
            </w:r>
          </w:p>
        </w:tc>
        <w:tc>
          <w:tcPr>
            <w:tcW w:w="5339" w:type="dxa"/>
          </w:tcPr>
          <w:p w14:paraId="6462B046">
            <w:pPr>
              <w:spacing w:line="240" w:lineRule="auto"/>
              <w:rPr>
                <w:rFonts w:hint="eastAsia" w:eastAsiaTheme="minorEastAsia"/>
                <w:vertAlign w:val="baseline"/>
                <w:lang w:val="en-US" w:eastAsia="zh-CN"/>
              </w:rPr>
            </w:pPr>
            <w:r>
              <w:rPr>
                <w:rFonts w:hint="eastAsia"/>
                <w:vertAlign w:val="baseline"/>
                <w:lang w:val="en-US" w:eastAsia="zh-CN"/>
              </w:rPr>
              <w:t>热结血脉证：舌质红；苔黄；舌有瘀斑瘀点；近期胸痛(闷)加重； 烦躁；大便秘结；滑脉；数脉；口苦；口干；心悸。</w:t>
            </w:r>
          </w:p>
        </w:tc>
      </w:tr>
    </w:tbl>
    <w:p w14:paraId="7C550A18">
      <w:pPr>
        <w:kinsoku w:val="0"/>
        <w:wordWrap w:val="0"/>
        <w:overflowPunct w:val="0"/>
        <w:autoSpaceDE w:val="0"/>
        <w:autoSpaceDN w:val="0"/>
        <w:spacing w:line="360" w:lineRule="auto"/>
        <w:jc w:val="left"/>
        <w:rPr>
          <w:rFonts w:ascii="宋体" w:hAnsi="宋体" w:eastAsia="宋体" w:cs="宋体"/>
          <w:kern w:val="0"/>
          <w:szCs w:val="21"/>
        </w:rPr>
      </w:pPr>
    </w:p>
    <w:p w14:paraId="5CEC28AB">
      <w:pPr>
        <w:rPr>
          <w:rFonts w:ascii="宋体" w:hAnsi="宋体" w:eastAsia="宋体" w:cs="宋体"/>
          <w:kern w:val="0"/>
          <w:szCs w:val="21"/>
        </w:rPr>
      </w:pPr>
      <w:r>
        <w:rPr>
          <w:rFonts w:hint="eastAsia" w:ascii="宋体" w:hAnsi="宋体" w:eastAsia="宋体" w:cs="宋体"/>
          <w:kern w:val="0"/>
          <w:szCs w:val="21"/>
        </w:rPr>
        <w:br w:type="page"/>
      </w:r>
    </w:p>
    <w:p w14:paraId="2BC7DDDE">
      <w:pPr>
        <w:widowControl/>
        <w:spacing w:line="360" w:lineRule="auto"/>
        <w:jc w:val="left"/>
        <w:rPr>
          <w:rFonts w:ascii="宋体" w:hAnsi="宋体" w:eastAsia="宋体" w:cs="宋体"/>
          <w:kern w:val="0"/>
          <w:szCs w:val="21"/>
        </w:rPr>
      </w:pPr>
    </w:p>
    <w:p w14:paraId="4B77B7E0">
      <w:pPr>
        <w:jc w:val="center"/>
        <w:outlineLvl w:val="0"/>
        <w:rPr>
          <w:rFonts w:ascii="黑体" w:hAnsi="黑体" w:eastAsia="黑体" w:cs="Times New Roman"/>
          <w:kern w:val="0"/>
          <w:szCs w:val="21"/>
        </w:rPr>
      </w:pPr>
      <w:bookmarkStart w:id="51" w:name="_Toc4694"/>
      <w:bookmarkStart w:id="52" w:name="_Toc3444"/>
      <w:bookmarkStart w:id="53" w:name="_Toc24033"/>
      <w:r>
        <w:rPr>
          <w:rFonts w:hint="eastAsia" w:ascii="黑体" w:hAnsi="黑体" w:eastAsia="黑体" w:cs="Times New Roman"/>
          <w:kern w:val="0"/>
          <w:szCs w:val="21"/>
        </w:rPr>
        <w:t>附 录 B</w:t>
      </w:r>
      <w:bookmarkEnd w:id="51"/>
      <w:bookmarkEnd w:id="52"/>
      <w:bookmarkEnd w:id="53"/>
    </w:p>
    <w:p w14:paraId="62627FBF">
      <w:pPr>
        <w:jc w:val="center"/>
        <w:rPr>
          <w:rFonts w:ascii="黑体" w:hAnsi="黑体" w:eastAsia="黑体" w:cs="Times New Roman"/>
          <w:kern w:val="0"/>
          <w:szCs w:val="21"/>
        </w:rPr>
      </w:pPr>
      <w:r>
        <w:rPr>
          <w:rFonts w:hint="eastAsia" w:ascii="黑体" w:hAnsi="黑体" w:eastAsia="黑体" w:cs="Times New Roman"/>
          <w:kern w:val="0"/>
          <w:szCs w:val="21"/>
        </w:rPr>
        <w:t>（资料性/规范性）</w:t>
      </w:r>
    </w:p>
    <w:p w14:paraId="66EBE610">
      <w:pPr>
        <w:widowControl/>
        <w:spacing w:line="360" w:lineRule="auto"/>
        <w:jc w:val="center"/>
        <w:outlineLvl w:val="0"/>
        <w:rPr>
          <w:rFonts w:ascii="宋体" w:hAnsi="宋体" w:eastAsia="宋体" w:cs="宋体"/>
          <w:b/>
          <w:bCs/>
          <w:kern w:val="0"/>
          <w:szCs w:val="21"/>
        </w:rPr>
      </w:pPr>
      <w:bookmarkStart w:id="54" w:name="_Toc15129"/>
      <w:bookmarkStart w:id="55" w:name="_Toc24872"/>
      <w:bookmarkStart w:id="56" w:name="_Toc29206"/>
      <w:r>
        <w:rPr>
          <w:rFonts w:hint="eastAsia" w:ascii="宋体" w:hAnsi="宋体" w:eastAsia="宋体" w:cs="宋体"/>
          <w:b/>
          <w:bCs/>
          <w:kern w:val="0"/>
          <w:szCs w:val="21"/>
        </w:rPr>
        <w:t>历年冠心病中医“毒”相关辨证标准</w:t>
      </w:r>
      <w:bookmarkEnd w:id="54"/>
      <w:bookmarkEnd w:id="55"/>
      <w:bookmarkEnd w:id="56"/>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3000"/>
        <w:gridCol w:w="4766"/>
      </w:tblGrid>
      <w:tr w14:paraId="6B93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057B0047">
            <w:pPr>
              <w:rPr>
                <w:rFonts w:hint="eastAsia" w:eastAsiaTheme="minorEastAsia"/>
                <w:vertAlign w:val="baseline"/>
                <w:lang w:val="en-US" w:eastAsia="zh-CN"/>
              </w:rPr>
            </w:pPr>
            <w:r>
              <w:rPr>
                <w:rFonts w:hint="eastAsia"/>
                <w:vertAlign w:val="baseline"/>
                <w:lang w:val="en-US" w:eastAsia="zh-CN"/>
              </w:rPr>
              <w:t>时间</w:t>
            </w:r>
          </w:p>
        </w:tc>
        <w:tc>
          <w:tcPr>
            <w:tcW w:w="3000" w:type="dxa"/>
          </w:tcPr>
          <w:p w14:paraId="6FF744CF">
            <w:pPr>
              <w:rPr>
                <w:vertAlign w:val="baseline"/>
              </w:rPr>
            </w:pPr>
            <w:r>
              <w:rPr>
                <w:rFonts w:hint="eastAsia"/>
                <w:vertAlign w:val="baseline"/>
                <w:lang w:val="en-US" w:eastAsia="zh-CN"/>
              </w:rPr>
              <w:t>标准来源</w:t>
            </w:r>
          </w:p>
        </w:tc>
        <w:tc>
          <w:tcPr>
            <w:tcW w:w="4766" w:type="dxa"/>
          </w:tcPr>
          <w:p w14:paraId="4030B7BC">
            <w:pPr>
              <w:rPr>
                <w:vertAlign w:val="baseline"/>
              </w:rPr>
            </w:pPr>
            <w:r>
              <w:rPr>
                <w:rFonts w:hint="eastAsia"/>
                <w:vertAlign w:val="baseline"/>
                <w:lang w:val="en-US" w:eastAsia="zh-CN"/>
              </w:rPr>
              <w:t>冠心病中医“毒”相关辨证标准</w:t>
            </w:r>
          </w:p>
        </w:tc>
      </w:tr>
      <w:tr w14:paraId="3F60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14EF7A41">
            <w:pPr>
              <w:rPr>
                <w:vertAlign w:val="baseline"/>
              </w:rPr>
            </w:pPr>
            <w:r>
              <w:rPr>
                <w:rFonts w:hint="eastAsia" w:ascii="宋体" w:hAnsi="宋体" w:eastAsia="宋体" w:cs="宋体"/>
                <w:kern w:val="0"/>
                <w:szCs w:val="21"/>
              </w:rPr>
              <w:t>2011</w:t>
            </w:r>
          </w:p>
        </w:tc>
        <w:tc>
          <w:tcPr>
            <w:tcW w:w="3000" w:type="dxa"/>
          </w:tcPr>
          <w:p w14:paraId="431AA4C9">
            <w:pPr>
              <w:widowControl/>
              <w:spacing w:line="360" w:lineRule="auto"/>
              <w:jc w:val="left"/>
              <w:rPr>
                <w:vertAlign w:val="baseline"/>
              </w:rPr>
            </w:pPr>
            <w:r>
              <w:rPr>
                <w:rFonts w:hint="eastAsia" w:ascii="宋体" w:hAnsi="宋体" w:eastAsia="宋体" w:cs="宋体"/>
                <w:kern w:val="0"/>
                <w:szCs w:val="21"/>
              </w:rPr>
              <w:t>冠心病稳定期因毒致病的辨证诊断量化标准[J].</w:t>
            </w:r>
          </w:p>
        </w:tc>
        <w:tc>
          <w:tcPr>
            <w:tcW w:w="4766" w:type="dxa"/>
          </w:tcPr>
          <w:p w14:paraId="7B91F1FF">
            <w:pPr>
              <w:keepNext w:val="0"/>
              <w:keepLines w:val="0"/>
              <w:widowControl/>
              <w:suppressLineNumbers w:val="0"/>
              <w:jc w:val="left"/>
              <w:rPr>
                <w:rFonts w:hint="eastAsia" w:eastAsiaTheme="minorEastAsia"/>
                <w:vertAlign w:val="baseline"/>
                <w:lang w:val="en-US" w:eastAsia="zh-CN"/>
              </w:rPr>
            </w:pPr>
            <w:r>
              <w:rPr>
                <w:rFonts w:hint="eastAsia"/>
                <w:vertAlign w:val="baseline"/>
                <w:lang w:val="en-US" w:eastAsia="zh-CN"/>
              </w:rPr>
              <w:t>因毒致病：中、</w:t>
            </w:r>
            <w:r>
              <w:rPr>
                <w:rFonts w:hint="default"/>
                <w:vertAlign w:val="baseline"/>
                <w:lang w:val="en-US" w:eastAsia="zh-CN"/>
              </w:rPr>
              <w:t>重度心绞痛</w:t>
            </w:r>
            <w:r>
              <w:rPr>
                <w:rFonts w:hint="eastAsia"/>
                <w:vertAlign w:val="baseline"/>
                <w:lang w:val="en-US" w:eastAsia="zh-CN"/>
              </w:rPr>
              <w:t>；</w:t>
            </w:r>
            <w:r>
              <w:rPr>
                <w:rFonts w:hint="default"/>
                <w:vertAlign w:val="baseline"/>
                <w:lang w:val="en-US" w:eastAsia="zh-CN"/>
              </w:rPr>
              <w:t>重度口苦</w:t>
            </w:r>
            <w:r>
              <w:rPr>
                <w:rFonts w:hint="eastAsia"/>
                <w:vertAlign w:val="baseline"/>
                <w:lang w:val="en-US" w:eastAsia="zh-CN"/>
              </w:rPr>
              <w:t>；</w:t>
            </w:r>
            <w:r>
              <w:rPr>
                <w:rFonts w:hint="default"/>
                <w:vertAlign w:val="baseline"/>
                <w:lang w:val="en-US" w:eastAsia="zh-CN"/>
              </w:rPr>
              <w:t>老舌</w:t>
            </w:r>
            <w:r>
              <w:rPr>
                <w:rFonts w:hint="eastAsia"/>
                <w:vertAlign w:val="baseline"/>
                <w:lang w:val="en-US" w:eastAsia="zh-CN"/>
              </w:rPr>
              <w:t>；</w:t>
            </w:r>
            <w:r>
              <w:rPr>
                <w:rFonts w:hint="default"/>
                <w:vertAlign w:val="baseline"/>
                <w:lang w:val="en-US" w:eastAsia="zh-CN"/>
              </w:rPr>
              <w:t>舌青或青紫 剥苔（不含类剥苔 ）</w:t>
            </w:r>
            <w:r>
              <w:rPr>
                <w:rFonts w:hint="eastAsia"/>
                <w:vertAlign w:val="baseline"/>
                <w:lang w:val="en-US" w:eastAsia="zh-CN"/>
              </w:rPr>
              <w:t>；</w:t>
            </w:r>
            <w:r>
              <w:rPr>
                <w:rFonts w:hint="default"/>
                <w:vertAlign w:val="baseline"/>
                <w:lang w:val="en-US" w:eastAsia="zh-CN"/>
              </w:rPr>
              <w:t>舌下络脉紫红或绛紫</w:t>
            </w:r>
          </w:p>
        </w:tc>
      </w:tr>
      <w:tr w14:paraId="5F51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3175F98C">
            <w:pPr>
              <w:rPr>
                <w:vertAlign w:val="baseline"/>
              </w:rPr>
            </w:pPr>
            <w:r>
              <w:rPr>
                <w:rFonts w:hint="eastAsia" w:ascii="宋体" w:hAnsi="宋体" w:eastAsia="宋体" w:cs="宋体"/>
                <w:kern w:val="0"/>
                <w:szCs w:val="21"/>
              </w:rPr>
              <w:t>2010</w:t>
            </w:r>
          </w:p>
        </w:tc>
        <w:tc>
          <w:tcPr>
            <w:tcW w:w="3000" w:type="dxa"/>
          </w:tcPr>
          <w:p w14:paraId="129CC978">
            <w:pPr>
              <w:widowControl/>
              <w:spacing w:line="360" w:lineRule="auto"/>
              <w:jc w:val="left"/>
              <w:rPr>
                <w:vertAlign w:val="baseline"/>
              </w:rPr>
            </w:pPr>
            <w:r>
              <w:rPr>
                <w:rFonts w:hint="eastAsia" w:ascii="宋体" w:hAnsi="宋体" w:eastAsia="宋体" w:cs="宋体"/>
                <w:kern w:val="0"/>
                <w:szCs w:val="21"/>
              </w:rPr>
              <w:t>冠心病稳定期“瘀毒”临床表征的研究[J].</w:t>
            </w:r>
          </w:p>
        </w:tc>
        <w:tc>
          <w:tcPr>
            <w:tcW w:w="4766" w:type="dxa"/>
          </w:tcPr>
          <w:p w14:paraId="5C6807A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rPr>
              <w:t>瘀毒</w:t>
            </w:r>
            <w:r>
              <w:rPr>
                <w:rFonts w:hint="eastAsia" w:ascii="宋体" w:hAnsi="宋体" w:eastAsia="宋体" w:cs="宋体"/>
                <w:kern w:val="0"/>
                <w:sz w:val="21"/>
                <w:szCs w:val="21"/>
                <w:lang w:eastAsia="zh-CN"/>
              </w:rPr>
              <w:t>：</w:t>
            </w:r>
            <w:r>
              <w:rPr>
                <w:rFonts w:hint="eastAsia" w:ascii="宋体" w:hAnsi="宋体" w:eastAsia="宋体" w:cs="宋体"/>
                <w:color w:val="000000"/>
                <w:kern w:val="0"/>
                <w:sz w:val="21"/>
                <w:szCs w:val="21"/>
                <w:lang w:val="en-US" w:eastAsia="zh-CN" w:bidi="ar"/>
              </w:rPr>
              <w:t>胸骨后疼痛、头痛、脉涩或结代 （血瘀征象）及平素经常咽痛。</w:t>
            </w:r>
          </w:p>
          <w:p w14:paraId="1E4BB36C">
            <w:pPr>
              <w:rPr>
                <w:vertAlign w:val="baseline"/>
              </w:rPr>
            </w:pPr>
          </w:p>
        </w:tc>
      </w:tr>
      <w:tr w14:paraId="690F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2211A539">
            <w:pPr>
              <w:rPr>
                <w:vertAlign w:val="baseline"/>
              </w:rPr>
            </w:pPr>
            <w:r>
              <w:rPr>
                <w:rFonts w:hint="eastAsia" w:ascii="宋体" w:hAnsi="宋体" w:eastAsia="宋体" w:cs="宋体"/>
                <w:kern w:val="0"/>
                <w:szCs w:val="21"/>
              </w:rPr>
              <w:t>2009</w:t>
            </w:r>
          </w:p>
        </w:tc>
        <w:tc>
          <w:tcPr>
            <w:tcW w:w="3000" w:type="dxa"/>
          </w:tcPr>
          <w:p w14:paraId="6120A691">
            <w:pPr>
              <w:widowControl/>
              <w:spacing w:line="360" w:lineRule="auto"/>
              <w:jc w:val="left"/>
              <w:rPr>
                <w:vertAlign w:val="baseline"/>
              </w:rPr>
            </w:pPr>
            <w:r>
              <w:rPr>
                <w:rFonts w:hint="eastAsia" w:ascii="宋体" w:hAnsi="宋体" w:eastAsia="宋体" w:cs="宋体"/>
                <w:kern w:val="0"/>
                <w:szCs w:val="21"/>
              </w:rPr>
              <w:t>冠心病急性冠脉综合征中医“瘀毒”证的临床辨证标准研究[D].</w:t>
            </w:r>
          </w:p>
        </w:tc>
        <w:tc>
          <w:tcPr>
            <w:tcW w:w="4766" w:type="dxa"/>
          </w:tcPr>
          <w:p w14:paraId="09FA4E76">
            <w:pPr>
              <w:rPr>
                <w:rFonts w:hint="eastAsia"/>
                <w:vertAlign w:val="baseline"/>
              </w:rPr>
            </w:pPr>
            <w:r>
              <w:rPr>
                <w:rFonts w:hint="eastAsia" w:ascii="宋体" w:hAnsi="宋体" w:eastAsia="宋体" w:cs="宋体"/>
                <w:kern w:val="0"/>
                <w:szCs w:val="21"/>
              </w:rPr>
              <w:t>“瘀毒”</w:t>
            </w:r>
            <w:r>
              <w:rPr>
                <w:rFonts w:hint="eastAsia"/>
                <w:vertAlign w:val="baseline"/>
              </w:rPr>
              <w:t>实证：胸痛，胸闷，口苦，口干欲饮，便干便秘，舌暗红，苔黄腻，脉滑。</w:t>
            </w:r>
          </w:p>
          <w:p w14:paraId="5E11DD50">
            <w:pPr>
              <w:rPr>
                <w:rFonts w:hint="eastAsia" w:eastAsiaTheme="minorEastAsia"/>
                <w:vertAlign w:val="baseline"/>
                <w:lang w:val="en-US" w:eastAsia="zh-CN"/>
              </w:rPr>
            </w:pPr>
            <w:r>
              <w:rPr>
                <w:rFonts w:hint="eastAsia" w:ascii="宋体" w:hAnsi="宋体" w:eastAsia="宋体" w:cs="宋体"/>
                <w:kern w:val="0"/>
                <w:szCs w:val="21"/>
              </w:rPr>
              <w:t>“瘀毒”</w:t>
            </w:r>
            <w:r>
              <w:rPr>
                <w:rFonts w:hint="eastAsia"/>
                <w:vertAlign w:val="baseline"/>
              </w:rPr>
              <w:t>虚证：胸痛，胸闷，气短，乏力，心悸，畏寒，自汗，舌淡暗，苔白，脉</w:t>
            </w:r>
            <w:r>
              <w:rPr>
                <w:rFonts w:hint="eastAsia"/>
                <w:vertAlign w:val="baseline"/>
                <w:lang w:val="en-US" w:eastAsia="zh-CN"/>
              </w:rPr>
              <w:t>细。</w:t>
            </w:r>
          </w:p>
        </w:tc>
      </w:tr>
      <w:tr w14:paraId="2FAB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0C89A04A">
            <w:pPr>
              <w:rPr>
                <w:vertAlign w:val="baseline"/>
              </w:rPr>
            </w:pPr>
            <w:r>
              <w:rPr>
                <w:rFonts w:hint="eastAsia" w:ascii="宋体" w:hAnsi="宋体" w:eastAsia="宋体" w:cs="宋体"/>
                <w:kern w:val="0"/>
                <w:szCs w:val="21"/>
              </w:rPr>
              <w:t>2014</w:t>
            </w:r>
          </w:p>
        </w:tc>
        <w:tc>
          <w:tcPr>
            <w:tcW w:w="3000" w:type="dxa"/>
          </w:tcPr>
          <w:p w14:paraId="4F183184">
            <w:pPr>
              <w:widowControl/>
              <w:spacing w:line="360" w:lineRule="auto"/>
              <w:jc w:val="left"/>
              <w:rPr>
                <w:vertAlign w:val="baseline"/>
              </w:rPr>
            </w:pPr>
            <w:r>
              <w:rPr>
                <w:rFonts w:hint="eastAsia" w:ascii="宋体" w:hAnsi="宋体" w:eastAsia="宋体" w:cs="宋体"/>
                <w:kern w:val="0"/>
                <w:szCs w:val="21"/>
              </w:rPr>
              <w:t>冠心病稳定期因毒致病辨证诊断标准的评价研究[D].</w:t>
            </w:r>
          </w:p>
        </w:tc>
        <w:tc>
          <w:tcPr>
            <w:tcW w:w="4766" w:type="dxa"/>
          </w:tcPr>
          <w:p w14:paraId="61CC492F">
            <w:pPr>
              <w:rPr>
                <w:vertAlign w:val="baseline"/>
              </w:rPr>
            </w:pPr>
            <w:r>
              <w:rPr>
                <w:rFonts w:hint="eastAsia"/>
                <w:vertAlign w:val="baseline"/>
                <w:lang w:val="en-US" w:eastAsia="zh-CN"/>
              </w:rPr>
              <w:t>因毒致病：重度心绞痛，舌青或青紫，剥苔，舌下络脉。</w:t>
            </w:r>
          </w:p>
        </w:tc>
      </w:tr>
      <w:tr w14:paraId="412F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1847655F">
            <w:pPr>
              <w:rPr>
                <w:vertAlign w:val="baseline"/>
              </w:rPr>
            </w:pPr>
            <w:r>
              <w:rPr>
                <w:rFonts w:hint="eastAsia" w:ascii="宋体" w:hAnsi="宋体" w:eastAsia="宋体" w:cs="宋体"/>
                <w:kern w:val="0"/>
                <w:szCs w:val="21"/>
              </w:rPr>
              <w:t>2024</w:t>
            </w:r>
          </w:p>
        </w:tc>
        <w:tc>
          <w:tcPr>
            <w:tcW w:w="3000" w:type="dxa"/>
          </w:tcPr>
          <w:p w14:paraId="4FDD4324">
            <w:pPr>
              <w:rPr>
                <w:vertAlign w:val="baseline"/>
              </w:rPr>
            </w:pPr>
            <w:r>
              <w:rPr>
                <w:rFonts w:hint="eastAsia" w:ascii="宋体" w:hAnsi="宋体" w:eastAsia="宋体" w:cs="宋体"/>
                <w:kern w:val="0"/>
                <w:szCs w:val="21"/>
              </w:rPr>
              <w:t>急性冠脉综合征瘀毒互结证诊断标准研究[J].</w:t>
            </w:r>
          </w:p>
        </w:tc>
        <w:tc>
          <w:tcPr>
            <w:tcW w:w="4766" w:type="dxa"/>
          </w:tcPr>
          <w:p w14:paraId="33B67F8B">
            <w:pPr>
              <w:rPr>
                <w:vertAlign w:val="baseline"/>
              </w:rPr>
            </w:pPr>
            <w:r>
              <w:rPr>
                <w:rFonts w:hint="eastAsia" w:ascii="宋体" w:hAnsi="宋体" w:eastAsia="宋体" w:cs="宋体"/>
                <w:kern w:val="0"/>
                <w:szCs w:val="21"/>
                <w:lang w:val="en-US" w:eastAsia="zh-CN"/>
              </w:rPr>
              <w:t>瘀毒互结证：胸痛发作进行性加重；反复发作胸痛；压榨性胸痛；剧烈胸痛或胸闷；口唇色暗；脉涩；脉弦；舌紫暗；舌下脉络迂曲；舌暗红；舌青或青紫；舌有瘀斑瘀点；苔黄或黄腻；舌下脉络紫暗。</w:t>
            </w:r>
          </w:p>
        </w:tc>
      </w:tr>
    </w:tbl>
    <w:p w14:paraId="7DEDDA08">
      <w:pPr>
        <w:rPr>
          <w:rFonts w:ascii="宋体" w:hAnsi="宋体" w:eastAsia="宋体" w:cs="宋体"/>
          <w:kern w:val="0"/>
          <w:szCs w:val="21"/>
        </w:rPr>
      </w:pPr>
    </w:p>
    <w:p w14:paraId="582AB834">
      <w:pPr>
        <w:rPr>
          <w:rFonts w:ascii="宋体" w:hAnsi="宋体" w:eastAsia="宋体" w:cs="宋体"/>
          <w:kern w:val="0"/>
          <w:szCs w:val="21"/>
        </w:rPr>
      </w:pPr>
      <w:r>
        <w:rPr>
          <w:rFonts w:hint="eastAsia" w:ascii="宋体" w:hAnsi="宋体" w:eastAsia="宋体" w:cs="宋体"/>
          <w:kern w:val="0"/>
          <w:szCs w:val="21"/>
        </w:rPr>
        <w:br w:type="page"/>
      </w:r>
    </w:p>
    <w:p w14:paraId="41ED223F">
      <w:pPr>
        <w:rPr>
          <w:rFonts w:ascii="宋体" w:hAnsi="宋体" w:eastAsia="宋体" w:cs="宋体"/>
          <w:kern w:val="0"/>
          <w:szCs w:val="21"/>
        </w:rPr>
      </w:pPr>
    </w:p>
    <w:p w14:paraId="7417FD66">
      <w:pPr>
        <w:rPr>
          <w:rFonts w:ascii="宋体" w:hAnsi="宋体" w:eastAsia="宋体" w:cs="宋体"/>
          <w:kern w:val="0"/>
          <w:szCs w:val="21"/>
        </w:rPr>
      </w:pPr>
    </w:p>
    <w:p w14:paraId="7DEB5E71">
      <w:pPr>
        <w:widowControl/>
        <w:spacing w:line="360" w:lineRule="auto"/>
        <w:jc w:val="left"/>
        <w:rPr>
          <w:rFonts w:ascii="宋体" w:hAnsi="宋体" w:eastAsia="宋体" w:cs="宋体"/>
          <w:kern w:val="0"/>
          <w:szCs w:val="21"/>
        </w:rPr>
      </w:pPr>
    </w:p>
    <w:p w14:paraId="0F71CF40">
      <w:pPr>
        <w:jc w:val="center"/>
        <w:outlineLvl w:val="0"/>
        <w:rPr>
          <w:rFonts w:ascii="黑体" w:hAnsi="黑体" w:eastAsia="黑体" w:cs="Times New Roman"/>
          <w:kern w:val="0"/>
          <w:szCs w:val="21"/>
        </w:rPr>
      </w:pPr>
      <w:bookmarkStart w:id="57" w:name="_Toc4684"/>
      <w:bookmarkStart w:id="58" w:name="_Toc19597"/>
      <w:bookmarkStart w:id="59" w:name="_Toc10500"/>
      <w:r>
        <w:rPr>
          <w:rFonts w:hint="eastAsia" w:ascii="黑体" w:hAnsi="黑体" w:eastAsia="黑体" w:cs="Times New Roman"/>
          <w:kern w:val="0"/>
          <w:szCs w:val="21"/>
        </w:rPr>
        <w:t>附 录 C</w:t>
      </w:r>
      <w:bookmarkEnd w:id="57"/>
      <w:bookmarkEnd w:id="58"/>
      <w:bookmarkEnd w:id="59"/>
    </w:p>
    <w:p w14:paraId="7242B37D">
      <w:pPr>
        <w:jc w:val="center"/>
        <w:rPr>
          <w:rFonts w:ascii="黑体" w:hAnsi="黑体" w:eastAsia="黑体" w:cs="Times New Roman"/>
          <w:kern w:val="0"/>
          <w:szCs w:val="21"/>
        </w:rPr>
      </w:pPr>
      <w:r>
        <w:rPr>
          <w:rFonts w:hint="eastAsia" w:ascii="黑体" w:hAnsi="黑体" w:eastAsia="黑体" w:cs="Times New Roman"/>
          <w:kern w:val="0"/>
          <w:szCs w:val="21"/>
        </w:rPr>
        <w:t>（资料性/规范性）</w:t>
      </w:r>
    </w:p>
    <w:p w14:paraId="71A37595">
      <w:pPr>
        <w:widowControl/>
        <w:spacing w:line="360" w:lineRule="auto"/>
        <w:jc w:val="center"/>
        <w:outlineLvl w:val="0"/>
        <w:rPr>
          <w:rFonts w:ascii="宋体" w:hAnsi="宋体" w:eastAsia="宋体" w:cs="宋体"/>
          <w:kern w:val="0"/>
          <w:szCs w:val="21"/>
        </w:rPr>
      </w:pPr>
      <w:bookmarkStart w:id="60" w:name="_Toc1769"/>
      <w:bookmarkStart w:id="61" w:name="_Toc20087"/>
      <w:bookmarkStart w:id="62" w:name="_Toc4757"/>
      <w:r>
        <w:rPr>
          <w:rFonts w:hint="eastAsia" w:ascii="宋体" w:hAnsi="宋体" w:eastAsia="宋体" w:cs="宋体"/>
          <w:b/>
          <w:bCs/>
          <w:kern w:val="0"/>
          <w:szCs w:val="21"/>
        </w:rPr>
        <w:t>历年冠心病中医“热毒”相关辨证标准</w:t>
      </w:r>
      <w:bookmarkEnd w:id="60"/>
      <w:bookmarkEnd w:id="61"/>
      <w:bookmarkEnd w:id="62"/>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3809"/>
        <w:gridCol w:w="3966"/>
      </w:tblGrid>
      <w:tr w14:paraId="2E1E4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tcPr>
          <w:p w14:paraId="45168FCA">
            <w:pPr>
              <w:rPr>
                <w:rFonts w:hint="eastAsia" w:eastAsiaTheme="minorEastAsia"/>
                <w:vertAlign w:val="baseline"/>
                <w:lang w:val="en-US" w:eastAsia="zh-CN"/>
              </w:rPr>
            </w:pPr>
            <w:r>
              <w:rPr>
                <w:rFonts w:hint="eastAsia"/>
                <w:vertAlign w:val="baseline"/>
                <w:lang w:val="en-US" w:eastAsia="zh-CN"/>
              </w:rPr>
              <w:t>时间</w:t>
            </w:r>
          </w:p>
        </w:tc>
        <w:tc>
          <w:tcPr>
            <w:tcW w:w="3809" w:type="dxa"/>
          </w:tcPr>
          <w:p w14:paraId="036817DB">
            <w:pPr>
              <w:rPr>
                <w:vertAlign w:val="baseline"/>
              </w:rPr>
            </w:pPr>
            <w:r>
              <w:rPr>
                <w:rFonts w:hint="eastAsia"/>
                <w:vertAlign w:val="baseline"/>
                <w:lang w:val="en-US" w:eastAsia="zh-CN"/>
              </w:rPr>
              <w:t>标准来源</w:t>
            </w:r>
          </w:p>
        </w:tc>
        <w:tc>
          <w:tcPr>
            <w:tcW w:w="3966" w:type="dxa"/>
          </w:tcPr>
          <w:p w14:paraId="34AA82A7">
            <w:pPr>
              <w:rPr>
                <w:vertAlign w:val="baseline"/>
              </w:rPr>
            </w:pPr>
            <w:r>
              <w:rPr>
                <w:rFonts w:hint="eastAsia"/>
                <w:vertAlign w:val="baseline"/>
                <w:lang w:val="en-US" w:eastAsia="zh-CN"/>
              </w:rPr>
              <w:t>冠心病中医“热毒”相关辨证标准</w:t>
            </w:r>
          </w:p>
        </w:tc>
      </w:tr>
      <w:tr w14:paraId="5205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tcPr>
          <w:p w14:paraId="03937F59">
            <w:pPr>
              <w:rPr>
                <w:vertAlign w:val="baseline"/>
              </w:rPr>
            </w:pPr>
            <w:r>
              <w:rPr>
                <w:rFonts w:hint="eastAsia" w:ascii="宋体" w:hAnsi="宋体" w:eastAsia="宋体" w:cs="宋体"/>
                <w:kern w:val="0"/>
                <w:szCs w:val="21"/>
              </w:rPr>
              <w:t>2019</w:t>
            </w:r>
          </w:p>
        </w:tc>
        <w:tc>
          <w:tcPr>
            <w:tcW w:w="3809" w:type="dxa"/>
          </w:tcPr>
          <w:p w14:paraId="5E4B5B76">
            <w:pPr>
              <w:widowControl/>
              <w:spacing w:line="360" w:lineRule="auto"/>
              <w:jc w:val="left"/>
              <w:rPr>
                <w:vertAlign w:val="baseline"/>
              </w:rPr>
            </w:pPr>
            <w:r>
              <w:rPr>
                <w:rFonts w:hint="eastAsia" w:ascii="宋体" w:hAnsi="宋体" w:eastAsia="宋体" w:cs="宋体"/>
                <w:kern w:val="0"/>
                <w:szCs w:val="21"/>
              </w:rPr>
              <w:t>冠心病热毒证诊断标准的研究[D].山东中医药大学,2019.</w:t>
            </w:r>
          </w:p>
        </w:tc>
        <w:tc>
          <w:tcPr>
            <w:tcW w:w="3966" w:type="dxa"/>
          </w:tcPr>
          <w:p w14:paraId="5AB116BF">
            <w:pPr>
              <w:rPr>
                <w:rFonts w:hint="eastAsia" w:eastAsia="宋体"/>
                <w:vertAlign w:val="baseline"/>
                <w:lang w:eastAsia="zh-CN"/>
              </w:rPr>
            </w:pPr>
            <w:r>
              <w:rPr>
                <w:rFonts w:hint="eastAsia" w:ascii="宋体" w:hAnsi="宋体" w:eastAsia="宋体" w:cs="宋体"/>
                <w:kern w:val="0"/>
                <w:szCs w:val="21"/>
                <w:lang w:val="en-US" w:eastAsia="zh-CN"/>
              </w:rPr>
              <w:t>热毒证：</w:t>
            </w:r>
            <w:r>
              <w:rPr>
                <w:rFonts w:hint="eastAsia" w:ascii="宋体" w:hAnsi="宋体" w:eastAsia="宋体" w:cs="宋体"/>
                <w:kern w:val="0"/>
                <w:szCs w:val="21"/>
              </w:rPr>
              <w:t>胸痛、胸痛剧烈、胸闷、心悸、心烦易怒、口干、面色晦暗、舌暗、苔黄、苔腻、脉弦、脉沉弱</w:t>
            </w:r>
            <w:r>
              <w:rPr>
                <w:rFonts w:hint="eastAsia" w:ascii="宋体" w:hAnsi="宋体" w:eastAsia="宋体" w:cs="宋体"/>
                <w:kern w:val="0"/>
                <w:szCs w:val="21"/>
                <w:lang w:eastAsia="zh-CN"/>
              </w:rPr>
              <w:t>。</w:t>
            </w:r>
          </w:p>
        </w:tc>
      </w:tr>
      <w:tr w14:paraId="1304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tcPr>
          <w:p w14:paraId="2DDBB712">
            <w:pPr>
              <w:rPr>
                <w:vertAlign w:val="baseline"/>
              </w:rPr>
            </w:pPr>
            <w:r>
              <w:rPr>
                <w:rFonts w:hint="eastAsia" w:ascii="宋体" w:hAnsi="宋体" w:eastAsia="宋体" w:cs="宋体"/>
                <w:kern w:val="0"/>
                <w:szCs w:val="21"/>
              </w:rPr>
              <w:t>2017</w:t>
            </w:r>
          </w:p>
        </w:tc>
        <w:tc>
          <w:tcPr>
            <w:tcW w:w="3809" w:type="dxa"/>
          </w:tcPr>
          <w:p w14:paraId="70AB6938">
            <w:pPr>
              <w:widowControl/>
              <w:spacing w:line="360" w:lineRule="auto"/>
              <w:jc w:val="left"/>
              <w:rPr>
                <w:vertAlign w:val="baseline"/>
              </w:rPr>
            </w:pPr>
            <w:r>
              <w:rPr>
                <w:rFonts w:hint="eastAsia" w:ascii="宋体" w:hAnsi="宋体" w:eastAsia="宋体" w:cs="宋体"/>
                <w:kern w:val="0"/>
                <w:szCs w:val="21"/>
              </w:rPr>
              <w:t>冠心病热毒证中医证候量化方法初探[J].</w:t>
            </w:r>
          </w:p>
        </w:tc>
        <w:tc>
          <w:tcPr>
            <w:tcW w:w="3966" w:type="dxa"/>
          </w:tcPr>
          <w:p w14:paraId="5ADAD945">
            <w:pPr>
              <w:rPr>
                <w:rFonts w:hint="eastAsia" w:eastAsiaTheme="minorEastAsia"/>
                <w:vertAlign w:val="baseline"/>
                <w:lang w:eastAsia="zh-CN"/>
              </w:rPr>
            </w:pPr>
            <w:r>
              <w:rPr>
                <w:rFonts w:hint="eastAsia" w:ascii="宋体" w:hAnsi="宋体" w:eastAsia="宋体" w:cs="宋体"/>
                <w:kern w:val="0"/>
                <w:szCs w:val="21"/>
                <w:lang w:val="en-US" w:eastAsia="zh-CN"/>
              </w:rPr>
              <w:t>热毒证：</w:t>
            </w:r>
            <w:r>
              <w:rPr>
                <w:rFonts w:hint="eastAsia"/>
                <w:vertAlign w:val="baseline"/>
              </w:rPr>
              <w:t>灼痛、口渴欲饮、口苦、心胸胃脘发热、烦躁易怒、怕热、大便干结、小便黄;心烦、口干、多汗;面红耳赤、舌红、舌黄厚、脉数、脉滑</w:t>
            </w:r>
            <w:r>
              <w:rPr>
                <w:rFonts w:hint="eastAsia"/>
                <w:vertAlign w:val="baseline"/>
                <w:lang w:eastAsia="zh-CN"/>
              </w:rPr>
              <w:t>。</w:t>
            </w:r>
          </w:p>
        </w:tc>
      </w:tr>
      <w:tr w14:paraId="7BC4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tcPr>
          <w:p w14:paraId="52A27294">
            <w:pPr>
              <w:rPr>
                <w:vertAlign w:val="baseline"/>
              </w:rPr>
            </w:pPr>
            <w:r>
              <w:rPr>
                <w:rFonts w:hint="eastAsia" w:ascii="宋体" w:hAnsi="宋体" w:eastAsia="宋体" w:cs="宋体"/>
                <w:kern w:val="0"/>
                <w:szCs w:val="21"/>
              </w:rPr>
              <w:t>2018</w:t>
            </w:r>
          </w:p>
        </w:tc>
        <w:tc>
          <w:tcPr>
            <w:tcW w:w="3809" w:type="dxa"/>
          </w:tcPr>
          <w:p w14:paraId="7532975E">
            <w:pPr>
              <w:widowControl/>
              <w:spacing w:line="360" w:lineRule="auto"/>
              <w:jc w:val="left"/>
              <w:rPr>
                <w:vertAlign w:val="baseline"/>
              </w:rPr>
            </w:pPr>
            <w:r>
              <w:rPr>
                <w:rFonts w:hint="eastAsia" w:ascii="宋体" w:hAnsi="宋体" w:eastAsia="宋体" w:cs="宋体"/>
                <w:kern w:val="0"/>
                <w:szCs w:val="21"/>
              </w:rPr>
              <w:t>广东地区冠心病PCI术后患者证型辨证标准及临床随访研究[D].</w:t>
            </w:r>
          </w:p>
        </w:tc>
        <w:tc>
          <w:tcPr>
            <w:tcW w:w="3966" w:type="dxa"/>
          </w:tcPr>
          <w:p w14:paraId="5AB2BE4B">
            <w:pPr>
              <w:rPr>
                <w:rFonts w:hint="eastAsia" w:eastAsia="宋体"/>
                <w:vertAlign w:val="baseline"/>
                <w:lang w:eastAsia="zh-CN"/>
              </w:rPr>
            </w:pPr>
            <w:r>
              <w:rPr>
                <w:rFonts w:hint="eastAsia" w:ascii="宋体" w:hAnsi="宋体" w:eastAsia="宋体" w:cs="宋体"/>
                <w:kern w:val="0"/>
                <w:szCs w:val="21"/>
              </w:rPr>
              <w:t>热毒血瘀证</w:t>
            </w:r>
            <w:r>
              <w:rPr>
                <w:rFonts w:hint="eastAsia" w:ascii="宋体" w:hAnsi="宋体" w:eastAsia="宋体" w:cs="宋体"/>
                <w:kern w:val="0"/>
                <w:szCs w:val="21"/>
                <w:lang w:eastAsia="zh-CN"/>
              </w:rPr>
              <w:t>：</w:t>
            </w:r>
            <w:r>
              <w:rPr>
                <w:rFonts w:hint="eastAsia" w:ascii="宋体" w:hAnsi="宋体" w:eastAsia="宋体" w:cs="宋体"/>
                <w:kern w:val="0"/>
                <w:szCs w:val="21"/>
              </w:rPr>
              <w:t>胸闷痛，精神亢进或烦躁，语音高亢，呼吸急促或气促或短气，口气异</w:t>
            </w:r>
            <w:r>
              <w:rPr>
                <w:rFonts w:hint="default" w:ascii="宋体" w:hAnsi="宋体" w:eastAsia="宋体" w:cs="宋体"/>
                <w:kern w:val="0"/>
                <w:szCs w:val="21"/>
              </w:rPr>
              <w:t>常，怕热，咯吐黄痰，面色赤红，大便燥结，小便短赤，口唇紫黑，舌红，舌下脉络曲张、紫黑，苔黄厚腻或滑腻，脉滑数或实。</w:t>
            </w:r>
          </w:p>
        </w:tc>
      </w:tr>
      <w:tr w14:paraId="43A24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tcPr>
          <w:p w14:paraId="4D580013">
            <w:pPr>
              <w:rPr>
                <w:vertAlign w:val="baseline"/>
              </w:rPr>
            </w:pPr>
            <w:r>
              <w:rPr>
                <w:rFonts w:hint="eastAsia" w:ascii="宋体" w:hAnsi="宋体" w:eastAsia="宋体" w:cs="宋体"/>
                <w:kern w:val="0"/>
                <w:szCs w:val="21"/>
              </w:rPr>
              <w:t>2011</w:t>
            </w:r>
          </w:p>
        </w:tc>
        <w:tc>
          <w:tcPr>
            <w:tcW w:w="3809" w:type="dxa"/>
          </w:tcPr>
          <w:p w14:paraId="1020C112">
            <w:pPr>
              <w:widowControl/>
              <w:spacing w:line="360" w:lineRule="auto"/>
              <w:jc w:val="left"/>
              <w:rPr>
                <w:vertAlign w:val="baseline"/>
              </w:rPr>
            </w:pPr>
            <w:r>
              <w:rPr>
                <w:rFonts w:hint="eastAsia" w:ascii="宋体" w:hAnsi="宋体" w:eastAsia="宋体" w:cs="宋体"/>
                <w:kern w:val="0"/>
                <w:szCs w:val="21"/>
              </w:rPr>
              <w:t>魏陵博,钟志欢,吉中强,李洁,戎冬梅.冠心病热毒证危险因素筛选研究[J].</w:t>
            </w:r>
          </w:p>
        </w:tc>
        <w:tc>
          <w:tcPr>
            <w:tcW w:w="3966" w:type="dxa"/>
          </w:tcPr>
          <w:p w14:paraId="6F835245">
            <w:pPr>
              <w:rPr>
                <w:vertAlign w:val="baseline"/>
              </w:rPr>
            </w:pPr>
            <w:r>
              <w:rPr>
                <w:rFonts w:hint="eastAsia" w:ascii="宋体" w:hAnsi="宋体" w:eastAsia="宋体" w:cs="宋体"/>
                <w:kern w:val="0"/>
                <w:szCs w:val="21"/>
              </w:rPr>
              <w:t>热毒证</w:t>
            </w:r>
            <w:r>
              <w:rPr>
                <w:rFonts w:hint="eastAsia" w:ascii="宋体" w:hAnsi="宋体" w:eastAsia="宋体" w:cs="宋体"/>
                <w:kern w:val="0"/>
                <w:szCs w:val="21"/>
                <w:lang w:eastAsia="zh-CN"/>
              </w:rPr>
              <w:t>：</w:t>
            </w:r>
            <w:r>
              <w:rPr>
                <w:rFonts w:hint="eastAsia" w:ascii="宋体" w:hAnsi="宋体" w:eastAsia="宋体" w:cs="宋体"/>
                <w:kern w:val="0"/>
                <w:szCs w:val="21"/>
              </w:rPr>
              <w:t>心胸、胃脘发热;失眠;便秘。面赤、怕热、口渴、口苦、多汗、口舌生疮、手足心发热、心烦、急躁。舌暗红苔黄, 脉搏有力。</w:t>
            </w:r>
          </w:p>
        </w:tc>
      </w:tr>
      <w:tr w14:paraId="4E19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tcPr>
          <w:p w14:paraId="4F14DF1A">
            <w:pPr>
              <w:rPr>
                <w:vertAlign w:val="baseline"/>
              </w:rPr>
            </w:pPr>
            <w:r>
              <w:rPr>
                <w:rFonts w:hint="eastAsia" w:ascii="宋体" w:hAnsi="宋体" w:eastAsia="宋体" w:cs="宋体"/>
                <w:kern w:val="0"/>
                <w:szCs w:val="21"/>
              </w:rPr>
              <w:t>2012</w:t>
            </w:r>
          </w:p>
        </w:tc>
        <w:tc>
          <w:tcPr>
            <w:tcW w:w="3809" w:type="dxa"/>
          </w:tcPr>
          <w:p w14:paraId="397BA5C7">
            <w:pPr>
              <w:spacing w:line="360" w:lineRule="auto"/>
              <w:rPr>
                <w:vertAlign w:val="baseline"/>
              </w:rPr>
            </w:pPr>
            <w:r>
              <w:rPr>
                <w:rFonts w:hint="eastAsia" w:ascii="宋体" w:hAnsi="宋体" w:eastAsia="宋体" w:cs="宋体"/>
                <w:kern w:val="0"/>
                <w:szCs w:val="21"/>
              </w:rPr>
              <w:t>吴伟,刘勇,李荣,吴辉,陈宇鹏.急性心肌梗死患者证候特点的回顾性研究[J]</w:t>
            </w:r>
          </w:p>
        </w:tc>
        <w:tc>
          <w:tcPr>
            <w:tcW w:w="3966" w:type="dxa"/>
          </w:tcPr>
          <w:p w14:paraId="4D18B585">
            <w:pPr>
              <w:rPr>
                <w:vertAlign w:val="baseline"/>
              </w:rPr>
            </w:pPr>
            <w:r>
              <w:rPr>
                <w:rFonts w:hint="eastAsia"/>
                <w:vertAlign w:val="baseline"/>
                <w:lang w:val="en-US" w:eastAsia="zh-CN"/>
              </w:rPr>
              <w:t>热毒证：</w:t>
            </w:r>
            <w:r>
              <w:rPr>
                <w:rFonts w:hint="eastAsia"/>
                <w:vertAlign w:val="baseline"/>
              </w:rPr>
              <w:t>胸痛发作频繁、加重,口干口苦,口气秽臭,烦热,大便秘结,舌紫暗或暗红,苔黄厚腻,脉弦滑或滑数。</w:t>
            </w:r>
          </w:p>
        </w:tc>
      </w:tr>
      <w:tr w14:paraId="1AE1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tcPr>
          <w:p w14:paraId="0B8DDA83">
            <w:pPr>
              <w:rPr>
                <w:vertAlign w:val="baseline"/>
              </w:rPr>
            </w:pPr>
            <w:r>
              <w:rPr>
                <w:rFonts w:hint="eastAsia" w:ascii="宋体" w:hAnsi="宋体" w:eastAsia="宋体" w:cs="宋体"/>
                <w:kern w:val="0"/>
                <w:szCs w:val="21"/>
              </w:rPr>
              <w:t>2020</w:t>
            </w:r>
          </w:p>
        </w:tc>
        <w:tc>
          <w:tcPr>
            <w:tcW w:w="3809" w:type="dxa"/>
          </w:tcPr>
          <w:p w14:paraId="7D568A8E">
            <w:pPr>
              <w:rPr>
                <w:vertAlign w:val="baseline"/>
              </w:rPr>
            </w:pPr>
            <w:r>
              <w:rPr>
                <w:rFonts w:hint="eastAsia" w:ascii="宋体" w:hAnsi="宋体" w:eastAsia="宋体" w:cs="宋体"/>
                <w:kern w:val="0"/>
                <w:szCs w:val="21"/>
              </w:rPr>
              <w:t>冠状动脉血运重建术后心绞痛中西医结合诊疗指南[J].</w:t>
            </w:r>
          </w:p>
        </w:tc>
        <w:tc>
          <w:tcPr>
            <w:tcW w:w="3966" w:type="dxa"/>
          </w:tcPr>
          <w:p w14:paraId="2412FCCE">
            <w:pPr>
              <w:rPr>
                <w:vertAlign w:val="baseline"/>
              </w:rPr>
            </w:pPr>
            <w:r>
              <w:rPr>
                <w:rFonts w:hint="eastAsia" w:ascii="宋体" w:hAnsi="宋体" w:eastAsia="宋体" w:cs="宋体"/>
                <w:kern w:val="0"/>
                <w:szCs w:val="21"/>
              </w:rPr>
              <w:t>热毒血瘀证</w:t>
            </w:r>
            <w:r>
              <w:rPr>
                <w:rFonts w:hint="default" w:ascii="宋体" w:hAnsi="宋体" w:eastAsia="宋体" w:cs="宋体"/>
                <w:kern w:val="0"/>
                <w:szCs w:val="21"/>
              </w:rPr>
              <w:t>: 胸闷憋气，心痛频发; 口气秽臭，大便秘结，口苦; 舌青或青紫，舌下络脉紫红或红绛，剥苔，舌苔黑燥、浊腻或垢腻; 脉弦滑或沉细涩。</w:t>
            </w:r>
          </w:p>
        </w:tc>
      </w:tr>
    </w:tbl>
    <w:p w14:paraId="47D2658D">
      <w:pPr>
        <w:rPr>
          <w:rFonts w:hAnsi="黑体"/>
          <w:sz w:val="21"/>
          <w:szCs w:val="21"/>
        </w:rPr>
      </w:pPr>
      <w:bookmarkStart w:id="63" w:name="_Toc510534552"/>
      <w:bookmarkStart w:id="64" w:name="_Toc18603"/>
      <w:bookmarkStart w:id="65" w:name="_Toc21905"/>
      <w:bookmarkStart w:id="66" w:name="_Toc509933873"/>
      <w:r>
        <w:rPr>
          <w:rFonts w:hint="eastAsia" w:hAnsi="黑体"/>
          <w:sz w:val="21"/>
          <w:szCs w:val="21"/>
        </w:rPr>
        <w:br w:type="page"/>
      </w:r>
    </w:p>
    <w:p w14:paraId="4C7E59B5">
      <w:pPr>
        <w:pStyle w:val="28"/>
        <w:rPr>
          <w:rFonts w:hAnsi="黑体"/>
          <w:sz w:val="21"/>
          <w:szCs w:val="21"/>
        </w:rPr>
      </w:pPr>
      <w:bookmarkStart w:id="67" w:name="_Toc5498"/>
      <w:r>
        <w:rPr>
          <w:rFonts w:hint="eastAsia" w:hAnsi="黑体"/>
          <w:sz w:val="21"/>
          <w:szCs w:val="21"/>
        </w:rPr>
        <w:t>参 考 文 献</w:t>
      </w:r>
      <w:bookmarkEnd w:id="63"/>
      <w:bookmarkEnd w:id="64"/>
      <w:bookmarkEnd w:id="65"/>
      <w:bookmarkEnd w:id="66"/>
      <w:bookmarkEnd w:id="67"/>
    </w:p>
    <w:p w14:paraId="08BE17EE">
      <w:pPr>
        <w:pStyle w:val="21"/>
        <w:tabs>
          <w:tab w:val="center" w:pos="4201"/>
          <w:tab w:val="right" w:leader="dot" w:pos="9298"/>
        </w:tabs>
        <w:spacing w:line="360" w:lineRule="exact"/>
        <w:ind w:firstLine="420"/>
        <w:rPr>
          <w:rFonts w:hAnsi="宋体" w:cs="宋体"/>
          <w:szCs w:val="21"/>
        </w:rPr>
      </w:pPr>
      <w:r>
        <w:rPr>
          <w:rFonts w:hint="eastAsia" w:hAnsi="宋体" w:cs="宋体"/>
          <w:szCs w:val="21"/>
        </w:rPr>
        <w:t xml:space="preserve">[1] </w:t>
      </w:r>
      <w:r>
        <w:rPr>
          <w:rFonts w:hint="eastAsia"/>
        </w:rPr>
        <w:t>中国心血管健康与疾病报告2023概要[J].中国循环杂志,2024,39(07):625-660.</w:t>
      </w:r>
    </w:p>
    <w:p w14:paraId="541C4911">
      <w:pPr>
        <w:pStyle w:val="21"/>
        <w:tabs>
          <w:tab w:val="center" w:pos="4201"/>
          <w:tab w:val="right" w:leader="dot" w:pos="9298"/>
        </w:tabs>
        <w:spacing w:line="360" w:lineRule="exact"/>
        <w:ind w:firstLine="420"/>
        <w:rPr>
          <w:rFonts w:hAnsi="宋体" w:cs="宋体"/>
          <w:szCs w:val="21"/>
        </w:rPr>
      </w:pPr>
      <w:r>
        <w:rPr>
          <w:rFonts w:hint="eastAsia" w:hAnsi="宋体" w:cs="宋体"/>
          <w:szCs w:val="21"/>
        </w:rPr>
        <w:t xml:space="preserve">[2] </w:t>
      </w:r>
      <w:r>
        <w:rPr>
          <w:rFonts w:hint="eastAsia"/>
        </w:rPr>
        <w:t>“健康中国2030”规划纲要[J].中国实用乡村医生杂志,2017,24(07):1-12.</w:t>
      </w:r>
    </w:p>
    <w:p w14:paraId="4AFC5341">
      <w:pPr>
        <w:pStyle w:val="21"/>
        <w:tabs>
          <w:tab w:val="center" w:pos="4201"/>
          <w:tab w:val="right" w:leader="dot" w:pos="9298"/>
        </w:tabs>
        <w:spacing w:line="360" w:lineRule="exact"/>
        <w:ind w:firstLine="420"/>
        <w:rPr>
          <w:rFonts w:hAnsi="宋体" w:cs="宋体"/>
          <w:szCs w:val="21"/>
        </w:rPr>
      </w:pPr>
      <w:r>
        <w:rPr>
          <w:rFonts w:hint="eastAsia" w:hAnsi="宋体" w:cs="宋体"/>
          <w:szCs w:val="21"/>
        </w:rPr>
        <w:t>[3]刘明波,何新叶,杨晓红,王增武</w:t>
      </w:r>
      <w:r>
        <w:rPr>
          <w:rFonts w:hint="eastAsia" w:hAnsi="宋体" w:cs="宋体"/>
          <w:szCs w:val="21"/>
          <w:lang w:val="en-US" w:eastAsia="zh-CN"/>
        </w:rPr>
        <w:t>,</w:t>
      </w:r>
      <w:r>
        <w:rPr>
          <w:rFonts w:hint="eastAsia" w:hAnsi="宋体" w:cs="宋体"/>
          <w:szCs w:val="21"/>
        </w:rPr>
        <w:t>胡盛寿.(2024).《中国心血管健康与疾病报告2023》概要（心血管疾病流行及介入诊疗状况）.中国介入心脏病学杂志,32(10),541-550.</w:t>
      </w:r>
    </w:p>
    <w:p w14:paraId="6C7B1ECC">
      <w:pPr>
        <w:pStyle w:val="21"/>
        <w:tabs>
          <w:tab w:val="center" w:pos="4201"/>
          <w:tab w:val="right" w:leader="dot" w:pos="9298"/>
        </w:tabs>
        <w:spacing w:line="360" w:lineRule="exact"/>
        <w:ind w:firstLine="420"/>
        <w:rPr>
          <w:rFonts w:hAnsi="宋体" w:cs="宋体"/>
          <w:szCs w:val="21"/>
        </w:rPr>
      </w:pPr>
      <w:r>
        <w:rPr>
          <w:rFonts w:hint="eastAsia" w:hAnsi="宋体" w:cs="宋体"/>
          <w:szCs w:val="21"/>
        </w:rPr>
        <w:t>[4]张瑞芬,苏和,黄新生,贾敏,张雪峰,贾婷婷&amp; 张海荣.(2022).不稳定型心绞痛中医诊疗专家共识.中医杂志,63(07),695-700.</w:t>
      </w:r>
    </w:p>
    <w:p w14:paraId="10B50E04">
      <w:pPr>
        <w:pStyle w:val="21"/>
        <w:tabs>
          <w:tab w:val="center" w:pos="4201"/>
          <w:tab w:val="right" w:leader="dot" w:pos="9298"/>
        </w:tabs>
        <w:spacing w:line="360" w:lineRule="exact"/>
        <w:ind w:firstLine="420"/>
        <w:rPr>
          <w:rFonts w:hAnsi="宋体" w:cs="宋体"/>
          <w:szCs w:val="21"/>
        </w:rPr>
      </w:pPr>
      <w:r>
        <w:rPr>
          <w:rFonts w:hint="eastAsia" w:hAnsi="宋体" w:cs="宋体"/>
          <w:szCs w:val="21"/>
        </w:rPr>
        <w:t>[5]王阶,陈光.冠心病稳定型心绞痛中医诊疗专家共识[J].中医杂志,2018,59(05):447-450.</w:t>
      </w:r>
    </w:p>
    <w:p w14:paraId="2E0875D0">
      <w:pPr>
        <w:pStyle w:val="21"/>
        <w:tabs>
          <w:tab w:val="center" w:pos="4201"/>
          <w:tab w:val="right" w:leader="dot" w:pos="9298"/>
        </w:tabs>
        <w:spacing w:line="360" w:lineRule="exact"/>
        <w:ind w:firstLine="420"/>
        <w:jc w:val="left"/>
      </w:pPr>
      <w:r>
        <w:rPr>
          <w:rFonts w:hint="eastAsia" w:hAnsi="宋体" w:cs="宋体"/>
          <w:szCs w:val="21"/>
        </w:rPr>
        <w:t>[6]</w:t>
      </w:r>
      <w:r>
        <w:rPr>
          <w:rFonts w:hint="eastAsia"/>
        </w:rPr>
        <w:t>丁书文,李晓,李运伦.热毒学说在心系疾病中的构建与应用[J].山东中医药大学学报,2004,(06):413-416.</w:t>
      </w:r>
    </w:p>
    <w:p w14:paraId="4C3062CB">
      <w:pPr>
        <w:pStyle w:val="21"/>
        <w:tabs>
          <w:tab w:val="center" w:pos="4201"/>
          <w:tab w:val="right" w:leader="dot" w:pos="9298"/>
        </w:tabs>
        <w:spacing w:line="360" w:lineRule="exact"/>
        <w:ind w:firstLine="420"/>
        <w:rPr>
          <w:rFonts w:hAnsi="宋体" w:cs="宋体"/>
          <w:szCs w:val="21"/>
        </w:rPr>
      </w:pPr>
      <w:r>
        <w:rPr>
          <w:rFonts w:hint="eastAsia" w:hAnsi="宋体" w:cs="宋体"/>
          <w:szCs w:val="21"/>
        </w:rPr>
        <w:t>[7]丁书文,李晓,李运伦,陈守强.心系疾病中的热毒学说[J].中国医药学报,2004(10):592-594.</w:t>
      </w:r>
    </w:p>
    <w:p w14:paraId="4B121C6D">
      <w:pPr>
        <w:pStyle w:val="21"/>
        <w:tabs>
          <w:tab w:val="center" w:pos="4201"/>
          <w:tab w:val="right" w:leader="dot" w:pos="9298"/>
        </w:tabs>
        <w:spacing w:line="360" w:lineRule="exact"/>
        <w:ind w:firstLine="420"/>
        <w:rPr>
          <w:rFonts w:hAnsi="宋体" w:cs="宋体"/>
          <w:szCs w:val="21"/>
        </w:rPr>
      </w:pPr>
      <w:r>
        <w:rPr>
          <w:rFonts w:hint="eastAsia" w:hAnsi="宋体" w:cs="宋体"/>
          <w:szCs w:val="21"/>
        </w:rPr>
        <w:t>[8]丁书文,李晓.试论益气活血解毒是治疗冠心病的基本大法[J].中华中医药杂志,2012,27(12):3141-3144.</w:t>
      </w:r>
    </w:p>
    <w:p w14:paraId="0E011166">
      <w:pPr>
        <w:pStyle w:val="21"/>
        <w:tabs>
          <w:tab w:val="center" w:pos="4201"/>
          <w:tab w:val="right" w:leader="dot" w:pos="9298"/>
        </w:tabs>
        <w:spacing w:line="360" w:lineRule="exact"/>
        <w:ind w:firstLine="420"/>
        <w:jc w:val="left"/>
      </w:pPr>
      <w:r>
        <w:t>[</w:t>
      </w:r>
      <w:r>
        <w:rPr>
          <w:rFonts w:hint="eastAsia"/>
        </w:rPr>
        <w:t>9</w:t>
      </w:r>
      <w:r>
        <w:t xml:space="preserve">]王燕,于志远,李晓. 益气活血解毒合剂联合西药治疗冠状动脉弥漫性病变心绞痛30例临床观察[J].中医杂志,2015, 56 (05): 398-401. </w:t>
      </w:r>
    </w:p>
    <w:p w14:paraId="192FCABB">
      <w:pPr>
        <w:pStyle w:val="21"/>
        <w:tabs>
          <w:tab w:val="center" w:pos="4201"/>
          <w:tab w:val="right" w:leader="dot" w:pos="9298"/>
        </w:tabs>
        <w:spacing w:line="360" w:lineRule="exact"/>
        <w:ind w:firstLine="420"/>
        <w:jc w:val="left"/>
      </w:pPr>
      <w:r>
        <w:t>[</w:t>
      </w:r>
      <w:r>
        <w:rPr>
          <w:rFonts w:hint="eastAsia"/>
        </w:rPr>
        <w:t>10</w:t>
      </w:r>
      <w:r>
        <w:t xml:space="preserve">]杨金龙,丁书文,姚晓东,等. 益气活血解毒方联合西药治疗经皮冠状动脉介入治疗术后心绞痛患者46例临床观察 [J]. 中医杂志, 2017, 58 (10): 850-853. </w:t>
      </w:r>
    </w:p>
    <w:p w14:paraId="6D2FC35B">
      <w:pPr>
        <w:pStyle w:val="21"/>
        <w:tabs>
          <w:tab w:val="center" w:pos="4201"/>
          <w:tab w:val="right" w:leader="dot" w:pos="9298"/>
        </w:tabs>
        <w:spacing w:line="360" w:lineRule="exact"/>
        <w:ind w:firstLine="420"/>
        <w:jc w:val="left"/>
      </w:pPr>
      <w:r>
        <w:t>[</w:t>
      </w:r>
      <w:r>
        <w:rPr>
          <w:rFonts w:hint="eastAsia"/>
        </w:rPr>
        <w:t>1</w:t>
      </w:r>
      <w:r>
        <w:t xml:space="preserve">]王永成,丁书文,姜月华,等. 益气活血解毒法治疗2型糖尿病性冠心病的临床研究 [J]. 辽宁中医杂志, 2018, 45 (02): 313-316. </w:t>
      </w:r>
    </w:p>
    <w:p w14:paraId="0447F27F">
      <w:pPr>
        <w:pStyle w:val="21"/>
        <w:tabs>
          <w:tab w:val="center" w:pos="4201"/>
          <w:tab w:val="right" w:leader="dot" w:pos="9298"/>
        </w:tabs>
        <w:spacing w:line="360" w:lineRule="exact"/>
        <w:ind w:firstLine="420"/>
        <w:jc w:val="left"/>
      </w:pPr>
      <w:r>
        <w:rPr>
          <w:rFonts w:hint="eastAsia"/>
        </w:rPr>
        <w:t>[12]</w:t>
      </w:r>
      <w:r>
        <w:t>董峰,吕艳斐,丁书文,等. 益气活血解毒法治疗不稳定型心绞痛52例疗效分析 [J]. 中国中医药现代远程教育, 2018, 16 (18): 44-45.</w:t>
      </w:r>
    </w:p>
    <w:p w14:paraId="73802CAF">
      <w:pPr>
        <w:pStyle w:val="21"/>
        <w:tabs>
          <w:tab w:val="center" w:pos="4201"/>
          <w:tab w:val="right" w:leader="dot" w:pos="9298"/>
        </w:tabs>
        <w:spacing w:line="360" w:lineRule="exact"/>
        <w:ind w:firstLine="420"/>
        <w:rPr>
          <w:rFonts w:hAnsi="宋体" w:cs="宋体"/>
          <w:szCs w:val="21"/>
        </w:rPr>
      </w:pPr>
      <w:r>
        <w:rPr>
          <w:rFonts w:hint="eastAsia" w:hAnsi="宋体" w:cs="宋体"/>
          <w:szCs w:val="21"/>
        </w:rPr>
        <w:t>[13]丁书文,李晓,杨金龙.从心系疾病热毒学说的建立论中医药传承创新思路[J].中华中医药杂志,2019,34(06):2355-2358.</w:t>
      </w:r>
    </w:p>
    <w:p w14:paraId="1095D629">
      <w:pPr>
        <w:pStyle w:val="21"/>
        <w:tabs>
          <w:tab w:val="center" w:pos="4201"/>
          <w:tab w:val="right" w:leader="dot" w:pos="9298"/>
        </w:tabs>
        <w:spacing w:line="360" w:lineRule="exact"/>
        <w:ind w:firstLine="420"/>
        <w:rPr>
          <w:rFonts w:hAnsi="宋体" w:cs="宋体"/>
          <w:szCs w:val="21"/>
        </w:rPr>
      </w:pPr>
      <w:r>
        <w:rPr>
          <w:rFonts w:hint="eastAsia" w:hAnsi="宋体" w:cs="宋体"/>
          <w:szCs w:val="21"/>
        </w:rPr>
        <w:t>[14]么传为，李晓，王翠娟.冠心病(火邪热结证)辨证规律的研究[J].中国中医急症，2015，24(8):1360-1361，1364.</w:t>
      </w:r>
    </w:p>
    <w:p w14:paraId="0E1C5378">
      <w:pPr>
        <w:pStyle w:val="21"/>
        <w:tabs>
          <w:tab w:val="center" w:pos="4201"/>
          <w:tab w:val="right" w:leader="dot" w:pos="9298"/>
        </w:tabs>
        <w:spacing w:line="360" w:lineRule="auto"/>
        <w:ind w:firstLine="420"/>
        <w:rPr>
          <w:rFonts w:hAnsi="宋体" w:cs="宋体"/>
          <w:szCs w:val="21"/>
        </w:rPr>
      </w:pPr>
      <w:r>
        <w:rPr>
          <w:rFonts w:hint="eastAsia" w:hAnsi="宋体" w:cs="宋体"/>
          <w:szCs w:val="21"/>
        </w:rPr>
        <w:t>[15]姜新凤. 冠心病热毒证诊断标准的研究[D].山东中医药大学,2019.</w:t>
      </w:r>
    </w:p>
    <w:p w14:paraId="71C21A10">
      <w:pPr>
        <w:kinsoku w:val="0"/>
        <w:wordWrap w:val="0"/>
        <w:overflowPunct w:val="0"/>
        <w:autoSpaceDE w:val="0"/>
        <w:autoSpaceDN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[16]冠心病(心绞痛、心肌梗塞)中医辨证参考标准(1979年修订)[J].医学研究通讯,1979(12):19.</w:t>
      </w:r>
    </w:p>
    <w:p w14:paraId="64991363">
      <w:pPr>
        <w:kinsoku w:val="0"/>
        <w:wordWrap w:val="0"/>
        <w:overflowPunct w:val="0"/>
        <w:autoSpaceDE w:val="0"/>
        <w:autoSpaceDN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[17]冠心病中医辨证标准[J].中西医结合杂志,1991(05):257.</w:t>
      </w:r>
    </w:p>
    <w:p w14:paraId="7FAB6860">
      <w:pPr>
        <w:kinsoku w:val="0"/>
        <w:wordWrap w:val="0"/>
        <w:overflowPunct w:val="0"/>
        <w:autoSpaceDE w:val="0"/>
        <w:autoSpaceDN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[18]国家中医药管理局胸痹急症协作组安徽分组,国家中医药管理局胸痹急症协作组河南分组.胸痹心悸(冠心病心律失常)中医急症诊疗规范[J].中国中医急症,1995(04):181-182+189.</w:t>
      </w:r>
    </w:p>
    <w:p w14:paraId="478BED27">
      <w:pPr>
        <w:kinsoku w:val="0"/>
        <w:wordWrap w:val="0"/>
        <w:overflowPunct w:val="0"/>
        <w:autoSpaceDE w:val="0"/>
        <w:autoSpaceDN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[19]王显.胸痹心痛络风内动证诊断专家共识[J].中医杂志,2014,55(17):1528-1530.</w:t>
      </w:r>
    </w:p>
    <w:p w14:paraId="7D1FFE47">
      <w:pPr>
        <w:kinsoku w:val="0"/>
        <w:wordWrap w:val="0"/>
        <w:overflowPunct w:val="0"/>
        <w:autoSpaceDE w:val="0"/>
        <w:autoSpaceDN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[20]王阶,邢雁伟.冠心病心绞痛证候要素诊断标准[J].中医杂志,2018,59(06):539-540.</w:t>
      </w:r>
    </w:p>
    <w:p w14:paraId="5B14CD39">
      <w:pPr>
        <w:kinsoku w:val="0"/>
        <w:wordWrap w:val="0"/>
        <w:overflowPunct w:val="0"/>
        <w:autoSpaceDE w:val="0"/>
        <w:autoSpaceDN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[21]王阶,李军,毛静远,邢雁伟.冠心病心绞痛主要证型的辨证诊断标准[J].中国中西医结合杂志,2018,38(02):154-155.</w:t>
      </w:r>
    </w:p>
    <w:p w14:paraId="434504EE">
      <w:pPr>
        <w:kinsoku w:val="0"/>
        <w:wordWrap w:val="0"/>
        <w:overflowPunct w:val="0"/>
        <w:autoSpaceDE w:val="0"/>
        <w:autoSpaceDN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[22]褚庆民.广东地区冠心病PCI术后患者证型辨证标准及临床随访研究[D].广州中医药大学,2018.</w:t>
      </w:r>
    </w:p>
    <w:p w14:paraId="11801F8C">
      <w:pPr>
        <w:kinsoku w:val="0"/>
        <w:wordWrap w:val="0"/>
        <w:overflowPunct w:val="0"/>
        <w:autoSpaceDE w:val="0"/>
        <w:autoSpaceDN w:val="0"/>
        <w:spacing w:line="360" w:lineRule="auto"/>
        <w:ind w:firstLine="420" w:firstLineChars="200"/>
        <w:jc w:val="left"/>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23</w:t>
      </w:r>
      <w:r>
        <w:rPr>
          <w:rFonts w:ascii="宋体" w:hAnsi="宋体" w:eastAsia="宋体" w:cs="宋体"/>
          <w:kern w:val="0"/>
          <w:szCs w:val="21"/>
        </w:rPr>
        <w:t>]龚兆会.冠状动脉支架植入术后患者中医证候辨证规范及分布规律研究[D].广州中医药大学,2017.</w:t>
      </w:r>
    </w:p>
    <w:p w14:paraId="735633F3">
      <w:pPr>
        <w:kinsoku w:val="0"/>
        <w:wordWrap w:val="0"/>
        <w:overflowPunct w:val="0"/>
        <w:autoSpaceDE w:val="0"/>
        <w:autoSpaceDN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[24]张佳乐.冠心病热结血脉证临床诊断标准研究[D].中国中医科学院,2021.</w:t>
      </w:r>
    </w:p>
    <w:p w14:paraId="012B84A9">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[25]陈可冀,史大卓,徐浩,殷惠军,张京春.冠心病稳定期因毒致病的辨证诊断量化标准[J].中国中西医结合杂志,2011,31(03):313-314.</w:t>
      </w:r>
    </w:p>
    <w:p w14:paraId="02C69BC0">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[26]徐浩,曲丹,郑峰,史大卓,陈可冀.冠心病稳定期“瘀毒”临床表征的研究[J].中国中西医结合杂志,2010,30(02):125-129.</w:t>
      </w:r>
    </w:p>
    <w:p w14:paraId="371215AB">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[27]陈浩. 冠心病急性冠脉综合征中医“瘀毒”证的临床辨证标准研究[D].中国中医科学院,2009.</w:t>
      </w:r>
    </w:p>
    <w:p w14:paraId="6929B260">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[28]杨巧宁.冠心病稳定期因毒致病辨证诊断标准的评价研究[D].中国中医科学院,2014.</w:t>
      </w:r>
    </w:p>
    <w:p w14:paraId="237B1ADB">
      <w:pPr>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[29]田文得,鞠建庆,高洁,等.急性冠脉综合征瘀毒互结证诊断标准研究[J].中国中西医结合杂志,2024,44(05):543-547.</w:t>
      </w:r>
    </w:p>
    <w:p w14:paraId="1243FEAA">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[30]姜新凤. 冠心病热毒证诊断标准的研究[D].山东中医药大学,2019.</w:t>
      </w:r>
    </w:p>
    <w:p w14:paraId="562FFCF4">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[31]王晓越,卢笑晖.冠心病热毒证中医证候量化方法初探[J].中国中医药现代远程教育,2017,15(17):51-53.</w:t>
      </w:r>
    </w:p>
    <w:p w14:paraId="465C5FA7">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[32]褚庆民. 广东地区冠心病PCI术后患者证型辨证标准及临床随访研究[D].广州中医药大学,2018.</w:t>
      </w:r>
    </w:p>
    <w:p w14:paraId="5E02503B">
      <w:pPr>
        <w:widowControl/>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[33]魏陵博,钟志欢,吉中强,李洁,戎冬梅.冠心病热毒证危险因素筛选研究[J].中国中医急症,2011,20(06):885-887.</w:t>
      </w:r>
    </w:p>
    <w:p w14:paraId="4D687553">
      <w:pPr>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[34]吴伟,刘勇,李荣,吴辉,陈宇鹏.急性心肌梗死患者证候特点的回顾性研究[J].广州中医药大学学报,2012,29(05):502-504.</w:t>
      </w:r>
    </w:p>
    <w:p w14:paraId="79265501">
      <w:pPr>
        <w:pStyle w:val="21"/>
        <w:tabs>
          <w:tab w:val="center" w:pos="4201"/>
          <w:tab w:val="right" w:leader="dot" w:pos="9298"/>
        </w:tabs>
        <w:spacing w:line="360" w:lineRule="auto"/>
        <w:ind w:firstLine="420"/>
        <w:rPr>
          <w:rFonts w:hAnsi="宋体" w:cs="宋体"/>
          <w:szCs w:val="21"/>
        </w:rPr>
      </w:pPr>
      <w:r>
        <w:rPr>
          <w:rFonts w:hint="eastAsia" w:hAnsi="宋体" w:cs="宋体"/>
          <w:szCs w:val="21"/>
        </w:rPr>
        <w:t>[35]世界中医药联合会心血管病专业委员会,中国中西医结合学会心血管病专业委员会,中华中医药学会介入心脏病学会,等.冠状动脉血运重建术后心绞痛中西医结合诊疗指南[J].中国中西医结合杂志,2020,40(11):1298-1307.</w:t>
      </w:r>
    </w:p>
    <w:p w14:paraId="6FBF8869">
      <w:pPr>
        <w:pStyle w:val="21"/>
        <w:tabs>
          <w:tab w:val="center" w:pos="4201"/>
          <w:tab w:val="right" w:leader="dot" w:pos="9298"/>
        </w:tabs>
        <w:spacing w:line="360" w:lineRule="exact"/>
        <w:ind w:firstLine="420"/>
        <w:rPr>
          <w:rFonts w:hAnsi="宋体" w:cs="宋体"/>
          <w:szCs w:val="21"/>
        </w:rPr>
      </w:pPr>
      <w:r>
        <w:rPr>
          <w:rFonts w:hAnsi="宋体" w:cs="宋体"/>
          <w:szCs w:val="21"/>
        </w:rPr>
        <w:t>[</w:t>
      </w:r>
      <w:r>
        <w:rPr>
          <w:rFonts w:hint="eastAsia" w:hAnsi="宋体" w:cs="宋体"/>
          <w:szCs w:val="21"/>
          <w:lang w:val="en-US" w:eastAsia="zh-CN"/>
        </w:rPr>
        <w:t>36</w:t>
      </w:r>
      <w:r>
        <w:rPr>
          <w:rFonts w:hAnsi="宋体" w:cs="宋体"/>
          <w:szCs w:val="21"/>
        </w:rPr>
        <w:t>]全国中医标准化技术委员会(SAC/TC 478).中医临床诊疗术语　第1部分：疾病:GB/T 16751.1-2023[S].中国标准出版社,2023.</w:t>
      </w:r>
    </w:p>
    <w:p w14:paraId="07C12703">
      <w:pPr>
        <w:pStyle w:val="21"/>
        <w:tabs>
          <w:tab w:val="center" w:pos="4201"/>
          <w:tab w:val="right" w:leader="dot" w:pos="9298"/>
        </w:tabs>
        <w:spacing w:line="360" w:lineRule="exact"/>
        <w:ind w:firstLine="420"/>
        <w:rPr>
          <w:rFonts w:hAnsi="宋体" w:cs="宋体"/>
          <w:szCs w:val="21"/>
        </w:rPr>
      </w:pPr>
      <w:r>
        <w:rPr>
          <w:rFonts w:hAnsi="宋体" w:cs="宋体"/>
          <w:szCs w:val="21"/>
        </w:rPr>
        <w:t>[</w:t>
      </w:r>
      <w:r>
        <w:rPr>
          <w:rFonts w:hint="eastAsia" w:hAnsi="宋体" w:cs="宋体"/>
          <w:szCs w:val="21"/>
          <w:lang w:val="en-US" w:eastAsia="zh-CN"/>
        </w:rPr>
        <w:t>37</w:t>
      </w:r>
      <w:r>
        <w:rPr>
          <w:rFonts w:hAnsi="宋体" w:cs="宋体"/>
          <w:szCs w:val="21"/>
        </w:rPr>
        <w:t>]全国中医标准化技术委员会(SAC/TC 478).中医临床诊疗术语　第2部分：证候:GB/T 16751.2-2021[S].中国标准出版社,2021.</w:t>
      </w:r>
    </w:p>
    <w:p w14:paraId="4132EB2C">
      <w:pPr>
        <w:pStyle w:val="21"/>
        <w:tabs>
          <w:tab w:val="center" w:pos="4201"/>
          <w:tab w:val="right" w:leader="dot" w:pos="9298"/>
        </w:tabs>
        <w:spacing w:line="360" w:lineRule="exact"/>
        <w:ind w:firstLine="420"/>
        <w:rPr>
          <w:rFonts w:hint="eastAsia" w:hAnsi="宋体" w:cs="宋体"/>
          <w:szCs w:val="21"/>
        </w:rPr>
      </w:pPr>
      <w:r>
        <w:rPr>
          <w:rFonts w:hint="eastAsia" w:hAnsi="宋体" w:cs="宋体"/>
          <w:szCs w:val="21"/>
        </w:rPr>
        <w:t>[</w:t>
      </w:r>
      <w:r>
        <w:rPr>
          <w:rFonts w:hint="eastAsia" w:hAnsi="宋体" w:cs="宋体"/>
          <w:szCs w:val="21"/>
          <w:lang w:val="en-US" w:eastAsia="zh-CN"/>
        </w:rPr>
        <w:t>38</w:t>
      </w:r>
      <w:r>
        <w:rPr>
          <w:rFonts w:hint="eastAsia" w:hAnsi="宋体" w:cs="宋体"/>
          <w:szCs w:val="21"/>
        </w:rPr>
        <w:t>] Khoury B , Kogan C , Daouk S .International Classification of Diseases 11th Edition (ICD-11)[J]. 2017.</w:t>
      </w:r>
    </w:p>
    <w:p w14:paraId="26E69A92">
      <w:pPr>
        <w:pStyle w:val="21"/>
        <w:tabs>
          <w:tab w:val="center" w:pos="4201"/>
          <w:tab w:val="right" w:leader="dot" w:pos="9298"/>
        </w:tabs>
        <w:spacing w:line="360" w:lineRule="exact"/>
        <w:ind w:firstLine="420"/>
        <w:rPr>
          <w:rFonts w:hint="default" w:hAnsi="宋体" w:eastAsia="宋体" w:cs="宋体"/>
          <w:szCs w:val="21"/>
          <w:lang w:val="en-US" w:eastAsia="zh-CN"/>
        </w:rPr>
      </w:pPr>
    </w:p>
    <w:sectPr>
      <w:footerReference r:id="rId6" w:type="default"/>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wiss"/>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华文中宋">
    <w:altName w:val="宋体"/>
    <w:panose1 w:val="02010600040101010101"/>
    <w:charset w:val="86"/>
    <w:family w:val="auto"/>
    <w:pitch w:val="default"/>
    <w:sig w:usb0="00000000" w:usb1="00000000" w:usb2="00000000" w:usb3="00000000" w:csb0="0004009F" w:csb1="DFD7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97944">
    <w:pPr>
      <w:pStyle w:val="7"/>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147480313"/>
                          </w:sdtPr>
                          <w:sdtContent>
                            <w:p w14:paraId="39E2C893">
                              <w:pPr>
                                <w:pStyle w:val="7"/>
                                <w:jc w:val="right"/>
                              </w:pPr>
                              <w:r>
                                <w:fldChar w:fldCharType="begin"/>
                              </w:r>
                              <w:r>
                                <w:instrText xml:space="preserve">PAGE   \* MERGEFORMAT</w:instrText>
                              </w:r>
                              <w:r>
                                <w:fldChar w:fldCharType="separate"/>
                              </w:r>
                              <w:r>
                                <w:rPr>
                                  <w:lang w:val="zh-CN"/>
                                </w:rPr>
                                <w:t>3</w:t>
                              </w:r>
                              <w:r>
                                <w:fldChar w:fldCharType="end"/>
                              </w:r>
                            </w:p>
                          </w:sdtContent>
                        </w:sdt>
                        <w:p w14:paraId="4D670A4B"/>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sdt>
                    <w:sdtPr>
                      <w:id w:val="147480313"/>
                    </w:sdtPr>
                    <w:sdtContent>
                      <w:p w14:paraId="39E2C893">
                        <w:pPr>
                          <w:pStyle w:val="7"/>
                          <w:jc w:val="right"/>
                        </w:pPr>
                        <w:r>
                          <w:fldChar w:fldCharType="begin"/>
                        </w:r>
                        <w:r>
                          <w:instrText xml:space="preserve">PAGE   \* MERGEFORMAT</w:instrText>
                        </w:r>
                        <w:r>
                          <w:fldChar w:fldCharType="separate"/>
                        </w:r>
                        <w:r>
                          <w:rPr>
                            <w:lang w:val="zh-CN"/>
                          </w:rPr>
                          <w:t>3</w:t>
                        </w:r>
                        <w:r>
                          <w:fldChar w:fldCharType="end"/>
                        </w:r>
                      </w:p>
                    </w:sdtContent>
                  </w:sdt>
                  <w:p w14:paraId="4D670A4B"/>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8F303">
    <w:pPr>
      <w:pStyle w:val="7"/>
      <w:jc w:val="right"/>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147451744"/>
                          </w:sdtPr>
                          <w:sdtContent>
                            <w:p w14:paraId="55D68ED3">
                              <w:pPr>
                                <w:pStyle w:val="7"/>
                                <w:jc w:val="right"/>
                              </w:pPr>
                              <w:r>
                                <w:fldChar w:fldCharType="begin"/>
                              </w:r>
                              <w:r>
                                <w:instrText xml:space="preserve">PAGE   \* MERGEFORMAT</w:instrText>
                              </w:r>
                              <w:r>
                                <w:fldChar w:fldCharType="separate"/>
                              </w:r>
                              <w:r>
                                <w:rPr>
                                  <w:lang w:val="zh-CN"/>
                                </w:rPr>
                                <w:t>12</w:t>
                              </w:r>
                              <w:r>
                                <w:fldChar w:fldCharType="end"/>
                              </w:r>
                            </w:p>
                          </w:sdtContent>
                        </w:sdt>
                        <w:p w14:paraId="3DDF9DC7"/>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sdt>
                    <w:sdtPr>
                      <w:id w:val="147451744"/>
                    </w:sdtPr>
                    <w:sdtContent>
                      <w:p w14:paraId="55D68ED3">
                        <w:pPr>
                          <w:pStyle w:val="7"/>
                          <w:jc w:val="right"/>
                        </w:pPr>
                        <w:r>
                          <w:fldChar w:fldCharType="begin"/>
                        </w:r>
                        <w:r>
                          <w:instrText xml:space="preserve">PAGE   \* MERGEFORMAT</w:instrText>
                        </w:r>
                        <w:r>
                          <w:fldChar w:fldCharType="separate"/>
                        </w:r>
                        <w:r>
                          <w:rPr>
                            <w:lang w:val="zh-CN"/>
                          </w:rPr>
                          <w:t>12</w:t>
                        </w:r>
                        <w:r>
                          <w:fldChar w:fldCharType="end"/>
                        </w:r>
                      </w:p>
                    </w:sdtContent>
                  </w:sdt>
                  <w:p w14:paraId="3DDF9DC7"/>
                </w:txbxContent>
              </v:textbox>
            </v:shape>
          </w:pict>
        </mc:Fallback>
      </mc:AlternateContent>
    </w:r>
  </w:p>
  <w:p w14:paraId="2F8A15E5">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5C650">
    <w:pPr>
      <w:pStyle w:val="8"/>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BF182">
    <w:pPr>
      <w:pStyle w:val="8"/>
      <w:wordWrap w:val="0"/>
      <w:jc w:val="right"/>
      <w:rPr>
        <w:rFonts w:ascii="黑体" w:hAnsi="黑体" w:eastAsia="黑体"/>
        <w:sz w:val="21"/>
        <w:szCs w:val="21"/>
      </w:rPr>
    </w:pPr>
    <w:r>
      <w:rPr>
        <w:rFonts w:hint="eastAsia" w:ascii="黑体" w:hAnsi="黑体" w:eastAsia="黑体"/>
        <w:sz w:val="21"/>
        <w:szCs w:val="21"/>
      </w:rPr>
      <w:t>GS</w:t>
    </w:r>
    <w:r>
      <w:rPr>
        <w:rFonts w:ascii="黑体" w:hAnsi="黑体" w:eastAsia="黑体"/>
        <w:sz w:val="21"/>
        <w:szCs w:val="21"/>
      </w:rPr>
      <w:t xml:space="preserve">/CACM </w:t>
    </w:r>
    <w:r>
      <w:rPr>
        <w:rFonts w:hint="eastAsia" w:ascii="黑体" w:hAnsi="黑体" w:eastAsia="黑体"/>
        <w:spacing w:val="10"/>
        <w:sz w:val="21"/>
        <w:szCs w:val="21"/>
      </w:rPr>
      <w:t>****</w:t>
    </w:r>
    <w:r>
      <w:rPr>
        <w:rFonts w:ascii="黑体" w:hAnsi="黑体" w:eastAsia="黑体"/>
        <w:spacing w:val="10"/>
        <w:sz w:val="21"/>
        <w:szCs w:val="21"/>
      </w:rPr>
      <w:t>－20</w:t>
    </w:r>
    <w:r>
      <w:rPr>
        <w:rFonts w:hint="eastAsia" w:ascii="黑体" w:hAnsi="黑体" w:eastAsia="黑体"/>
        <w:spacing w:val="10"/>
        <w:sz w:val="21"/>
        <w:szCs w:val="21"/>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27"/>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284"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6CEA2025"/>
    <w:multiLevelType w:val="multilevel"/>
    <w:tmpl w:val="6CEA2025"/>
    <w:lvl w:ilvl="0" w:tentative="0">
      <w:start w:val="1"/>
      <w:numFmt w:val="none"/>
      <w:pStyle w:val="28"/>
      <w:suff w:val="nothing"/>
      <w:lvlText w:val="%1"/>
      <w:lvlJc w:val="left"/>
      <w:pPr>
        <w:ind w:left="0" w:firstLine="0"/>
      </w:pPr>
      <w:rPr>
        <w:rFonts w:hint="default" w:ascii="Times New Roman" w:hAnsi="Times New Roman"/>
        <w:b/>
        <w:i w:val="0"/>
        <w:sz w:val="21"/>
      </w:rPr>
    </w:lvl>
    <w:lvl w:ilvl="1" w:tentative="0">
      <w:start w:val="1"/>
      <w:numFmt w:val="decimal"/>
      <w:pStyle w:val="20"/>
      <w:suff w:val="nothing"/>
      <w:lvlText w:val="%1%2　"/>
      <w:lvlJc w:val="left"/>
      <w:pPr>
        <w:ind w:left="360" w:firstLine="0"/>
      </w:pPr>
      <w:rPr>
        <w:rFonts w:hint="eastAsia" w:ascii="黑体" w:hAnsi="Times New Roman" w:eastAsia="黑体"/>
        <w:b w:val="0"/>
        <w:i w:val="0"/>
        <w:sz w:val="21"/>
      </w:rPr>
    </w:lvl>
    <w:lvl w:ilvl="2" w:tentative="0">
      <w:start w:val="1"/>
      <w:numFmt w:val="decimal"/>
      <w:pStyle w:val="23"/>
      <w:suff w:val="nothing"/>
      <w:lvlText w:val="%1%2.%3　"/>
      <w:lvlJc w:val="left"/>
      <w:pPr>
        <w:ind w:left="0" w:firstLine="0"/>
      </w:pPr>
      <w:rPr>
        <w:rFonts w:hint="eastAsia" w:ascii="黑体" w:hAnsi="Times New Roman" w:eastAsia="黑体"/>
        <w:b w:val="0"/>
        <w:i w:val="0"/>
        <w:sz w:val="21"/>
      </w:rPr>
    </w:lvl>
    <w:lvl w:ilvl="3" w:tentative="0">
      <w:start w:val="1"/>
      <w:numFmt w:val="decimal"/>
      <w:pStyle w:val="26"/>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54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BC7831"/>
    <w:rsid w:val="00016417"/>
    <w:rsid w:val="00024AC6"/>
    <w:rsid w:val="00051519"/>
    <w:rsid w:val="00053659"/>
    <w:rsid w:val="00060D8E"/>
    <w:rsid w:val="00062419"/>
    <w:rsid w:val="00080D52"/>
    <w:rsid w:val="000A1E23"/>
    <w:rsid w:val="000C29F0"/>
    <w:rsid w:val="000D230A"/>
    <w:rsid w:val="000D530F"/>
    <w:rsid w:val="000F0978"/>
    <w:rsid w:val="000F1177"/>
    <w:rsid w:val="000F3546"/>
    <w:rsid w:val="00101828"/>
    <w:rsid w:val="001057F7"/>
    <w:rsid w:val="001074B6"/>
    <w:rsid w:val="0011064A"/>
    <w:rsid w:val="00110943"/>
    <w:rsid w:val="0011215D"/>
    <w:rsid w:val="00112E5C"/>
    <w:rsid w:val="00147B59"/>
    <w:rsid w:val="00160984"/>
    <w:rsid w:val="00164A47"/>
    <w:rsid w:val="00165E1D"/>
    <w:rsid w:val="00173134"/>
    <w:rsid w:val="00184727"/>
    <w:rsid w:val="00195740"/>
    <w:rsid w:val="00195EBA"/>
    <w:rsid w:val="001A33E4"/>
    <w:rsid w:val="001C487F"/>
    <w:rsid w:val="001C5DF8"/>
    <w:rsid w:val="001D2919"/>
    <w:rsid w:val="001D362D"/>
    <w:rsid w:val="001D5D14"/>
    <w:rsid w:val="001E3CBE"/>
    <w:rsid w:val="0020032A"/>
    <w:rsid w:val="00210EDC"/>
    <w:rsid w:val="00226F03"/>
    <w:rsid w:val="00240ECC"/>
    <w:rsid w:val="002568DB"/>
    <w:rsid w:val="002722F3"/>
    <w:rsid w:val="00291D70"/>
    <w:rsid w:val="00292AC2"/>
    <w:rsid w:val="002930FB"/>
    <w:rsid w:val="002A3D14"/>
    <w:rsid w:val="002A4D44"/>
    <w:rsid w:val="002A716C"/>
    <w:rsid w:val="002A7991"/>
    <w:rsid w:val="002B28B2"/>
    <w:rsid w:val="002D1620"/>
    <w:rsid w:val="002E196F"/>
    <w:rsid w:val="002E27BA"/>
    <w:rsid w:val="002F2299"/>
    <w:rsid w:val="002F33B1"/>
    <w:rsid w:val="00333620"/>
    <w:rsid w:val="0034011E"/>
    <w:rsid w:val="0034300D"/>
    <w:rsid w:val="003855F7"/>
    <w:rsid w:val="003A505E"/>
    <w:rsid w:val="003B4F8D"/>
    <w:rsid w:val="003B5D81"/>
    <w:rsid w:val="003C73D7"/>
    <w:rsid w:val="003D293B"/>
    <w:rsid w:val="00413F82"/>
    <w:rsid w:val="004276B4"/>
    <w:rsid w:val="00434D7A"/>
    <w:rsid w:val="00435258"/>
    <w:rsid w:val="0043594C"/>
    <w:rsid w:val="00437239"/>
    <w:rsid w:val="004415F3"/>
    <w:rsid w:val="0045088F"/>
    <w:rsid w:val="00467DE9"/>
    <w:rsid w:val="00481D48"/>
    <w:rsid w:val="00493AC6"/>
    <w:rsid w:val="004C6856"/>
    <w:rsid w:val="00514F56"/>
    <w:rsid w:val="00515BC1"/>
    <w:rsid w:val="00563C4A"/>
    <w:rsid w:val="0056475B"/>
    <w:rsid w:val="0056662F"/>
    <w:rsid w:val="005675F6"/>
    <w:rsid w:val="00574F30"/>
    <w:rsid w:val="0058780E"/>
    <w:rsid w:val="005A4262"/>
    <w:rsid w:val="005B63FD"/>
    <w:rsid w:val="005C4D5C"/>
    <w:rsid w:val="005D718A"/>
    <w:rsid w:val="005E1F0E"/>
    <w:rsid w:val="005E4503"/>
    <w:rsid w:val="005F249D"/>
    <w:rsid w:val="005F72FB"/>
    <w:rsid w:val="00623D3D"/>
    <w:rsid w:val="00670459"/>
    <w:rsid w:val="00673E36"/>
    <w:rsid w:val="00674D46"/>
    <w:rsid w:val="0068444E"/>
    <w:rsid w:val="00687204"/>
    <w:rsid w:val="00692CC5"/>
    <w:rsid w:val="006E4104"/>
    <w:rsid w:val="006E78C3"/>
    <w:rsid w:val="007013BB"/>
    <w:rsid w:val="00724910"/>
    <w:rsid w:val="00754AD5"/>
    <w:rsid w:val="007558D6"/>
    <w:rsid w:val="00756963"/>
    <w:rsid w:val="00775E01"/>
    <w:rsid w:val="007A732B"/>
    <w:rsid w:val="007C7383"/>
    <w:rsid w:val="007D24E9"/>
    <w:rsid w:val="0081672A"/>
    <w:rsid w:val="00826483"/>
    <w:rsid w:val="00852946"/>
    <w:rsid w:val="00862A07"/>
    <w:rsid w:val="00875EC6"/>
    <w:rsid w:val="008820EA"/>
    <w:rsid w:val="008B1166"/>
    <w:rsid w:val="008C1480"/>
    <w:rsid w:val="008D309F"/>
    <w:rsid w:val="008E5888"/>
    <w:rsid w:val="008F7435"/>
    <w:rsid w:val="00913CB8"/>
    <w:rsid w:val="00915007"/>
    <w:rsid w:val="00931243"/>
    <w:rsid w:val="009401B9"/>
    <w:rsid w:val="00965B96"/>
    <w:rsid w:val="00970892"/>
    <w:rsid w:val="009807BE"/>
    <w:rsid w:val="00981EAB"/>
    <w:rsid w:val="00984ED3"/>
    <w:rsid w:val="0099088D"/>
    <w:rsid w:val="00990F61"/>
    <w:rsid w:val="009923E4"/>
    <w:rsid w:val="009B151D"/>
    <w:rsid w:val="009C6235"/>
    <w:rsid w:val="009F1DAE"/>
    <w:rsid w:val="00A02486"/>
    <w:rsid w:val="00A11B31"/>
    <w:rsid w:val="00A14AD3"/>
    <w:rsid w:val="00A278EB"/>
    <w:rsid w:val="00A40EDB"/>
    <w:rsid w:val="00A51B2A"/>
    <w:rsid w:val="00A72C8F"/>
    <w:rsid w:val="00A93EB2"/>
    <w:rsid w:val="00AB20C6"/>
    <w:rsid w:val="00AB3E24"/>
    <w:rsid w:val="00AC469E"/>
    <w:rsid w:val="00AE2189"/>
    <w:rsid w:val="00AF2C87"/>
    <w:rsid w:val="00B100E3"/>
    <w:rsid w:val="00B3069C"/>
    <w:rsid w:val="00B51070"/>
    <w:rsid w:val="00B530B7"/>
    <w:rsid w:val="00B5365B"/>
    <w:rsid w:val="00B573EC"/>
    <w:rsid w:val="00BA03F2"/>
    <w:rsid w:val="00BB49F7"/>
    <w:rsid w:val="00BC3957"/>
    <w:rsid w:val="00BC7831"/>
    <w:rsid w:val="00BF17EA"/>
    <w:rsid w:val="00C03A46"/>
    <w:rsid w:val="00C31CF7"/>
    <w:rsid w:val="00C35185"/>
    <w:rsid w:val="00C45356"/>
    <w:rsid w:val="00C46CD7"/>
    <w:rsid w:val="00C553DB"/>
    <w:rsid w:val="00C8547C"/>
    <w:rsid w:val="00C86BEC"/>
    <w:rsid w:val="00CA373C"/>
    <w:rsid w:val="00CC3FC0"/>
    <w:rsid w:val="00CC543C"/>
    <w:rsid w:val="00CE0FA8"/>
    <w:rsid w:val="00D0338B"/>
    <w:rsid w:val="00D256DC"/>
    <w:rsid w:val="00D30D9C"/>
    <w:rsid w:val="00D62642"/>
    <w:rsid w:val="00D70986"/>
    <w:rsid w:val="00D83475"/>
    <w:rsid w:val="00DA744C"/>
    <w:rsid w:val="00DB0B12"/>
    <w:rsid w:val="00DC2077"/>
    <w:rsid w:val="00DD416E"/>
    <w:rsid w:val="00DE1D6D"/>
    <w:rsid w:val="00E108A6"/>
    <w:rsid w:val="00E24F82"/>
    <w:rsid w:val="00E34C13"/>
    <w:rsid w:val="00E52C07"/>
    <w:rsid w:val="00E60530"/>
    <w:rsid w:val="00E67233"/>
    <w:rsid w:val="00E845B2"/>
    <w:rsid w:val="00E86133"/>
    <w:rsid w:val="00E91C18"/>
    <w:rsid w:val="00EA02A6"/>
    <w:rsid w:val="00EA1E8F"/>
    <w:rsid w:val="00EA53A1"/>
    <w:rsid w:val="00EB2E65"/>
    <w:rsid w:val="00EC75D4"/>
    <w:rsid w:val="00ED1A52"/>
    <w:rsid w:val="00EE6D49"/>
    <w:rsid w:val="00EE74D9"/>
    <w:rsid w:val="00EF27E0"/>
    <w:rsid w:val="00F024E8"/>
    <w:rsid w:val="00F10A24"/>
    <w:rsid w:val="00F27B39"/>
    <w:rsid w:val="00F425E0"/>
    <w:rsid w:val="00F51C34"/>
    <w:rsid w:val="00F55457"/>
    <w:rsid w:val="00F948F3"/>
    <w:rsid w:val="00FA5B2A"/>
    <w:rsid w:val="00FD0652"/>
    <w:rsid w:val="00FD741A"/>
    <w:rsid w:val="00FD74F8"/>
    <w:rsid w:val="02C31EB4"/>
    <w:rsid w:val="04212517"/>
    <w:rsid w:val="042A3624"/>
    <w:rsid w:val="04AB199A"/>
    <w:rsid w:val="06A26D5C"/>
    <w:rsid w:val="0B446D23"/>
    <w:rsid w:val="0C5E7DB5"/>
    <w:rsid w:val="0E315CA6"/>
    <w:rsid w:val="0F1C3EAA"/>
    <w:rsid w:val="0F781DAE"/>
    <w:rsid w:val="11001706"/>
    <w:rsid w:val="110154C4"/>
    <w:rsid w:val="1636552A"/>
    <w:rsid w:val="17F52BDC"/>
    <w:rsid w:val="182F467F"/>
    <w:rsid w:val="18A013B7"/>
    <w:rsid w:val="190B3835"/>
    <w:rsid w:val="1BCA4DEA"/>
    <w:rsid w:val="1DFC2026"/>
    <w:rsid w:val="1ED85A70"/>
    <w:rsid w:val="1FBB0031"/>
    <w:rsid w:val="1FE52B8D"/>
    <w:rsid w:val="20DA2A0B"/>
    <w:rsid w:val="21F109DB"/>
    <w:rsid w:val="2331727F"/>
    <w:rsid w:val="2460693F"/>
    <w:rsid w:val="251D41DD"/>
    <w:rsid w:val="25E60CAD"/>
    <w:rsid w:val="2651396B"/>
    <w:rsid w:val="27D53556"/>
    <w:rsid w:val="292F0FD6"/>
    <w:rsid w:val="2BC20AAF"/>
    <w:rsid w:val="2C8A4A20"/>
    <w:rsid w:val="2D9D3AAF"/>
    <w:rsid w:val="2E2433C9"/>
    <w:rsid w:val="32A802C8"/>
    <w:rsid w:val="34B34949"/>
    <w:rsid w:val="35FE4F68"/>
    <w:rsid w:val="36002F3B"/>
    <w:rsid w:val="37103BA1"/>
    <w:rsid w:val="37332857"/>
    <w:rsid w:val="39837E8B"/>
    <w:rsid w:val="3A211C22"/>
    <w:rsid w:val="3AA2626E"/>
    <w:rsid w:val="3B2D393F"/>
    <w:rsid w:val="3B9528C7"/>
    <w:rsid w:val="3C590597"/>
    <w:rsid w:val="3CA60EB7"/>
    <w:rsid w:val="3CF31BA0"/>
    <w:rsid w:val="3D44174A"/>
    <w:rsid w:val="3DB628A9"/>
    <w:rsid w:val="3EC16A8E"/>
    <w:rsid w:val="3FA01E46"/>
    <w:rsid w:val="413B5CBF"/>
    <w:rsid w:val="415547B2"/>
    <w:rsid w:val="4194581D"/>
    <w:rsid w:val="41BF7B9C"/>
    <w:rsid w:val="43E51F12"/>
    <w:rsid w:val="45B93656"/>
    <w:rsid w:val="48643D4D"/>
    <w:rsid w:val="48833FE3"/>
    <w:rsid w:val="488B37FD"/>
    <w:rsid w:val="49974C8E"/>
    <w:rsid w:val="4CC710C8"/>
    <w:rsid w:val="4EA3372B"/>
    <w:rsid w:val="54675CAE"/>
    <w:rsid w:val="565A22EB"/>
    <w:rsid w:val="57B338E1"/>
    <w:rsid w:val="582B50C6"/>
    <w:rsid w:val="58D24FF6"/>
    <w:rsid w:val="59CD007D"/>
    <w:rsid w:val="59D40FD9"/>
    <w:rsid w:val="5D8B0C10"/>
    <w:rsid w:val="5E1C62B4"/>
    <w:rsid w:val="60135765"/>
    <w:rsid w:val="620316C6"/>
    <w:rsid w:val="62AC2121"/>
    <w:rsid w:val="63FC4604"/>
    <w:rsid w:val="6660394E"/>
    <w:rsid w:val="67114EEC"/>
    <w:rsid w:val="67B04461"/>
    <w:rsid w:val="688F7FCB"/>
    <w:rsid w:val="695B6673"/>
    <w:rsid w:val="69896970"/>
    <w:rsid w:val="6C705F6D"/>
    <w:rsid w:val="72AE7B1D"/>
    <w:rsid w:val="75EC750B"/>
    <w:rsid w:val="76AA4771"/>
    <w:rsid w:val="775D17E4"/>
    <w:rsid w:val="779C2E45"/>
    <w:rsid w:val="77A17507"/>
    <w:rsid w:val="784D4788"/>
    <w:rsid w:val="7E1672B4"/>
    <w:rsid w:val="7E7275C8"/>
    <w:rsid w:val="7EE42BA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3"/>
    <w:basedOn w:val="1"/>
    <w:link w:val="18"/>
    <w:qFormat/>
    <w:uiPriority w:val="0"/>
    <w:pPr>
      <w:widowControl/>
    </w:pPr>
    <w:rPr>
      <w:rFonts w:ascii="Times New Roman" w:hAnsi="Times New Roman" w:eastAsia="仿宋_GB2312" w:cs="Times New Roman"/>
      <w:kern w:val="0"/>
      <w:sz w:val="28"/>
      <w:szCs w:val="20"/>
    </w:rPr>
  </w:style>
  <w:style w:type="paragraph" w:styleId="6">
    <w:name w:val="Balloon Text"/>
    <w:basedOn w:val="1"/>
    <w:link w:val="34"/>
    <w:semiHidden/>
    <w:unhideWhenUsed/>
    <w:qFormat/>
    <w:uiPriority w:val="99"/>
    <w:rPr>
      <w:sz w:val="18"/>
      <w:szCs w:val="18"/>
    </w:rPr>
  </w:style>
  <w:style w:type="paragraph" w:styleId="7">
    <w:name w:val="footer"/>
    <w:basedOn w:val="1"/>
    <w:link w:val="31"/>
    <w:unhideWhenUsed/>
    <w:qFormat/>
    <w:uiPriority w:val="99"/>
    <w:pPr>
      <w:tabs>
        <w:tab w:val="center" w:pos="4153"/>
        <w:tab w:val="right" w:pos="8306"/>
      </w:tabs>
      <w:snapToGrid w:val="0"/>
      <w:jc w:val="left"/>
    </w:pPr>
    <w:rPr>
      <w:sz w:val="18"/>
      <w:szCs w:val="18"/>
    </w:rPr>
  </w:style>
  <w:style w:type="paragraph" w:styleId="8">
    <w:name w:val="header"/>
    <w:basedOn w:val="1"/>
    <w:link w:val="30"/>
    <w:qFormat/>
    <w:uiPriority w:val="99"/>
    <w:pPr>
      <w:tabs>
        <w:tab w:val="center" w:pos="4153"/>
        <w:tab w:val="right" w:pos="8306"/>
      </w:tabs>
      <w:snapToGrid w:val="0"/>
      <w:jc w:val="center"/>
    </w:pPr>
    <w:rPr>
      <w:rFonts w:ascii="Times New Roman" w:hAnsi="Times New Roman" w:eastAsia="宋体" w:cs="Times New Roman"/>
      <w:sz w:val="18"/>
      <w:szCs w:val="18"/>
    </w:rPr>
  </w:style>
  <w:style w:type="paragraph" w:styleId="9">
    <w:name w:val="toc 1"/>
    <w:next w:val="1"/>
    <w:qFormat/>
    <w:uiPriority w:val="39"/>
    <w:pPr>
      <w:widowControl w:val="0"/>
      <w:spacing w:before="240" w:after="120"/>
    </w:pPr>
    <w:rPr>
      <w:rFonts w:ascii="等线" w:hAnsi="Times New Roman" w:eastAsia="等线" w:cs="Times New Roman"/>
      <w:b/>
      <w:bCs/>
      <w:kern w:val="2"/>
      <w:lang w:val="en-US" w:eastAsia="zh-CN" w:bidi="ar-SA"/>
    </w:rPr>
  </w:style>
  <w:style w:type="paragraph" w:styleId="10">
    <w:name w:val="toc 2"/>
    <w:basedOn w:val="1"/>
    <w:next w:val="1"/>
    <w:semiHidden/>
    <w:unhideWhenUsed/>
    <w:qFormat/>
    <w:uiPriority w:val="39"/>
    <w:pPr>
      <w:ind w:left="420" w:leftChars="200"/>
    </w:p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styleId="17">
    <w:name w:val="annotation reference"/>
    <w:basedOn w:val="14"/>
    <w:semiHidden/>
    <w:unhideWhenUsed/>
    <w:qFormat/>
    <w:uiPriority w:val="99"/>
    <w:rPr>
      <w:sz w:val="21"/>
      <w:szCs w:val="21"/>
    </w:rPr>
  </w:style>
  <w:style w:type="character" w:customStyle="1" w:styleId="18">
    <w:name w:val="正文文本 3 Char"/>
    <w:basedOn w:val="14"/>
    <w:link w:val="5"/>
    <w:qFormat/>
    <w:uiPriority w:val="0"/>
    <w:rPr>
      <w:rFonts w:ascii="Times New Roman" w:hAnsi="Times New Roman" w:eastAsia="仿宋_GB2312" w:cs="Times New Roman"/>
      <w:kern w:val="0"/>
      <w:sz w:val="28"/>
      <w:szCs w:val="20"/>
    </w:rPr>
  </w:style>
  <w:style w:type="character" w:customStyle="1" w:styleId="19">
    <w:name w:val="章标题 Char"/>
    <w:link w:val="20"/>
    <w:qFormat/>
    <w:uiPriority w:val="0"/>
    <w:rPr>
      <w:rFonts w:ascii="黑体" w:eastAsia="黑体"/>
    </w:rPr>
  </w:style>
  <w:style w:type="paragraph" w:customStyle="1" w:styleId="20">
    <w:name w:val="章标题"/>
    <w:next w:val="21"/>
    <w:link w:val="19"/>
    <w:qFormat/>
    <w:uiPriority w:val="0"/>
    <w:pPr>
      <w:numPr>
        <w:ilvl w:val="1"/>
        <w:numId w:val="1"/>
      </w:numPr>
      <w:spacing w:beforeLines="50" w:afterLines="50"/>
      <w:jc w:val="both"/>
      <w:outlineLvl w:val="1"/>
    </w:pPr>
    <w:rPr>
      <w:rFonts w:ascii="黑体" w:eastAsia="黑体" w:hAnsiTheme="minorHAnsi" w:cstheme="minorBidi"/>
      <w:kern w:val="2"/>
      <w:sz w:val="21"/>
      <w:szCs w:val="22"/>
      <w:lang w:val="en-US" w:eastAsia="zh-CN" w:bidi="ar-SA"/>
    </w:rPr>
  </w:style>
  <w:style w:type="paragraph" w:customStyle="1" w:styleId="21">
    <w:name w:val="段"/>
    <w:link w:val="3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2">
    <w:name w:val="一级条标题 Char"/>
    <w:link w:val="23"/>
    <w:qFormat/>
    <w:uiPriority w:val="0"/>
    <w:rPr>
      <w:rFonts w:eastAsia="黑体"/>
    </w:rPr>
  </w:style>
  <w:style w:type="paragraph" w:customStyle="1" w:styleId="23">
    <w:name w:val="一级条标题"/>
    <w:next w:val="21"/>
    <w:link w:val="22"/>
    <w:qFormat/>
    <w:uiPriority w:val="0"/>
    <w:pPr>
      <w:numPr>
        <w:ilvl w:val="2"/>
        <w:numId w:val="1"/>
      </w:numPr>
      <w:outlineLvl w:val="2"/>
    </w:pPr>
    <w:rPr>
      <w:rFonts w:eastAsia="黑体" w:asciiTheme="minorHAnsi" w:hAnsiTheme="minorHAnsi" w:cstheme="minorBidi"/>
      <w:kern w:val="2"/>
      <w:sz w:val="21"/>
      <w:szCs w:val="22"/>
      <w:lang w:val="en-US" w:eastAsia="zh-CN" w:bidi="ar-SA"/>
    </w:rPr>
  </w:style>
  <w:style w:type="character" w:customStyle="1" w:styleId="24">
    <w:name w:val="页眉 Char"/>
    <w:basedOn w:val="14"/>
    <w:semiHidden/>
    <w:qFormat/>
    <w:uiPriority w:val="99"/>
    <w:rPr>
      <w:sz w:val="18"/>
      <w:szCs w:val="18"/>
    </w:rPr>
  </w:style>
  <w:style w:type="paragraph" w:customStyle="1" w:styleId="25">
    <w:name w:val="目次、标准名称标题"/>
    <w:basedOn w:val="1"/>
    <w:next w:val="1"/>
    <w:qFormat/>
    <w:uiPriority w:val="0"/>
    <w:pPr>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26">
    <w:name w:val="二级条标题"/>
    <w:basedOn w:val="23"/>
    <w:next w:val="21"/>
    <w:qFormat/>
    <w:uiPriority w:val="0"/>
    <w:pPr>
      <w:numPr>
        <w:ilvl w:val="3"/>
      </w:numPr>
      <w:tabs>
        <w:tab w:val="left" w:pos="435"/>
      </w:tabs>
      <w:ind w:left="435" w:hanging="435"/>
      <w:outlineLvl w:val="3"/>
    </w:pPr>
  </w:style>
  <w:style w:type="paragraph" w:customStyle="1" w:styleId="27">
    <w:name w:val="注：（正文）"/>
    <w:basedOn w:val="1"/>
    <w:next w:val="21"/>
    <w:qFormat/>
    <w:uiPriority w:val="0"/>
    <w:pPr>
      <w:numPr>
        <w:ilvl w:val="0"/>
        <w:numId w:val="2"/>
      </w:numPr>
      <w:tabs>
        <w:tab w:val="left" w:pos="1080"/>
      </w:tabs>
      <w:autoSpaceDE w:val="0"/>
      <w:autoSpaceDN w:val="0"/>
      <w:ind w:left="726" w:hanging="363"/>
    </w:pPr>
    <w:rPr>
      <w:rFonts w:ascii="宋体" w:hAnsi="Times New Roman" w:eastAsia="宋体" w:cs="Times New Roman"/>
      <w:kern w:val="0"/>
      <w:sz w:val="18"/>
      <w:szCs w:val="18"/>
    </w:rPr>
  </w:style>
  <w:style w:type="paragraph" w:customStyle="1" w:styleId="28">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9">
    <w:name w:val="标准书脚_奇数页"/>
    <w:qFormat/>
    <w:uiPriority w:val="0"/>
    <w:pPr>
      <w:spacing w:before="120"/>
      <w:jc w:val="right"/>
    </w:pPr>
    <w:rPr>
      <w:rFonts w:ascii="Times New Roman" w:hAnsi="Times New Roman" w:eastAsia="宋体" w:cs="Times New Roman"/>
      <w:sz w:val="18"/>
      <w:lang w:val="en-US" w:eastAsia="zh-CN" w:bidi="ar-SA"/>
    </w:rPr>
  </w:style>
  <w:style w:type="character" w:customStyle="1" w:styleId="30">
    <w:name w:val="页眉 Char1"/>
    <w:link w:val="8"/>
    <w:qFormat/>
    <w:uiPriority w:val="99"/>
    <w:rPr>
      <w:rFonts w:ascii="Times New Roman" w:hAnsi="Times New Roman" w:eastAsia="宋体" w:cs="Times New Roman"/>
      <w:sz w:val="18"/>
      <w:szCs w:val="18"/>
    </w:rPr>
  </w:style>
  <w:style w:type="character" w:customStyle="1" w:styleId="31">
    <w:name w:val="页脚 Char"/>
    <w:basedOn w:val="14"/>
    <w:link w:val="7"/>
    <w:qFormat/>
    <w:uiPriority w:val="99"/>
    <w:rPr>
      <w:sz w:val="18"/>
      <w:szCs w:val="18"/>
    </w:rPr>
  </w:style>
  <w:style w:type="paragraph" w:styleId="32">
    <w:name w:val="List Paragraph"/>
    <w:basedOn w:val="1"/>
    <w:unhideWhenUsed/>
    <w:qFormat/>
    <w:uiPriority w:val="99"/>
    <w:pPr>
      <w:ind w:firstLine="420" w:firstLineChars="200"/>
    </w:pPr>
    <w:rPr>
      <w:szCs w:val="24"/>
    </w:rPr>
  </w:style>
  <w:style w:type="character" w:customStyle="1" w:styleId="33">
    <w:name w:val="未处理的提及1"/>
    <w:basedOn w:val="14"/>
    <w:semiHidden/>
    <w:unhideWhenUsed/>
    <w:qFormat/>
    <w:uiPriority w:val="99"/>
    <w:rPr>
      <w:color w:val="605E5C"/>
      <w:shd w:val="clear" w:color="auto" w:fill="E1DFDD"/>
    </w:rPr>
  </w:style>
  <w:style w:type="character" w:customStyle="1" w:styleId="34">
    <w:name w:val="批注框文本 Char"/>
    <w:basedOn w:val="14"/>
    <w:link w:val="6"/>
    <w:semiHidden/>
    <w:qFormat/>
    <w:uiPriority w:val="99"/>
    <w:rPr>
      <w:sz w:val="18"/>
      <w:szCs w:val="18"/>
    </w:rPr>
  </w:style>
  <w:style w:type="paragraph" w:customStyle="1" w:styleId="35">
    <w:name w:val="正文 + 宋体"/>
    <w:basedOn w:val="1"/>
    <w:qFormat/>
    <w:uiPriority w:val="0"/>
    <w:pPr>
      <w:spacing w:line="360" w:lineRule="auto"/>
      <w:ind w:firstLine="480" w:firstLineChars="200"/>
    </w:pPr>
    <w:rPr>
      <w:rFonts w:ascii="宋体" w:hAnsi="宋体" w:eastAsia="宋体" w:cs="Times New Roman"/>
      <w:sz w:val="24"/>
      <w:szCs w:val="24"/>
    </w:rPr>
  </w:style>
  <w:style w:type="character" w:customStyle="1" w:styleId="36">
    <w:name w:val="fontstyle01"/>
    <w:basedOn w:val="14"/>
    <w:qFormat/>
    <w:uiPriority w:val="0"/>
    <w:rPr>
      <w:rFonts w:hint="eastAsia" w:ascii="仿宋" w:hAnsi="仿宋" w:eastAsia="仿宋"/>
      <w:color w:val="000000"/>
      <w:sz w:val="30"/>
      <w:szCs w:val="30"/>
    </w:rPr>
  </w:style>
  <w:style w:type="paragraph" w:customStyle="1" w:styleId="37">
    <w:name w:val="Default"/>
    <w:qFormat/>
    <w:uiPriority w:val="0"/>
    <w:pPr>
      <w:widowControl w:val="0"/>
      <w:autoSpaceDE w:val="0"/>
      <w:autoSpaceDN w:val="0"/>
      <w:adjustRightInd w:val="0"/>
    </w:pPr>
    <w:rPr>
      <w:rFonts w:ascii="方正小标宋简体" w:hAnsi="Calibri" w:eastAsia="方正小标宋简体" w:cs="方正小标宋简体"/>
      <w:color w:val="000000"/>
      <w:sz w:val="24"/>
      <w:szCs w:val="24"/>
      <w:lang w:val="en-US" w:eastAsia="zh-CN" w:bidi="ar-SA"/>
    </w:rPr>
  </w:style>
  <w:style w:type="character" w:customStyle="1" w:styleId="38">
    <w:name w:val="未处理的提及2"/>
    <w:basedOn w:val="14"/>
    <w:semiHidden/>
    <w:unhideWhenUsed/>
    <w:qFormat/>
    <w:uiPriority w:val="99"/>
    <w:rPr>
      <w:color w:val="605E5C"/>
      <w:shd w:val="clear" w:color="auto" w:fill="E1DFDD"/>
    </w:rPr>
  </w:style>
  <w:style w:type="character" w:customStyle="1" w:styleId="39">
    <w:name w:val="段 Char"/>
    <w:basedOn w:val="14"/>
    <w:link w:val="21"/>
    <w:qFormat/>
    <w:uiPriority w:val="0"/>
    <w:rPr>
      <w:rFonts w:ascii="宋体" w:hAnsi="Times New Roman" w:eastAsia="宋体" w:cs="Times New Roman"/>
      <w:kern w:val="0"/>
      <w:szCs w:val="20"/>
    </w:rPr>
  </w:style>
  <w:style w:type="paragraph" w:customStyle="1" w:styleId="40">
    <w:name w:val="WPSOffice手动目录 1"/>
    <w:qFormat/>
    <w:uiPriority w:val="0"/>
    <w:rPr>
      <w:rFonts w:asciiTheme="minorHAnsi" w:hAnsiTheme="minorHAnsi" w:eastAsiaTheme="minorEastAsia" w:cstheme="minorBidi"/>
      <w:lang w:val="en-US" w:eastAsia="zh-CN" w:bidi="ar-SA"/>
    </w:rPr>
  </w:style>
  <w:style w:type="paragraph" w:customStyle="1" w:styleId="41">
    <w:name w:val="WPSOffice手动目录 2"/>
    <w:qFormat/>
    <w:uiPriority w:val="0"/>
    <w:pPr>
      <w:ind w:left="200" w:leftChars="200"/>
    </w:pPr>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2895</Words>
  <Characters>3603</Characters>
  <Lines>67</Lines>
  <Paragraphs>18</Paragraphs>
  <TotalTime>135</TotalTime>
  <ScaleCrop>false</ScaleCrop>
  <LinksUpToDate>false</LinksUpToDate>
  <CharactersWithSpaces>3736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2019-08-07T02:38:00Z</dcterms:created>
  <dc:creator>fengxue</dc:creator>
  <cp:lastModifiedBy>苏祥飞</cp:lastModifiedBy>
  <cp:lastPrinted>2022-01-12T06:40:00Z</cp:lastPrinted>
  <dcterms:modified xsi:type="dcterms:W3CDTF">2026-08-18T06:40:49Z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9E84BB902DCF450688EC76323A5C07F9_13</vt:lpwstr>
  </property>
  <property fmtid="{D5CDD505-2E9C-101B-9397-08002B2CF9AE}" pid="4" name="KSOTemplateDocerSaveRecord">
    <vt:lpwstr>eyJoZGlkIjoiZjI0OWQwYzkzMjdjMTdlZDhjZDBhN2RjZjg2MmVkZTgiLCJ1c2VySWQiOiIzMjI2Mzc2NTQifQ==</vt:lpwstr>
  </property>
</Properties>
</file>