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9C5229">
      <w:pPr>
        <w:jc w:val="both"/>
        <w:rPr>
          <w:rFonts w:hint="default" w:ascii="Times New Roman" w:hAnsi="Times New Roman" w:eastAsia="黑体" w:cs="Times New Roman"/>
          <w:b w:val="0"/>
          <w:sz w:val="32"/>
          <w:szCs w:val="32"/>
          <w:highlight w:val="none"/>
          <w:lang w:val="en-US" w:eastAsia="zh-CN"/>
        </w:rPr>
      </w:pPr>
      <w:r>
        <w:rPr>
          <w:rFonts w:hint="default" w:ascii="Times New Roman" w:hAnsi="Times New Roman" w:eastAsia="黑体" w:cs="Times New Roman"/>
          <w:b w:val="0"/>
          <w:sz w:val="32"/>
          <w:szCs w:val="32"/>
          <w:highlight w:val="none"/>
          <w:lang w:val="en-US" w:eastAsia="zh-CN"/>
        </w:rPr>
        <w:t>附件1</w:t>
      </w:r>
    </w:p>
    <w:p w14:paraId="1408F23F">
      <w:pPr>
        <w:jc w:val="center"/>
        <w:rPr>
          <w:rFonts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rPr>
        <w:t>中国中医药临床案例成果库</w:t>
      </w:r>
    </w:p>
    <w:p w14:paraId="36421E66">
      <w:pPr>
        <w:jc w:val="center"/>
        <w:rPr>
          <w:rFonts w:ascii="Times New Roman" w:hAnsi="Times New Roman" w:eastAsia="宋体" w:cs="Times New Roman"/>
          <w:b/>
          <w:sz w:val="36"/>
          <w:szCs w:val="36"/>
          <w:highlight w:val="none"/>
        </w:rPr>
      </w:pPr>
      <w:r>
        <w:rPr>
          <w:rFonts w:hint="eastAsia" w:ascii="方正小标宋简体" w:hAnsi="方正小标宋简体" w:eastAsia="方正小标宋简体" w:cs="方正小标宋简体"/>
          <w:bCs/>
          <w:sz w:val="40"/>
          <w:szCs w:val="40"/>
          <w:highlight w:val="none"/>
        </w:rPr>
        <w:t>病例报告写作模板</w:t>
      </w:r>
      <w:r>
        <w:rPr>
          <w:rFonts w:hint="eastAsia" w:ascii="方正小标宋简体" w:hAnsi="方正小标宋简体" w:eastAsia="方正小标宋简体" w:cs="方正小标宋简体"/>
          <w:bCs/>
          <w:color w:val="FF0000"/>
          <w:sz w:val="24"/>
          <w:highlight w:val="none"/>
        </w:rPr>
        <w:t>（撰写时删掉）</w:t>
      </w:r>
    </w:p>
    <w:p w14:paraId="2194FBC9">
      <w:pPr>
        <w:jc w:val="center"/>
        <w:rPr>
          <w:rFonts w:ascii="Times New Roman" w:hAnsi="Times New Roman" w:eastAsia="宋体" w:cs="Times New Roman"/>
          <w:b/>
          <w:sz w:val="36"/>
          <w:szCs w:val="36"/>
          <w:highlight w:val="none"/>
        </w:rPr>
      </w:pPr>
    </w:p>
    <w:p w14:paraId="6B8C017E">
      <w:pPr>
        <w:widowControl/>
        <w:jc w:val="center"/>
        <w:rPr>
          <w:rFonts w:ascii="Times New Roman" w:hAnsi="Times New Roman" w:eastAsia="宋体" w:cs="Times New Roman"/>
          <w:bCs/>
          <w:kern w:val="0"/>
          <w:sz w:val="40"/>
          <w:szCs w:val="30"/>
          <w:highlight w:val="none"/>
        </w:rPr>
      </w:pPr>
      <w:r>
        <w:rPr>
          <w:rFonts w:ascii="Times New Roman" w:hAnsi="Times New Roman" w:eastAsia="宋体" w:cs="Times New Roman"/>
          <w:bCs/>
          <w:kern w:val="0"/>
          <w:sz w:val="40"/>
          <w:szCs w:val="30"/>
          <w:highlight w:val="none"/>
        </w:rPr>
        <w:t>中文标题</w:t>
      </w:r>
    </w:p>
    <w:p w14:paraId="752236CE">
      <w:pPr>
        <w:widowControl/>
        <w:jc w:val="left"/>
        <w:rPr>
          <w:rFonts w:ascii="Times New Roman" w:hAnsi="Times New Roman" w:eastAsia="宋体" w:cs="Times New Roman"/>
          <w:bCs/>
          <w:kern w:val="0"/>
          <w:sz w:val="40"/>
          <w:szCs w:val="30"/>
          <w:highlight w:val="none"/>
        </w:rPr>
      </w:pPr>
      <w:r>
        <w:rPr>
          <w:rFonts w:ascii="Times New Roman" w:hAnsi="Times New Roman" w:eastAsia="宋体" w:cs="Times New Roman"/>
          <w:color w:val="0000FF"/>
          <w:sz w:val="40"/>
          <w:szCs w:val="40"/>
          <w:highlight w:val="none"/>
        </w:rPr>
        <w:t>示例：肝脾肾同调序贯分期治疗高龄反复体外受精-胚胎移植失败自然妊娠验案</w:t>
      </w:r>
      <w:r>
        <w:rPr>
          <w:rFonts w:ascii="Times New Roman" w:hAnsi="Times New Roman" w:eastAsia="宋体" w:cs="Times New Roman"/>
          <w:bCs/>
          <w:kern w:val="0"/>
          <w:sz w:val="40"/>
          <w:szCs w:val="30"/>
          <w:highlight w:val="none"/>
        </w:rPr>
        <w:br w:type="textWrapping"/>
      </w:r>
      <w:bookmarkStart w:id="0" w:name="_GoBack"/>
      <w:bookmarkEnd w:id="0"/>
    </w:p>
    <w:p w14:paraId="3C9D7CBD">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0C73AE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1.不体现专家个人姓名，重在体现中医药理论治疗某类疾病。</w:t>
      </w:r>
    </w:p>
    <w:p w14:paraId="762B540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2.西医疾病名称参照ICD-11，中医疾病名称及证型参照《中医病证分类与代码》（GBT 15657-2021）。</w:t>
      </w:r>
    </w:p>
    <w:p w14:paraId="7743A5E0">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3.标题力求简明扼要，突出文章主题，一般在20个汉字以内为宜。</w:t>
      </w:r>
    </w:p>
    <w:p w14:paraId="793F6833">
      <w:pPr>
        <w:rPr>
          <w:rFonts w:ascii="Times New Roman" w:hAnsi="Times New Roman" w:eastAsia="宋体" w:cs="Times New Roman"/>
          <w:color w:val="0000FF"/>
          <w:highlight w:val="none"/>
        </w:rPr>
      </w:pPr>
    </w:p>
    <w:p w14:paraId="108D670A">
      <w:pPr>
        <w:widowControl/>
        <w:jc w:val="center"/>
        <w:rPr>
          <w:rFonts w:ascii="Times New Roman" w:hAnsi="Times New Roman" w:eastAsia="宋体" w:cs="Times New Roman"/>
          <w:sz w:val="24"/>
          <w:highlight w:val="none"/>
          <w:vertAlign w:val="superscript"/>
        </w:rPr>
      </w:pPr>
      <w:r>
        <w:rPr>
          <w:rFonts w:ascii="Times New Roman" w:hAnsi="Times New Roman" w:eastAsia="宋体" w:cs="Times New Roman"/>
          <w:sz w:val="24"/>
          <w:highlight w:val="none"/>
        </w:rPr>
        <w:t>主诊人</w:t>
      </w:r>
      <w:r>
        <w:rPr>
          <w:rFonts w:ascii="Times New Roman" w:hAnsi="Times New Roman" w:eastAsia="宋体" w:cs="Times New Roman"/>
          <w:sz w:val="24"/>
          <w:highlight w:val="none"/>
          <w:vertAlign w:val="superscript"/>
        </w:rPr>
        <w:t>*</w:t>
      </w:r>
      <w:r>
        <w:rPr>
          <w:rFonts w:ascii="Times New Roman" w:hAnsi="Times New Roman" w:eastAsia="宋体" w:cs="Times New Roman"/>
          <w:sz w:val="24"/>
          <w:highlight w:val="none"/>
        </w:rPr>
        <w:t>，整理人1</w:t>
      </w:r>
      <w:r>
        <w:rPr>
          <w:rFonts w:ascii="Times New Roman" w:hAnsi="Times New Roman" w:eastAsia="宋体" w:cs="Times New Roman"/>
          <w:sz w:val="24"/>
          <w:highlight w:val="none"/>
          <w:vertAlign w:val="superscript"/>
        </w:rPr>
        <w:t>1</w:t>
      </w:r>
      <w:r>
        <w:rPr>
          <w:rFonts w:ascii="Times New Roman" w:hAnsi="Times New Roman" w:eastAsia="宋体" w:cs="Times New Roman"/>
          <w:sz w:val="24"/>
          <w:highlight w:val="none"/>
        </w:rPr>
        <w:t>，整理人2</w:t>
      </w:r>
      <w:r>
        <w:rPr>
          <w:rFonts w:ascii="Times New Roman" w:hAnsi="Times New Roman" w:eastAsia="宋体" w:cs="Times New Roman"/>
          <w:sz w:val="24"/>
          <w:highlight w:val="none"/>
          <w:vertAlign w:val="superscript"/>
        </w:rPr>
        <w:t>2</w:t>
      </w:r>
    </w:p>
    <w:p w14:paraId="1BB69D83">
      <w:pPr>
        <w:widowControl/>
        <w:jc w:val="center"/>
        <w:rPr>
          <w:rFonts w:ascii="Times New Roman" w:hAnsi="Times New Roman" w:eastAsia="宋体" w:cs="Times New Roman"/>
          <w:sz w:val="24"/>
          <w:highlight w:val="none"/>
        </w:rPr>
      </w:pPr>
      <w:r>
        <w:rPr>
          <w:rFonts w:ascii="Times New Roman" w:hAnsi="Times New Roman" w:eastAsia="宋体" w:cs="Times New Roman"/>
          <w:color w:val="0000FF"/>
          <w:sz w:val="24"/>
          <w:highlight w:val="none"/>
        </w:rPr>
        <w:t>示例：魏绍斌</w:t>
      </w:r>
      <w:r>
        <w:rPr>
          <w:rFonts w:ascii="Times New Roman" w:hAnsi="Times New Roman" w:eastAsia="宋体" w:cs="Times New Roman"/>
          <w:color w:val="0000FF"/>
          <w:sz w:val="24"/>
          <w:highlight w:val="none"/>
          <w:vertAlign w:val="superscript"/>
        </w:rPr>
        <w:t>*</w:t>
      </w:r>
      <w:r>
        <w:rPr>
          <w:rFonts w:ascii="Times New Roman" w:hAnsi="Times New Roman" w:eastAsia="宋体" w:cs="Times New Roman"/>
          <w:color w:val="0000FF"/>
          <w:sz w:val="24"/>
          <w:highlight w:val="none"/>
        </w:rPr>
        <w:t>，钟函芝，李彦欣</w:t>
      </w:r>
    </w:p>
    <w:p w14:paraId="47C56AE1">
      <w:pPr>
        <w:widowControl/>
        <w:jc w:val="center"/>
        <w:rPr>
          <w:rFonts w:ascii="Times New Roman" w:hAnsi="Times New Roman" w:eastAsia="宋体" w:cs="Times New Roman"/>
          <w:sz w:val="24"/>
          <w:highlight w:val="none"/>
        </w:rPr>
      </w:pPr>
    </w:p>
    <w:p w14:paraId="7BA20DBB">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12F5B08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1.整理人为对本案例有主要贡献的作者，原则上不超过3人；</w:t>
      </w:r>
    </w:p>
    <w:p w14:paraId="7681EC9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2.主诊人为本案例的主诊医师，</w:t>
      </w:r>
      <w:r>
        <w:rPr>
          <w:rFonts w:hint="eastAsia" w:ascii="Times New Roman" w:hAnsi="Times New Roman" w:eastAsia="宋体" w:cs="Times New Roman"/>
          <w:color w:val="FF0000"/>
          <w:highlight w:val="none"/>
        </w:rPr>
        <w:t>只能</w:t>
      </w:r>
      <w:r>
        <w:rPr>
          <w:rFonts w:ascii="Times New Roman" w:hAnsi="Times New Roman" w:eastAsia="宋体" w:cs="Times New Roman"/>
          <w:color w:val="FF0000"/>
          <w:highlight w:val="none"/>
        </w:rPr>
        <w:t>1人，加*标注；</w:t>
      </w:r>
    </w:p>
    <w:p w14:paraId="715ECDA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3.如主诊人放在作者第1位，整理人排在第2~3位，其余作者按对案例的贡献程度依次排列。（主诊人定义：作为患者诊疗全过程的‌第一责任人‌，负责诊断、治疗方案制定、手术操作及随访等关键医疗决策）；</w:t>
      </w:r>
    </w:p>
    <w:p w14:paraId="5D0537E5">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4.作者姓名顺序投稿后不能修改，姓前名后；</w:t>
      </w:r>
    </w:p>
    <w:p w14:paraId="2C3E2223">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5.排名第一位整理人对案例学术规范负责。</w:t>
      </w:r>
    </w:p>
    <w:p w14:paraId="66B0594D">
      <w:pPr>
        <w:rPr>
          <w:rFonts w:ascii="Times New Roman" w:hAnsi="Times New Roman" w:eastAsia="宋体" w:cs="Times New Roman"/>
          <w:color w:val="FF0000"/>
          <w:highlight w:val="none"/>
        </w:rPr>
      </w:pPr>
    </w:p>
    <w:p w14:paraId="165ECED8">
      <w:pPr>
        <w:widowControl/>
        <w:jc w:val="center"/>
        <w:rPr>
          <w:rFonts w:ascii="Times New Roman" w:hAnsi="Times New Roman" w:eastAsia="宋体" w:cs="Times New Roman"/>
          <w:sz w:val="24"/>
          <w:highlight w:val="none"/>
        </w:rPr>
      </w:pPr>
      <w:r>
        <w:rPr>
          <w:rFonts w:ascii="Times New Roman" w:hAnsi="Times New Roman" w:eastAsia="宋体" w:cs="Times New Roman"/>
          <w:sz w:val="24"/>
          <w:highlight w:val="none"/>
        </w:rPr>
        <w:t>单位全称</w:t>
      </w:r>
    </w:p>
    <w:p w14:paraId="4E31EF36">
      <w:pPr>
        <w:widowControl/>
        <w:jc w:val="cente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r>
        <w:rPr>
          <w:rFonts w:hint="eastAsia" w:ascii="Times New Roman" w:hAnsi="Times New Roman" w:eastAsia="宋体" w:cs="Times New Roman"/>
          <w:color w:val="0000FF"/>
          <w:sz w:val="24"/>
          <w:highlight w:val="none"/>
        </w:rPr>
        <w:t>（</w:t>
      </w:r>
      <w:r>
        <w:rPr>
          <w:rFonts w:ascii="Times New Roman" w:hAnsi="Times New Roman" w:eastAsia="宋体" w:cs="Times New Roman"/>
          <w:color w:val="0000FF"/>
          <w:sz w:val="24"/>
          <w:highlight w:val="none"/>
        </w:rPr>
        <w:t>成都中医药大学附属医院妇科，成都610072；2.成都中医药大学临床医学院，成都610075</w:t>
      </w:r>
      <w:r>
        <w:rPr>
          <w:rFonts w:hint="eastAsia" w:ascii="Times New Roman" w:hAnsi="Times New Roman" w:eastAsia="宋体" w:cs="Times New Roman"/>
          <w:color w:val="0000FF"/>
          <w:sz w:val="24"/>
          <w:highlight w:val="none"/>
        </w:rPr>
        <w:t>）</w:t>
      </w:r>
    </w:p>
    <w:p w14:paraId="6CB2D40A">
      <w:pPr>
        <w:widowControl/>
        <w:jc w:val="center"/>
        <w:rPr>
          <w:rFonts w:ascii="Times New Roman" w:hAnsi="Times New Roman" w:eastAsia="宋体" w:cs="Times New Roman"/>
          <w:color w:val="000000" w:themeColor="text1"/>
          <w:sz w:val="24"/>
          <w:highlight w:val="none"/>
          <w14:textFill>
            <w14:solidFill>
              <w14:schemeClr w14:val="tx1"/>
            </w14:solidFill>
          </w14:textFill>
        </w:rPr>
      </w:pPr>
    </w:p>
    <w:p w14:paraId="237D7347">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1EBC3726">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1.单位顺序投稿后不能修改；</w:t>
      </w:r>
    </w:p>
    <w:p w14:paraId="359C63CE">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2.单位具体到二级部门，给出准确的官方名称、省市、邮编，缺一不可。</w:t>
      </w:r>
    </w:p>
    <w:p w14:paraId="4BAD95C0">
      <w:pPr>
        <w:rPr>
          <w:rFonts w:ascii="Times New Roman" w:hAnsi="Times New Roman" w:eastAsia="宋体" w:cs="Times New Roman"/>
          <w:color w:val="FF0000"/>
          <w:highlight w:val="none"/>
        </w:rPr>
      </w:pPr>
    </w:p>
    <w:p w14:paraId="5D56BE44">
      <w:pPr>
        <w:rPr>
          <w:rFonts w:ascii="Times New Roman" w:hAnsi="Times New Roman" w:eastAsia="宋体" w:cs="Times New Roman"/>
          <w:b/>
          <w:sz w:val="24"/>
          <w:highlight w:val="none"/>
        </w:rPr>
      </w:pPr>
      <w:r>
        <w:rPr>
          <w:rFonts w:ascii="Times New Roman" w:hAnsi="Times New Roman" w:eastAsia="宋体" w:cs="Times New Roman"/>
          <w:b/>
          <w:sz w:val="24"/>
          <w:highlight w:val="none"/>
        </w:rPr>
        <w:t>主诊人：姓名，职称，从事</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研究</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年，E-mail</w:t>
      </w:r>
    </w:p>
    <w:p w14:paraId="63CE1689">
      <w:pPr>
        <w:rPr>
          <w:rFonts w:ascii="Times New Roman" w:hAnsi="Times New Roman" w:eastAsia="宋体" w:cs="Times New Roman"/>
          <w:b/>
          <w:sz w:val="24"/>
          <w:highlight w:val="none"/>
        </w:rPr>
      </w:pPr>
      <w:r>
        <w:rPr>
          <w:rFonts w:ascii="Times New Roman" w:hAnsi="Times New Roman" w:eastAsia="宋体" w:cs="Times New Roman"/>
          <w:b/>
          <w:sz w:val="24"/>
          <w:highlight w:val="none"/>
        </w:rPr>
        <w:t>整理人1：姓名，职称，从事</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研究</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年，E-mail</w:t>
      </w:r>
    </w:p>
    <w:p w14:paraId="74436BD2">
      <w:pPr>
        <w:rPr>
          <w:rFonts w:ascii="Times New Roman" w:hAnsi="Times New Roman" w:eastAsia="宋体" w:cs="Times New Roman"/>
          <w:b/>
          <w:sz w:val="24"/>
          <w:highlight w:val="none"/>
        </w:rPr>
      </w:pPr>
      <w:r>
        <w:rPr>
          <w:rFonts w:ascii="Times New Roman" w:hAnsi="Times New Roman" w:eastAsia="宋体" w:cs="Times New Roman"/>
          <w:b/>
          <w:sz w:val="24"/>
          <w:highlight w:val="none"/>
        </w:rPr>
        <w:t>整理人2：姓名，职称，从事</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研究</w:t>
      </w:r>
      <w:r>
        <w:rPr>
          <w:rFonts w:ascii="Times New Roman" w:hAnsi="Times New Roman" w:eastAsia="宋体" w:cs="Times New Roman"/>
          <w:kern w:val="0"/>
          <w:sz w:val="24"/>
          <w:highlight w:val="none"/>
        </w:rPr>
        <w:t>××</w:t>
      </w:r>
      <w:r>
        <w:rPr>
          <w:rFonts w:ascii="Times New Roman" w:hAnsi="Times New Roman" w:eastAsia="宋体" w:cs="Times New Roman"/>
          <w:b/>
          <w:sz w:val="24"/>
          <w:highlight w:val="none"/>
        </w:rPr>
        <w:t>年，E-mail</w:t>
      </w:r>
    </w:p>
    <w:p w14:paraId="598C4043">
      <w:pPr>
        <w:rPr>
          <w:rFonts w:ascii="Times New Roman" w:hAnsi="Times New Roman" w:eastAsia="宋体" w:cs="Times New Roman"/>
          <w:color w:val="FF0000"/>
          <w:highlight w:val="none"/>
        </w:rPr>
      </w:pPr>
      <w:r>
        <w:rPr>
          <w:rFonts w:ascii="Times New Roman" w:hAnsi="Times New Roman" w:eastAsia="宋体" w:cs="Times New Roman"/>
          <w:b/>
          <w:sz w:val="24"/>
          <w:highlight w:val="none"/>
        </w:rPr>
        <w:t>主诊人简介：</w:t>
      </w:r>
    </w:p>
    <w:p w14:paraId="748A369C">
      <w:pPr>
        <w:rPr>
          <w:rFonts w:ascii="Times New Roman" w:hAnsi="Times New Roman" w:eastAsia="宋体" w:cs="Times New Roman"/>
          <w:color w:val="FF0000"/>
          <w:highlight w:val="none"/>
        </w:rPr>
      </w:pPr>
    </w:p>
    <w:p w14:paraId="755DEA91">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2EFCAC18">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主诊人：魏绍斌，主任医师，从事中医药防治妇科炎症、痛症性疾病、卵巢功能减退类疾病、不孕症的临床与研究40余年，Email：</w:t>
      </w:r>
      <w:r>
        <w:rPr>
          <w:rFonts w:ascii="Times New Roman" w:hAnsi="Times New Roman" w:eastAsia="宋体" w:cs="Times New Roman"/>
          <w:color w:val="0000FF"/>
          <w:sz w:val="24"/>
          <w:highlight w:val="none"/>
        </w:rPr>
        <w:fldChar w:fldCharType="begin"/>
      </w:r>
      <w:r>
        <w:rPr>
          <w:rFonts w:ascii="Times New Roman" w:hAnsi="Times New Roman" w:eastAsia="宋体" w:cs="Times New Roman"/>
          <w:color w:val="0000FF"/>
          <w:sz w:val="24"/>
          <w:highlight w:val="none"/>
        </w:rPr>
        <w:instrText xml:space="preserve"> HYPERLINK "mailto:wsb2012gcp@163.com" </w:instrText>
      </w:r>
      <w:r>
        <w:rPr>
          <w:rFonts w:ascii="Times New Roman" w:hAnsi="Times New Roman" w:eastAsia="宋体" w:cs="Times New Roman"/>
          <w:color w:val="0000FF"/>
          <w:sz w:val="24"/>
          <w:highlight w:val="none"/>
        </w:rPr>
        <w:fldChar w:fldCharType="separate"/>
      </w:r>
      <w:r>
        <w:rPr>
          <w:rFonts w:ascii="Times New Roman" w:hAnsi="Times New Roman" w:eastAsia="宋体" w:cs="Times New Roman"/>
          <w:color w:val="0000FF"/>
          <w:sz w:val="24"/>
          <w:highlight w:val="none"/>
        </w:rPr>
        <w:t>wsb2012gcp@163.com</w:t>
      </w:r>
      <w:r>
        <w:rPr>
          <w:rFonts w:ascii="Times New Roman" w:hAnsi="Times New Roman" w:eastAsia="宋体" w:cs="Times New Roman"/>
          <w:color w:val="0000FF"/>
          <w:sz w:val="24"/>
          <w:highlight w:val="none"/>
        </w:rPr>
        <w:fldChar w:fldCharType="end"/>
      </w:r>
    </w:p>
    <w:p w14:paraId="2E62F275">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整理人1：钟函芝，博士研究生，从事中医药防治妇科炎症、痛症性疾病、卵巢功能减退类疾病、不孕症的研究5年，Email：</w:t>
      </w:r>
      <w:r>
        <w:rPr>
          <w:rFonts w:ascii="Times New Roman" w:hAnsi="Times New Roman" w:eastAsia="宋体" w:cs="Times New Roman"/>
          <w:color w:val="0000FF"/>
          <w:sz w:val="24"/>
          <w:highlight w:val="none"/>
        </w:rPr>
        <w:fldChar w:fldCharType="begin"/>
      </w:r>
      <w:r>
        <w:rPr>
          <w:rFonts w:ascii="Times New Roman" w:hAnsi="Times New Roman" w:eastAsia="宋体" w:cs="Times New Roman"/>
          <w:color w:val="0000FF"/>
          <w:sz w:val="24"/>
          <w:highlight w:val="none"/>
        </w:rPr>
        <w:instrText xml:space="preserve"> HYPERLINK "mailto:743764504@qq.com。" </w:instrText>
      </w:r>
      <w:r>
        <w:rPr>
          <w:rFonts w:ascii="Times New Roman" w:hAnsi="Times New Roman" w:eastAsia="宋体" w:cs="Times New Roman"/>
          <w:color w:val="0000FF"/>
          <w:sz w:val="24"/>
          <w:highlight w:val="none"/>
        </w:rPr>
        <w:fldChar w:fldCharType="separate"/>
      </w:r>
      <w:r>
        <w:rPr>
          <w:rFonts w:ascii="Times New Roman" w:hAnsi="Times New Roman" w:eastAsia="宋体" w:cs="Times New Roman"/>
          <w:color w:val="0000FF"/>
          <w:sz w:val="24"/>
          <w:highlight w:val="none"/>
        </w:rPr>
        <w:t>743764504@qq.com。</w:t>
      </w:r>
      <w:r>
        <w:rPr>
          <w:rFonts w:ascii="Times New Roman" w:hAnsi="Times New Roman" w:eastAsia="宋体" w:cs="Times New Roman"/>
          <w:color w:val="0000FF"/>
          <w:sz w:val="24"/>
          <w:highlight w:val="none"/>
        </w:rPr>
        <w:fldChar w:fldCharType="end"/>
      </w:r>
    </w:p>
    <w:p w14:paraId="24FC2EE6">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整理人2：李彦欣，硕士研究生，从事中医药防治妇科炎症、痛症性疾病、卵巢功能减退类疾病、不孕症的研究2年，Email：liyanxin_chengdu@qq.com</w:t>
      </w:r>
    </w:p>
    <w:p w14:paraId="799FF076">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主诊人简介：魏绍斌，主任医师、二级教授、博士生导师、博士后合作导师。享受国务院政府津贴专家，第四届四川省十大名中医，四川省学术技术带头人，全国第六、七批老中医药专家学术经验继承工作指导老师，全国名老中医药专家传承工作室指导老师。</w:t>
      </w:r>
    </w:p>
    <w:p w14:paraId="07D8E6F1">
      <w:pPr>
        <w:rPr>
          <w:rFonts w:ascii="Times New Roman" w:hAnsi="Times New Roman" w:eastAsia="宋体" w:cs="Times New Roman"/>
          <w:color w:val="FF0000"/>
          <w:highlight w:val="none"/>
        </w:rPr>
      </w:pPr>
    </w:p>
    <w:p w14:paraId="272059A2">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1F1B6A8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1.主诊人简介，100字左右，包括主诊人流派等内容。</w:t>
      </w:r>
    </w:p>
    <w:p w14:paraId="79D28C3D">
      <w:pPr>
        <w:rPr>
          <w:rFonts w:ascii="Times New Roman" w:hAnsi="Times New Roman" w:eastAsia="宋体" w:cs="Times New Roman"/>
          <w:color w:val="FF0000"/>
          <w:highlight w:val="none"/>
        </w:rPr>
      </w:pPr>
    </w:p>
    <w:p w14:paraId="1D5B0024">
      <w:pPr>
        <w:rPr>
          <w:rFonts w:ascii="Times New Roman" w:hAnsi="Times New Roman" w:eastAsia="宋体" w:cs="Times New Roman"/>
          <w:b/>
          <w:sz w:val="24"/>
          <w:highlight w:val="none"/>
        </w:rPr>
      </w:pPr>
      <w:r>
        <w:rPr>
          <w:rFonts w:ascii="Times New Roman" w:hAnsi="Times New Roman" w:eastAsia="宋体" w:cs="Times New Roman"/>
          <w:b/>
          <w:sz w:val="24"/>
          <w:highlight w:val="none"/>
        </w:rPr>
        <w:t>摘要</w:t>
      </w:r>
    </w:p>
    <w:p w14:paraId="472121D8">
      <w:pPr>
        <w:rPr>
          <w:rFonts w:ascii="Times New Roman" w:hAnsi="Times New Roman" w:eastAsia="宋体" w:cs="Times New Roman"/>
          <w:bCs/>
          <w:sz w:val="24"/>
          <w:highlight w:val="none"/>
        </w:rPr>
      </w:pPr>
      <w:r>
        <w:rPr>
          <w:rFonts w:ascii="Times New Roman" w:hAnsi="Times New Roman" w:eastAsia="宋体" w:cs="Times New Roman"/>
          <w:b/>
          <w:sz w:val="24"/>
          <w:highlight w:val="none"/>
        </w:rPr>
        <w:t>单个案例摘要：</w:t>
      </w:r>
      <w:r>
        <w:rPr>
          <w:rFonts w:ascii="Times New Roman" w:hAnsi="Times New Roman" w:eastAsia="宋体" w:cs="Times New Roman"/>
          <w:bCs/>
          <w:sz w:val="24"/>
          <w:highlight w:val="none"/>
        </w:rPr>
        <w:t>包括病史摘要、中西医诊断、干预措施、疗效转归等。</w:t>
      </w:r>
    </w:p>
    <w:p w14:paraId="5D1C4138">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t>【摘要】</w:t>
      </w:r>
    </w:p>
    <w:p w14:paraId="1FFEF4CF">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【病史摘要】  患者，女，40岁，因“未避孕未孕4+年，IVF-ET失败3次”于2024年02月03日初次就诊。患者因未避孕未孕3+年，遂于2023年3月至四川某医院寻求辅助生殖技术助孕，完善相关检查发现“高胰岛素血症”，行体外受精-胚胎移植（in vitro fertilization and embryo transfer，IVF-ET）2次均未着床（2023年6月、9月），2023年10月于四川大学华西第二医院行宫腔镜检查，病检提示“子宫内膜炎”，2023年11月再次行IVF-ET，于2023年12月孕7+周发现胚胎停育行清宫术。患者既往2018年因孕8+周胚胎停育行清宫术，曾于2019年体检时发现子宫肌瘤（大小约1 cm），2020年行输卵管造影提示双侧输卵管通畅，夫妻性生活正常。患者生育愿望迫切，高龄多年备孕无果，遂至魏绍斌教授门诊就诊，欲中医药调理后再次行IVF-ET。就诊时情绪焦虑，生育压力大，纳可，眠差，二便调，舌偏红，苔白微腻，脉弦滑。</w:t>
      </w:r>
    </w:p>
    <w:p w14:paraId="13027F85">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【中医诊断】  不孕症；癥瘕（脾肾不足，肝郁血瘀证）</w:t>
      </w:r>
    </w:p>
    <w:p w14:paraId="61E2CE62">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【西医诊断】  1.继发性不孕；2.高胰岛素血症；3.子宫肌瘤</w:t>
      </w:r>
    </w:p>
    <w:p w14:paraId="551460DD">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【干预措施】  中药汤剂、中成药口服，耳针、穴位贴敷</w:t>
      </w:r>
    </w:p>
    <w:p w14:paraId="09D4E145">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【疗效转归】  经魏绍斌教授单用中医药调治4月即自然妊娠，孕后经中西医结合住院保胎治疗1月余，出院时彩超提示宫内探及7.3 cm×3.6 cm×3.3 cm的孕囊回声，内见胎儿头臀径约4.0 cm，胎盘位于前壁，胎心搏动可见，为11+周孕。现患者于当地医院产科建卡定期产检，为孕13周，各项指标正常。</w:t>
      </w:r>
    </w:p>
    <w:p w14:paraId="46D2C585">
      <w:pPr>
        <w:rPr>
          <w:rFonts w:ascii="Times New Roman" w:hAnsi="Times New Roman" w:eastAsia="宋体" w:cs="Times New Roman"/>
          <w:color w:val="0000FF"/>
          <w:sz w:val="24"/>
          <w:highlight w:val="none"/>
        </w:rPr>
      </w:pPr>
    </w:p>
    <w:p w14:paraId="1EF054A9">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4ECACF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单个案例摘要以500字左右为宜，如涉及英文的第一次在摘要中应使用中文。</w:t>
      </w:r>
    </w:p>
    <w:p w14:paraId="06B443D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1.病史摘要，包括主诉、关键病史、刻下症、主要体征及重要辅助检查结果等；</w:t>
      </w:r>
    </w:p>
    <w:p w14:paraId="4C9B6D3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2.中医诊断，包括病名及证候诊断；</w:t>
      </w:r>
    </w:p>
    <w:p w14:paraId="01B9B63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3.西医诊断，只写主要疾病诊断，多个疾病请按序排列；</w:t>
      </w:r>
    </w:p>
    <w:p w14:paraId="4C9030A6">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4.干预措施包括中药、非药物疗法、其他治疗（中成药/验方/民族医药/预防调养方法/西医治疗/或者联合手段）的治疗要点；</w:t>
      </w:r>
    </w:p>
    <w:p w14:paraId="52A733E3">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5.疗效转归。</w:t>
      </w:r>
    </w:p>
    <w:p w14:paraId="737E654D">
      <w:pPr>
        <w:rPr>
          <w:rFonts w:ascii="Times New Roman" w:hAnsi="Times New Roman" w:eastAsia="宋体" w:cs="Times New Roman"/>
          <w:color w:val="FF0000"/>
          <w:highlight w:val="none"/>
        </w:rPr>
      </w:pPr>
    </w:p>
    <w:p w14:paraId="53013302">
      <w:pPr>
        <w:rPr>
          <w:rFonts w:ascii="Times New Roman" w:hAnsi="Times New Roman" w:eastAsia="宋体" w:cs="Times New Roman"/>
          <w:b/>
          <w:sz w:val="24"/>
          <w:highlight w:val="none"/>
        </w:rPr>
      </w:pPr>
      <w:r>
        <w:rPr>
          <w:rFonts w:ascii="Times New Roman" w:hAnsi="Times New Roman" w:eastAsia="宋体" w:cs="Times New Roman"/>
          <w:b/>
          <w:sz w:val="24"/>
          <w:highlight w:val="none"/>
        </w:rPr>
        <w:t>系列案例摘要：</w:t>
      </w:r>
      <w:r>
        <w:rPr>
          <w:rFonts w:ascii="Times New Roman" w:hAnsi="Times New Roman" w:eastAsia="宋体" w:cs="Times New Roman"/>
          <w:bCs/>
          <w:sz w:val="24"/>
          <w:highlight w:val="none"/>
        </w:rPr>
        <w:t>包括疾病的中西医病名、中医核心病机、核心治则治法、常见证候分型、对应各证候分型的代表治疗方式，辨证要点、治疗规律、治疗加减变化要点以及系列案例治疗概括及不足与展望。</w:t>
      </w:r>
    </w:p>
    <w:p w14:paraId="700EAD43">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t>【摘要】</w:t>
      </w:r>
    </w:p>
    <w:p w14:paraId="7E19E5DD">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【西医诊断】  肾病综合征</w:t>
      </w:r>
    </w:p>
    <w:p w14:paraId="4294394F">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【中医诊断】  水肿。中医核心病机：水肿病因主要有风邪外袭、湿毒浸淫、外感水湿、饮食不节及禀赋不足，久病劳倦。基本病机为肺失通调，脾失转输，肾失开合，水液潴留。病理因素为风邪、水湿、疮毒、瘀血。病变主脏在肺、脾、肾。明代张景岳在《景岳全书·肿胀》中指出水肿为“其本在肾”“其标在肺”“其制在脾”。病理性质有阴水、阳水之分。病变后期，肾气虚衰，水毒潴留，凌心犯肺，可出现关格、癃闭、眩晕等变证；脾肾虚衰，精微下泄，气血阴阳亏损，转为虚劳。核心治则治法：水肿治疗以发汗、利尿、泻下逐水为基本治则。阳水、阴水治疗各有侧重。阳水以祛邪为主，应予发汗、利水或攻逐，配合清热解毒、理气化湿等法；阴水当以扶正为主，健脾温肾，同时配以利水、养阴、活血、祛瘀等法；虚实夹杂者，则当兼顾，或先攻后补，或攻补兼施。常见证候分型及对应各证候分型的代表治疗方式：阳水，风水相搏证，治法疏风清热、宣肺利水，越婢加术汤；湿毒浸淫证，治法宣肺解毒、利湿消肿，代表方剂麻黄连翘赤小豆汤合五味消毒饮；水湿浸渍证，治法运脾化湿、通阳利水为主，五皮饮合胃苓汤；湿热壅盛证，治法分利湿热，疏凿饮子。阴水，脾阳虚衰证，治法温运脾阳、利水消肿，实脾饮；肾阳衰微证，治法温肾助阳、化气行水，真武汤；瘀水互结证，治法活血祛瘀、化气行水，桃红四物汤合五苓散。</w:t>
      </w:r>
    </w:p>
    <w:p w14:paraId="4B676670">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【辨证要点】  1.辨阳水、阴水；2.辨病邪性质；3.辨脏腑；4.辨虚实。</w:t>
      </w:r>
    </w:p>
    <w:p w14:paraId="58D1AF40">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【治疗规律】  1.水肿治疗原则发汗、利尿、泻下逐水；2.抓住肺脾肾，注重灵活调治；3.重视活血利水法在治疗水肿的应用；4.久病防变，加强调护。</w:t>
      </w:r>
    </w:p>
    <w:p w14:paraId="7F3D1EE9">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【治疗加减变化要点】  风水相搏证，风热偏盛，可加连翘、桔梗、板蓝根、鲜芦根；风寒偏盛，去石膏，加苏叶、桂枝、防风；一身悉肿，小便不利，加茯苓、泽泻；若咳喘较甚，可加杏仁、前胡。湿毒浸淫证，如脓肿毒甚者，当重用蒲公英、紫花地丁；湿盛糜烂者，加苦参、茯苓；皮肤瘙痒者，加白鲜皮、地肤子、蝉衣；疮疡色红肿痛者，加丹皮、赤芍；大便不通，加大黄、芒硝。水湿浸渍证，外感风邪，肿甚而喘者，可加麻黄、杏仁、葶苈子；面肿，胸满，不得卧，加苏子、葶苈子；若湿困中焦，脘腹胀满者，加川椒目、大腹皮、干姜。湿热壅盛证，若肿势严重，兼见喘促不得平卧者，加葶芳子、桑白皮；湿热化燥伤阴，口燥咽干，可加白茅根、芦根，不宜过用苦温燥湿、攻逐伤阴之品；腹满不减，大便不通者，可合己椒苈黄丸。脾阳虚衰证，气虚甚，症见气短声弱者，加人参、黄芪；若小便短少，加桂枝、泽泻。肾阳衰微证，小便不利，水肿较甚者，合五苓散并用；神疲肢冷者，加巴戟天、肉桂；咳喘面浮，汗多，不能平卧，加党参、蛤蚧、五味子、山茱萸、煅牡蛎、黑锡丹；心悸，唇发绀，脉虚数，加肉桂、炙甘草，加重附子剂量。瘀水互结证，若全身肿甚，气喘烦闷，小便不利，此为血瘀水盛，肺气上逆，可加葶苈子、椒目、泽兰；如见腰膝酸软，神疲乏力，可合用济生肾气丸；对气虚者，可配黄芪、附子。</w:t>
      </w:r>
    </w:p>
    <w:p w14:paraId="66D7C9BA">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【系列案例治疗概括及不足与展望】  该系列案列对**国医大师治疗水肿的经验进行梳理，以期为临床诊疗、用药提供参考和思路。不足之处，尚未形成完善的具有中医特色符合疾病转归变化的评价体系。展望，目前较多参考使用西医客观指标，但仅使用西医客观指标，并不能准确评价中药、中成药、中医适宜技术等的疗效作用，应更关注患者个体感受、特色疗法等，形成具有中医特色的疗效评价体系。（1300字左右，需删减）</w:t>
      </w:r>
    </w:p>
    <w:p w14:paraId="7F62D2C9">
      <w:pPr>
        <w:rPr>
          <w:rFonts w:ascii="Times New Roman" w:hAnsi="Times New Roman" w:eastAsia="宋体" w:cs="Times New Roman"/>
          <w:color w:val="0000FF"/>
          <w:sz w:val="24"/>
          <w:highlight w:val="none"/>
        </w:rPr>
      </w:pPr>
    </w:p>
    <w:p w14:paraId="0D3D70A5">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91714BB">
      <w:pPr>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系列案例摘要800字左右为宜。要点突出。如有常见证候分型、对应各证候分型的代表治疗方式，可凝练概述；如为单一分型，可如实概述。</w:t>
      </w:r>
    </w:p>
    <w:p w14:paraId="5582F28B">
      <w:pPr>
        <w:ind w:firstLine="420" w:firstLineChars="200"/>
        <w:rPr>
          <w:rFonts w:ascii="Times New Roman" w:hAnsi="Times New Roman" w:eastAsia="宋体" w:cs="Times New Roman"/>
          <w:color w:val="FF0000"/>
          <w:highlight w:val="none"/>
        </w:rPr>
      </w:pPr>
    </w:p>
    <w:p w14:paraId="1B9FA992">
      <w:pPr>
        <w:widowControl/>
        <w:jc w:val="left"/>
        <w:rPr>
          <w:rFonts w:ascii="Times New Roman" w:hAnsi="Times New Roman" w:eastAsia="宋体" w:cs="Times New Roman"/>
          <w:kern w:val="0"/>
          <w:sz w:val="24"/>
          <w:highlight w:val="none"/>
        </w:rPr>
      </w:pPr>
      <w:r>
        <w:rPr>
          <w:rFonts w:ascii="Times New Roman" w:hAnsi="Times New Roman" w:eastAsia="宋体" w:cs="Times New Roman"/>
          <w:bCs/>
          <w:sz w:val="24"/>
          <w:highlight w:val="none"/>
        </w:rPr>
        <w:t>【</w:t>
      </w:r>
      <w:r>
        <w:rPr>
          <w:rFonts w:ascii="Times New Roman" w:hAnsi="Times New Roman" w:eastAsia="宋体" w:cs="Times New Roman"/>
          <w:b/>
          <w:sz w:val="24"/>
          <w:highlight w:val="none"/>
        </w:rPr>
        <w:t>关键词</w:t>
      </w:r>
      <w:r>
        <w:rPr>
          <w:rFonts w:ascii="Times New Roman" w:hAnsi="Times New Roman" w:eastAsia="宋体" w:cs="Times New Roman"/>
          <w:bCs/>
          <w:sz w:val="24"/>
          <w:highlight w:val="none"/>
        </w:rPr>
        <w:t>】</w:t>
      </w:r>
      <w:r>
        <w:rPr>
          <w:rFonts w:ascii="Times New Roman" w:hAnsi="Times New Roman" w:eastAsia="宋体" w:cs="Times New Roman"/>
          <w:b/>
          <w:sz w:val="24"/>
          <w:highlight w:val="none"/>
        </w:rPr>
        <w:t xml:space="preserve"> </w:t>
      </w:r>
      <w:r>
        <w:rPr>
          <w:rFonts w:ascii="Times New Roman" w:hAnsi="Times New Roman" w:eastAsia="宋体" w:cs="Times New Roman"/>
          <w:kern w:val="0"/>
          <w:sz w:val="24"/>
          <w:highlight w:val="none"/>
        </w:rPr>
        <w:t>关键词1；关键词2；关键词3；关键词4</w:t>
      </w:r>
    </w:p>
    <w:p w14:paraId="57390F2B">
      <w:pPr>
        <w:widowControl/>
        <w:jc w:val="left"/>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r>
        <w:rPr>
          <w:rFonts w:ascii="Times New Roman" w:hAnsi="Times New Roman" w:eastAsia="宋体" w:cs="Times New Roman"/>
          <w:b/>
          <w:bCs/>
          <w:color w:val="0000FF"/>
          <w:sz w:val="24"/>
          <w:highlight w:val="none"/>
        </w:rPr>
        <w:t xml:space="preserve">【关键词】 </w:t>
      </w:r>
      <w:r>
        <w:rPr>
          <w:rFonts w:ascii="Times New Roman" w:hAnsi="Times New Roman" w:eastAsia="宋体" w:cs="Times New Roman"/>
          <w:color w:val="0000FF"/>
          <w:sz w:val="24"/>
          <w:highlight w:val="none"/>
        </w:rPr>
        <w:t>继发性不孕；复发性流产；肝脾肾同调；序贯分期治疗</w:t>
      </w:r>
    </w:p>
    <w:p w14:paraId="4307C940">
      <w:pPr>
        <w:widowControl/>
        <w:jc w:val="left"/>
        <w:rPr>
          <w:rFonts w:ascii="Times New Roman" w:hAnsi="Times New Roman" w:eastAsia="宋体" w:cs="Times New Roman"/>
          <w:color w:val="0000FF"/>
          <w:sz w:val="24"/>
          <w:highlight w:val="none"/>
        </w:rPr>
      </w:pPr>
    </w:p>
    <w:p w14:paraId="1CC073EB">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1E2BC5C8">
      <w:pPr>
        <w:widowControl/>
        <w:jc w:val="left"/>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1.建议3~5个名词实词；</w:t>
      </w:r>
    </w:p>
    <w:p w14:paraId="104F411B">
      <w:pPr>
        <w:widowControl/>
        <w:jc w:val="left"/>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2.根据论文的题目、摘要和全文内容及所涉及的范围，统筹考虑选择关键词（主题词），可参考《医学主题词表》（Medical Subject Headings，简称MeSH）、《医学主题词表（MeSH）中医药主题词表及《中国中医药学主题词表》，如相关主题词表查不到，而论文又必须标引该词，可不受以上主题词表限制，将该词标引为关键词。</w:t>
      </w:r>
    </w:p>
    <w:p w14:paraId="4B816C2B">
      <w:pPr>
        <w:rPr>
          <w:rFonts w:ascii="Times New Roman" w:hAnsi="Times New Roman" w:eastAsia="宋体" w:cs="Times New Roman"/>
          <w:color w:val="FF0000"/>
          <w:highlight w:val="none"/>
        </w:rPr>
      </w:pPr>
    </w:p>
    <w:p w14:paraId="3F1F92C6">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w:t>
      </w:r>
      <w:r>
        <w:rPr>
          <w:rFonts w:ascii="Times New Roman" w:hAnsi="Times New Roman" w:eastAsia="宋体" w:cs="Times New Roman"/>
          <w:b/>
          <w:sz w:val="24"/>
          <w:highlight w:val="none"/>
        </w:rPr>
        <w:t>适合阅读专业</w:t>
      </w:r>
      <w:r>
        <w:rPr>
          <w:rFonts w:ascii="Times New Roman" w:hAnsi="Times New Roman" w:eastAsia="宋体" w:cs="Times New Roman"/>
          <w:bCs/>
          <w:sz w:val="24"/>
          <w:highlight w:val="none"/>
        </w:rPr>
        <w:t>】</w:t>
      </w:r>
      <w:r>
        <w:rPr>
          <w:rFonts w:ascii="Times New Roman" w:hAnsi="Times New Roman" w:eastAsia="宋体" w:cs="Times New Roman"/>
          <w:b/>
          <w:sz w:val="24"/>
          <w:highlight w:val="none"/>
        </w:rPr>
        <w:t xml:space="preserve"> </w:t>
      </w:r>
      <w:r>
        <w:rPr>
          <w:rFonts w:ascii="Times New Roman" w:hAnsi="Times New Roman" w:eastAsia="宋体" w:cs="Times New Roman"/>
          <w:bCs/>
          <w:sz w:val="24"/>
          <w:highlight w:val="none"/>
        </w:rPr>
        <w:t>本案例涉及的学科、专业；治疗方法（单纯中药、中西医结合、非药物疗法、少数民族医药）</w:t>
      </w:r>
    </w:p>
    <w:p w14:paraId="394E9803">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r>
        <w:rPr>
          <w:rFonts w:ascii="Times New Roman" w:hAnsi="Times New Roman" w:eastAsia="宋体" w:cs="Times New Roman"/>
          <w:b/>
          <w:bCs/>
          <w:color w:val="0000FF"/>
          <w:sz w:val="24"/>
          <w:highlight w:val="none"/>
        </w:rPr>
        <w:t xml:space="preserve">【适合阅读专业】 </w:t>
      </w:r>
      <w:r>
        <w:rPr>
          <w:rFonts w:ascii="Times New Roman" w:hAnsi="Times New Roman" w:eastAsia="宋体" w:cs="Times New Roman"/>
          <w:color w:val="0000FF"/>
          <w:sz w:val="24"/>
          <w:highlight w:val="none"/>
        </w:rPr>
        <w:t>中医妇科；中西医结合妇科或者中医内科学；神经内科学</w:t>
      </w:r>
    </w:p>
    <w:p w14:paraId="172A7C04">
      <w:pPr>
        <w:rPr>
          <w:rFonts w:ascii="Times New Roman" w:hAnsi="Times New Roman" w:eastAsia="宋体" w:cs="Times New Roman"/>
          <w:color w:val="0000FF"/>
          <w:sz w:val="24"/>
          <w:highlight w:val="none"/>
        </w:rPr>
      </w:pPr>
    </w:p>
    <w:p w14:paraId="53E45F86">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7B3168C0">
      <w:pPr>
        <w:widowControl/>
        <w:jc w:val="left"/>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1.突出案例核心领域；</w:t>
      </w:r>
    </w:p>
    <w:p w14:paraId="318C7C1F">
      <w:pPr>
        <w:widowControl/>
        <w:jc w:val="left"/>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2.避免模糊表述，应采用具体术语，参考《医疗机构诊疗科目名录》；</w:t>
      </w:r>
    </w:p>
    <w:p w14:paraId="75827A2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3.治疗方法四选一。</w:t>
      </w:r>
    </w:p>
    <w:p w14:paraId="29959359">
      <w:pPr>
        <w:ind w:firstLine="420" w:firstLineChars="200"/>
        <w:rPr>
          <w:rFonts w:ascii="Times New Roman" w:hAnsi="Times New Roman" w:eastAsia="宋体" w:cs="Times New Roman"/>
          <w:color w:val="FF0000"/>
          <w:highlight w:val="none"/>
        </w:rPr>
      </w:pPr>
    </w:p>
    <w:p w14:paraId="6A427AFF">
      <w:pPr>
        <w:rPr>
          <w:rFonts w:ascii="Times New Roman" w:hAnsi="Times New Roman" w:eastAsia="宋体" w:cs="Times New Roman"/>
          <w:b/>
          <w:sz w:val="24"/>
          <w:highlight w:val="none"/>
        </w:rPr>
      </w:pPr>
      <w:r>
        <w:rPr>
          <w:rFonts w:ascii="Times New Roman" w:hAnsi="Times New Roman" w:eastAsia="宋体" w:cs="Times New Roman"/>
          <w:b/>
          <w:sz w:val="24"/>
          <w:highlight w:val="none"/>
        </w:rPr>
        <w:t>英文摘要</w:t>
      </w:r>
    </w:p>
    <w:p w14:paraId="13757549">
      <w:pPr>
        <w:ind w:firstLine="480" w:firstLineChars="200"/>
        <w:rPr>
          <w:rFonts w:ascii="Times New Roman" w:hAnsi="Times New Roman" w:eastAsia="宋体" w:cs="Times New Roman"/>
          <w:bCs/>
          <w:sz w:val="24"/>
          <w:highlight w:val="none"/>
        </w:rPr>
      </w:pPr>
      <w:r>
        <w:rPr>
          <w:rFonts w:ascii="Times New Roman" w:hAnsi="Times New Roman" w:eastAsia="宋体" w:cs="Times New Roman"/>
          <w:bCs/>
          <w:sz w:val="24"/>
          <w:highlight w:val="none"/>
        </w:rPr>
        <w:t>作者、单位、单个案例摘要/系列案例摘要、关键词及适合阅读的专业</w:t>
      </w:r>
      <w:r>
        <w:rPr>
          <w:rFonts w:hint="eastAsia" w:ascii="Times New Roman" w:hAnsi="Times New Roman" w:eastAsia="宋体" w:cs="Times New Roman"/>
          <w:bCs/>
          <w:sz w:val="24"/>
          <w:highlight w:val="none"/>
        </w:rPr>
        <w:t>。</w:t>
      </w:r>
    </w:p>
    <w:p w14:paraId="1C213389">
      <w:pPr>
        <w:rPr>
          <w:rFonts w:ascii="Times New Roman" w:hAnsi="Times New Roman" w:eastAsia="宋体" w:cs="Times New Roman"/>
          <w:color w:val="FF0000"/>
          <w:highlight w:val="none"/>
        </w:rPr>
      </w:pPr>
    </w:p>
    <w:p w14:paraId="40C2C338">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AC81AE2">
      <w:pPr>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与中文一致，不得出现内容、语法、时态等错误，不能遗漏关键信息。（文中所有英文均选用Times New Roman字体。摘要部分的字体为Times New Roman，字体大小为10磅，行距为12磅，段前距0磅，段后距4磅。摘要一词需要加重，后面加冒号。关键词部分及适合阅读的专业的字体为Times New Roman，字体大小为10磅，行距为12磅，段前距0磅，段后距4磅。关键词一词需要加重，后面加冒号，每个关键词之间用逗号隔开。适合阅读的专业需要加重，后面加冒号，每个专业之间用逗号隔开）</w:t>
      </w:r>
    </w:p>
    <w:p w14:paraId="39BBF3EB">
      <w:pPr>
        <w:ind w:firstLine="420" w:firstLineChars="200"/>
        <w:rPr>
          <w:rFonts w:ascii="Times New Roman" w:hAnsi="Times New Roman" w:eastAsia="宋体" w:cs="Times New Roman"/>
          <w:color w:val="FF0000"/>
          <w:highlight w:val="none"/>
        </w:rPr>
      </w:pPr>
    </w:p>
    <w:p w14:paraId="7A895177">
      <w:pPr>
        <w:widowControl/>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引</w:t>
      </w:r>
      <w:r>
        <w:rPr>
          <w:rFonts w:hint="eastAsia" w:ascii="Times New Roman" w:hAnsi="Times New Roman" w:eastAsia="宋体" w:cs="Times New Roman"/>
          <w:b/>
          <w:kern w:val="0"/>
          <w:sz w:val="24"/>
          <w:highlight w:val="none"/>
        </w:rPr>
        <w:t xml:space="preserve">  </w:t>
      </w:r>
      <w:r>
        <w:rPr>
          <w:rFonts w:ascii="Times New Roman" w:hAnsi="Times New Roman" w:eastAsia="宋体" w:cs="Times New Roman"/>
          <w:b/>
          <w:kern w:val="0"/>
          <w:sz w:val="24"/>
          <w:highlight w:val="none"/>
        </w:rPr>
        <w:t>言</w:t>
      </w:r>
    </w:p>
    <w:p w14:paraId="01072CEF">
      <w:pPr>
        <w:ind w:firstLine="480" w:firstLineChars="200"/>
        <w:rPr>
          <w:rFonts w:ascii="Times New Roman" w:hAnsi="Times New Roman" w:eastAsia="宋体" w:cs="Times New Roman"/>
          <w:bCs/>
          <w:sz w:val="24"/>
          <w:highlight w:val="none"/>
        </w:rPr>
      </w:pPr>
      <w:r>
        <w:rPr>
          <w:rFonts w:ascii="Times New Roman" w:hAnsi="Times New Roman" w:eastAsia="宋体" w:cs="Times New Roman"/>
          <w:bCs/>
          <w:sz w:val="24"/>
          <w:highlight w:val="none"/>
        </w:rPr>
        <w:t>需包括本疾病的定义、流行病学现状、目前治疗这个疾病当前存在的问题或不足或困难，中医治疗优势及本案例的价值。</w:t>
      </w:r>
    </w:p>
    <w:p w14:paraId="0B53731E">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1B73F269">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女性生育力随年龄增长而下降，随着不孕患者病程增长以及部分女性生育意愿推迟，年龄大于35岁的高龄女性行体外受精-胚胎移植（in vitro fertilization and embryo transfer， IVF-ET）的比例逐年上升。因年龄与辅助生殖结局明确相关，故高龄女性行辅助生殖技术的胚胎种植率、临床妊娠率、活产率降低，流产率增加。导致反复IVF-ET失败的原因与卵巢功能减退、子宫内膜容受性降低、血栓前状态、免疫异常等因素相关。西医主要予以黄体支持、改善子宫内膜容受性、改善血栓前状态、纠正免疫紊乱等治疗措施，部分患者可能获得成功妊娠，但若合并诸多影响不孕的因素，如不孕年限、高龄、内分泌疾病、免疫失调等，则难以提高胚胎种植率和活产率。对此，充分发挥中医药围试管期调治的优势，介入反复IVF-ET失败的治疗，通过改善患者的卵巢功能、输卵管通畅度、盆腔微环境、子宫内膜容受性，有望改善反复IVF-ET失败患者的妊娠结局或获得自然妊娠。</w:t>
      </w:r>
    </w:p>
    <w:p w14:paraId="4A276113">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针对本案例高龄不孕反复IVF-ET失败的患者，魏绍斌教授认为其主要病机为脾肾不足，肝郁血瘀。在调治过程中，注重辨病与辨证结合，根据导致患者不孕的疾病和反复IVF-ET失败的原因，分析其是否有自然妊娠可能，拟定经后期（卵泡期）和经前期（黄体期）肝脾肾同调序贯分期助孕方案，同时注意悉心疏解和指导，身心同调，孕后重视补肾健脾、固任安胎，中西医结合保胎。本文报道魏绍斌教授运用中医药治疗高龄反复IVF-ET失败患者自然妊娠案例1则，旨在为类似疑难病症的诊治提供借鉴。</w:t>
      </w:r>
    </w:p>
    <w:p w14:paraId="63C3FD90">
      <w:pPr>
        <w:rPr>
          <w:rFonts w:ascii="Times New Roman" w:hAnsi="Times New Roman" w:eastAsia="宋体" w:cs="Times New Roman"/>
          <w:color w:val="0000FF"/>
          <w:sz w:val="24"/>
          <w:highlight w:val="none"/>
        </w:rPr>
      </w:pPr>
    </w:p>
    <w:p w14:paraId="70E375CB">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612AEFF2">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引言简明扼要，以500字左右为宜。</w:t>
      </w:r>
    </w:p>
    <w:p w14:paraId="4743F2D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1.引言切忌与摘要、结论、临证体会重复；</w:t>
      </w:r>
    </w:p>
    <w:p w14:paraId="14C86A2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2.不能出现图、表以及公式；</w:t>
      </w:r>
    </w:p>
    <w:p w14:paraId="679DA65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3.文字描述要客观，不能出现“首次”“第一”等主观性强的词汇；</w:t>
      </w:r>
    </w:p>
    <w:p w14:paraId="26037D0D">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4.所用名词术语采用国家公布或已通用者为准。中外医学名词使用全称，用英文简称时，在首次出现时应用中英文全称；</w:t>
      </w:r>
    </w:p>
    <w:p w14:paraId="6EE1119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5.涉及参考文献的请标明。</w:t>
      </w:r>
    </w:p>
    <w:p w14:paraId="4B6CE50F">
      <w:pPr>
        <w:rPr>
          <w:rFonts w:ascii="Times New Roman" w:hAnsi="Times New Roman" w:eastAsia="宋体" w:cs="Times New Roman"/>
          <w:color w:val="FF0000"/>
          <w:highlight w:val="none"/>
        </w:rPr>
      </w:pPr>
    </w:p>
    <w:p w14:paraId="5C7F105E">
      <w:pPr>
        <w:rPr>
          <w:rFonts w:ascii="Times New Roman" w:hAnsi="Times New Roman" w:eastAsia="宋体" w:cs="Times New Roman"/>
          <w:color w:val="FF0000"/>
          <w:highlight w:val="none"/>
        </w:rPr>
      </w:pPr>
    </w:p>
    <w:p w14:paraId="11A3DFC3">
      <w:pPr>
        <w:jc w:val="center"/>
        <w:rPr>
          <w:rFonts w:ascii="Times New Roman" w:hAnsi="Times New Roman" w:eastAsia="宋体" w:cs="Times New Roman"/>
          <w:b/>
          <w:sz w:val="24"/>
          <w:highlight w:val="none"/>
        </w:rPr>
      </w:pPr>
      <w:r>
        <w:rPr>
          <w:rFonts w:ascii="Times New Roman" w:hAnsi="Times New Roman" w:eastAsia="宋体" w:cs="Times New Roman"/>
          <w:b/>
          <w:sz w:val="24"/>
          <w:highlight w:val="none"/>
        </w:rPr>
        <w:t>患者诊疗过程</w:t>
      </w:r>
    </w:p>
    <w:p w14:paraId="56CBE7BF">
      <w:pPr>
        <w:ind w:firstLine="480" w:firstLineChars="200"/>
        <w:rPr>
          <w:rFonts w:ascii="Times New Roman" w:hAnsi="Times New Roman" w:eastAsia="宋体" w:cs="Times New Roman"/>
          <w:bCs/>
          <w:sz w:val="24"/>
          <w:highlight w:val="none"/>
        </w:rPr>
      </w:pPr>
      <w:r>
        <w:rPr>
          <w:rFonts w:ascii="Times New Roman" w:hAnsi="Times New Roman" w:eastAsia="宋体" w:cs="Times New Roman"/>
          <w:bCs/>
          <w:sz w:val="24"/>
          <w:highlight w:val="none"/>
        </w:rPr>
        <w:t>如为单个案例，则撰写1位患者的情况即可；如为系列案例，需至少30位患者的具体情况，按照“案例一”“案例二”“案例三”的顺序罗列，案例具体内容如下。</w:t>
      </w:r>
    </w:p>
    <w:p w14:paraId="67867528">
      <w:pPr>
        <w:ind w:firstLine="480" w:firstLineChars="200"/>
        <w:rPr>
          <w:rFonts w:ascii="Times New Roman" w:hAnsi="Times New Roman" w:eastAsia="宋体" w:cs="Times New Roman"/>
          <w:bCs/>
          <w:sz w:val="24"/>
          <w:highlight w:val="none"/>
        </w:rPr>
      </w:pPr>
    </w:p>
    <w:p w14:paraId="2C497984">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一、首诊</w:t>
      </w:r>
    </w:p>
    <w:p w14:paraId="19C78BB5">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1.一般信息</w:t>
      </w:r>
    </w:p>
    <w:p w14:paraId="17474E90">
      <w:pPr>
        <w:ind w:firstLine="480" w:firstLineChars="200"/>
        <w:rPr>
          <w:rFonts w:ascii="Times New Roman" w:hAnsi="Times New Roman" w:eastAsia="宋体" w:cs="Times New Roman"/>
          <w:bCs/>
          <w:sz w:val="24"/>
          <w:highlight w:val="none"/>
        </w:rPr>
      </w:pPr>
      <w:r>
        <w:rPr>
          <w:rFonts w:ascii="Times New Roman" w:hAnsi="Times New Roman" w:eastAsia="宋体" w:cs="Times New Roman"/>
          <w:bCs/>
          <w:sz w:val="24"/>
          <w:highlight w:val="none"/>
        </w:rPr>
        <w:t>包括患者姓名（以姓指代），性别，年龄，籍贯，就诊日期，发病节气。</w:t>
      </w:r>
    </w:p>
    <w:p w14:paraId="259D9972">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2A14678F">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患者，女，40岁，籍贯四川省某地市，就诊日期：2024年02月03日，发病节气：大寒后。</w:t>
      </w:r>
    </w:p>
    <w:p w14:paraId="6BD594D1">
      <w:pPr>
        <w:ind w:firstLine="480" w:firstLineChars="200"/>
        <w:rPr>
          <w:rFonts w:ascii="Times New Roman" w:hAnsi="Times New Roman" w:eastAsia="宋体" w:cs="Times New Roman"/>
          <w:color w:val="0000FF"/>
          <w:sz w:val="24"/>
          <w:highlight w:val="none"/>
        </w:rPr>
      </w:pPr>
    </w:p>
    <w:p w14:paraId="7BBAF4C8">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4E4D9B5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1.应与原始病历保持一致；</w:t>
      </w:r>
    </w:p>
    <w:p w14:paraId="124DF842">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2.发病时节气，非就诊节气；</w:t>
      </w:r>
    </w:p>
    <w:p w14:paraId="5439BBA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3.籍贯注意保护患者隐私，到4种省级行政单位即可（省、自治区、直辖市、特别行政区）。</w:t>
      </w:r>
    </w:p>
    <w:p w14:paraId="45E151BB">
      <w:pPr>
        <w:ind w:firstLine="480" w:firstLineChars="200"/>
        <w:rPr>
          <w:rFonts w:ascii="Times New Roman" w:hAnsi="Times New Roman" w:eastAsia="宋体" w:cs="Times New Roman"/>
          <w:bCs/>
          <w:sz w:val="24"/>
          <w:highlight w:val="none"/>
        </w:rPr>
      </w:pPr>
    </w:p>
    <w:p w14:paraId="70095F21">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2.病史</w:t>
      </w:r>
    </w:p>
    <w:p w14:paraId="329359EB">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①主诉</w:t>
      </w:r>
    </w:p>
    <w:p w14:paraId="59ED599F">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示例：未避孕未孕4年余</w:t>
      </w:r>
    </w:p>
    <w:p w14:paraId="01940D05">
      <w:pPr>
        <w:rPr>
          <w:rFonts w:ascii="Times New Roman" w:hAnsi="Times New Roman" w:eastAsia="宋体" w:cs="Times New Roman"/>
          <w:color w:val="0000FF"/>
          <w:sz w:val="24"/>
          <w:highlight w:val="none"/>
        </w:rPr>
      </w:pPr>
    </w:p>
    <w:p w14:paraId="27C42DA5">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2C17C89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1.主诉是指促使患者就诊的主要症状(或体征)及持续时间；</w:t>
      </w:r>
    </w:p>
    <w:p w14:paraId="2777304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2.简明扼要：1~3个症状，20个字以内；</w:t>
      </w:r>
    </w:p>
    <w:p w14:paraId="228490DE">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3.有多个症状时按时间先后顺序记录；</w:t>
      </w:r>
    </w:p>
    <w:p w14:paraId="52B647C9">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4.须用症状学名词，不能用诊断或检查、检验结果代替症状；</w:t>
      </w:r>
    </w:p>
    <w:p w14:paraId="35ECD5E1">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5.能反映疾病起病方式。</w:t>
      </w:r>
    </w:p>
    <w:p w14:paraId="59D5F174">
      <w:pPr>
        <w:rPr>
          <w:rFonts w:ascii="Times New Roman" w:hAnsi="Times New Roman" w:eastAsia="宋体" w:cs="Times New Roman"/>
          <w:color w:val="FF0000"/>
          <w:highlight w:val="none"/>
        </w:rPr>
      </w:pPr>
    </w:p>
    <w:p w14:paraId="7F9CCB60">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②现病史、关键诊疗经过、刻下症</w:t>
      </w:r>
    </w:p>
    <w:p w14:paraId="3D3312B8">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6B61E599">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现病史：患者因未避孕未孕3+年，遂于2023年3月至四川某医院寻求辅助生殖技术助孕，查夫妻双方染色体正常，胰岛素释放试验提示：空腹INS：28.32 μIU/mL↑，0.5h INS：173.46 μIU/mL↑，1h INS：207.43 μIU/mL↑，2h INS： 125.2 μIU/mL↑，3h INS：57.71 μIU/mL↑，诊断为“高胰岛素血症”，予以“二甲双胍”0.5g tid口服。2023年6月、9月行IVF-ET均未着床，遂于2023年10月08日于四川某院行“宫腔镜检查术”，病检结果提示“子宫内膜炎”。2023年11月再次行IVF-ET，2023年12月29日移植后孕7+周胚胎停育行“清宫术”，胚胎染色体为13-三体。患者高龄生育要求急迫，因3次试管失败，现无冻胚、囊胚，欲求中医药调治后再行IVF-ET，遂至魏绍斌教授门诊就诊。刻下症：情绪焦虑，生育压力大，纳可，眠差，二便调，舌偏红，苔白微腻，脉弦滑。</w:t>
      </w:r>
    </w:p>
    <w:p w14:paraId="25B206BC">
      <w:pPr>
        <w:rPr>
          <w:rFonts w:ascii="Times New Roman" w:hAnsi="Times New Roman" w:eastAsia="宋体" w:cs="Times New Roman"/>
          <w:color w:val="FF0000"/>
          <w:highlight w:val="none"/>
        </w:rPr>
      </w:pPr>
    </w:p>
    <w:p w14:paraId="39B9205B">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E1B168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1.现病史、关键诊疗经过、刻下症；</w:t>
      </w:r>
    </w:p>
    <w:p w14:paraId="403C203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2.发病情况：发病日期、起病的缓急；</w:t>
      </w:r>
    </w:p>
    <w:p w14:paraId="5DACE2C0">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3.病因及诱因：体力劳动、情绪激动、饱食、寒冷等；</w:t>
      </w:r>
    </w:p>
    <w:p w14:paraId="4C83DAD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4.主要症状的描述（症状特点）（部位、性质、持续时间、缓解）；</w:t>
      </w:r>
    </w:p>
    <w:p w14:paraId="796FEE1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5.病情发展与演变过程：起病后的主要症状是持续性还是发作性，是进行性加重还是逐渐好转，缓解或加重的因素等；</w:t>
      </w:r>
    </w:p>
    <w:p w14:paraId="560E66E3">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6.伴随症状（有鉴别意义的阴性症状）：主要症状的同时又出现其他症状，为伴随症状。某种病按规律常出现的伴随症状，实际上没有出现称为有鉴别意义的阴性症状；</w:t>
      </w:r>
    </w:p>
    <w:p w14:paraId="018DEDA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7.诊疗经过：病后到本次就诊前曾在何时、何地就诊？作过何种检查？结果诊断如何？做过什么治疗：药名、剂量、途径及效果，有无不良反应。对患者提供的药名、诊断和手术名称需加引号（“  ”）以示区别；</w:t>
      </w:r>
    </w:p>
    <w:p w14:paraId="3CE2FBAE">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8.发病以来一般情况:结合十问简要记录患者发病后的寒热、饮食、睡眠、情志、二便、体质量等情况；</w:t>
      </w:r>
    </w:p>
    <w:p w14:paraId="6ADE1E26">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9.关注患者生活方式、工作方式、娱乐方式。</w:t>
      </w:r>
    </w:p>
    <w:p w14:paraId="6637783C">
      <w:pPr>
        <w:rPr>
          <w:rFonts w:ascii="Times New Roman" w:hAnsi="Times New Roman" w:eastAsia="宋体" w:cs="Times New Roman"/>
          <w:bCs/>
          <w:sz w:val="24"/>
          <w:highlight w:val="none"/>
        </w:rPr>
      </w:pPr>
    </w:p>
    <w:p w14:paraId="790C8D4E">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③既往史。</w:t>
      </w:r>
    </w:p>
    <w:p w14:paraId="7195DEAC">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1D8C57B6">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既往史：平素健康状况一般，“慢性湿疹”病史10+年，2019年体检时发现子宫肌瘤（大小约1 cm）；否认“冠心病、高血压、糖尿病”等病史。否认“乙肝、结核”等传染病史。预防接种史不详。否认手术史及重大外伤史。</w:t>
      </w:r>
    </w:p>
    <w:p w14:paraId="2C0D91E6">
      <w:pPr>
        <w:rPr>
          <w:rFonts w:ascii="Times New Roman" w:hAnsi="Times New Roman" w:eastAsia="宋体" w:cs="Times New Roman"/>
          <w:color w:val="FF0000"/>
          <w:highlight w:val="none"/>
        </w:rPr>
      </w:pPr>
    </w:p>
    <w:p w14:paraId="1FA2E18C">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46B38C27">
      <w:pPr>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既往史是指患者过去的健康和疾病情况。内容包括既往一般健康状况、疾病史、传染病史、预防接种史、手术外伤史、输血史、食物或药物过敏史及过敏症状等。</w:t>
      </w:r>
    </w:p>
    <w:p w14:paraId="71149B44">
      <w:pPr>
        <w:ind w:firstLine="480" w:firstLineChars="200"/>
        <w:rPr>
          <w:rFonts w:ascii="Times New Roman" w:hAnsi="Times New Roman" w:eastAsia="宋体" w:cs="Times New Roman"/>
          <w:color w:val="0000FF"/>
          <w:sz w:val="24"/>
          <w:highlight w:val="none"/>
        </w:rPr>
      </w:pPr>
    </w:p>
    <w:p w14:paraId="3E957D82">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④个人史、过敏史、月经史（女性）、婚育史、家族史等。</w:t>
      </w:r>
    </w:p>
    <w:p w14:paraId="07FCBD2C">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05F1E567">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个人史及过敏史：出生并长期居住于四川省某地市，否认烟酒等不良嗜好；花生、鳕鱼过敏，否认其他食物、药物过敏史。</w:t>
      </w:r>
    </w:p>
    <w:p w14:paraId="2BFA5E89">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月经及婚育史：12岁初潮，经期5~7天，周期27~31天，量中，色红；LMP：2024年01月25日，8天净，量中，色红，小腹胀痛可忍，余无特殊。已婚，G2P0+2，2018年因孕8+周胚胎停育于当地医院行清宫术。2020年行输卵管造影提示双侧输卵管通畅。2023年12月移植后孕7+周胚胎停育行清宫术，胚胎染色体为13-三体。</w:t>
      </w:r>
    </w:p>
    <w:p w14:paraId="3F097780">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家族史：父母体健，否认家族遗传病史。</w:t>
      </w:r>
    </w:p>
    <w:p w14:paraId="693A3926">
      <w:pPr>
        <w:rPr>
          <w:rFonts w:ascii="Times New Roman" w:hAnsi="Times New Roman" w:eastAsia="宋体" w:cs="Times New Roman"/>
          <w:bCs/>
          <w:sz w:val="24"/>
          <w:highlight w:val="none"/>
        </w:rPr>
      </w:pPr>
    </w:p>
    <w:p w14:paraId="79AF43DD">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53CB660D">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1.个人史：记录出生地及长期居留地，生活习惯及有无烟、酒、药物等嗜好，职业与工作条件及有无工业毒物、粉尘、放射性物质接触史，有无冶游史。</w:t>
      </w:r>
    </w:p>
    <w:p w14:paraId="3D16E8C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2.婚育史、月经史：婚姻状况、结婚年龄、配偶健康状况、有无子女等。女性患者记录经带胎产史，初潮年龄、行经期天数、间隔天数、末次月经时间(或闭经年龄)，月经量、痛经及生育等情况。</w:t>
      </w:r>
    </w:p>
    <w:p w14:paraId="32EDBF6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3.家族史：父母、兄弟、姐妹健康状况，有无与患者类似疾病，有无家族遗传倾向的疾病。</w:t>
      </w:r>
    </w:p>
    <w:p w14:paraId="65D50F29">
      <w:pPr>
        <w:ind w:firstLine="420" w:firstLineChars="200"/>
        <w:rPr>
          <w:rFonts w:ascii="Times New Roman" w:hAnsi="Times New Roman" w:eastAsia="宋体" w:cs="Times New Roman"/>
          <w:color w:val="FF0000"/>
          <w:highlight w:val="none"/>
        </w:rPr>
      </w:pPr>
    </w:p>
    <w:p w14:paraId="39B386F0">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⑤四诊信息采集及中医内涵</w:t>
      </w:r>
    </w:p>
    <w:p w14:paraId="374C865F">
      <w:pPr>
        <w:rPr>
          <w:rFonts w:ascii="Times New Roman" w:hAnsi="Times New Roman" w:eastAsia="宋体" w:cs="Times New Roman"/>
          <w:bCs/>
          <w:sz w:val="24"/>
          <w:highlight w:val="none"/>
        </w:rPr>
      </w:pPr>
    </w:p>
    <w:p w14:paraId="0DCBB48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5AD9FDA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1.鼓励采用现代化技术方式方法采集患者四诊信息，如可穿戴设备采集脉诊信息、高清摄像设备采集舌诊信息等；</w:t>
      </w:r>
    </w:p>
    <w:p w14:paraId="77E4E29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2.舌象图片要求；</w:t>
      </w:r>
    </w:p>
    <w:p w14:paraId="22D64694">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3.正面、自然光下拍照；</w:t>
      </w:r>
    </w:p>
    <w:p w14:paraId="115E4F65">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4.上不超过鼻尖，舌体放松，暴露至舌根（短缩舌除外），尽量使舌体充分暴露；</w:t>
      </w:r>
    </w:p>
    <w:p w14:paraId="6A188EEF">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5.不可自拍，拍摄时关闭相机一切特效、美颜、滤镜；</w:t>
      </w:r>
    </w:p>
    <w:p w14:paraId="4B305E56">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6.注意患者隐私权，除非病例报告必要内容，其他内容均要为患者保密；</w:t>
      </w:r>
    </w:p>
    <w:p w14:paraId="199FD83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7.各专业特殊重要四诊支撑可酌情备注，但要保护隐私。（如声音嘶哑治疗前后的录音、录像的比对等）；</w:t>
      </w:r>
    </w:p>
    <w:p w14:paraId="2436A10E">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8.中医内涵突出，关注四诊信息及中医十问歌相关内容。</w:t>
      </w:r>
    </w:p>
    <w:p w14:paraId="5ECD5F37">
      <w:pPr>
        <w:rPr>
          <w:rFonts w:ascii="Times New Roman" w:hAnsi="Times New Roman" w:eastAsia="宋体" w:cs="Times New Roman"/>
          <w:color w:val="FF0000"/>
          <w:highlight w:val="none"/>
        </w:rPr>
      </w:pPr>
    </w:p>
    <w:p w14:paraId="07CAA59D">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2.体格检查及专科检查</w:t>
      </w:r>
    </w:p>
    <w:p w14:paraId="04402958">
      <w:pPr>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根据实际诊疗过程酌情记录与疾病相关的查体内容。</w:t>
      </w:r>
    </w:p>
    <w:p w14:paraId="2C7EB603">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示例：外院妇科检查：外阴：已婚未产式；阴道：畅；宫颈：常大，光滑；子宫：前位，常大，活动，质中，无压痛；双附件未扪及异常。</w:t>
      </w:r>
    </w:p>
    <w:p w14:paraId="14196EE7">
      <w:pPr>
        <w:rPr>
          <w:rFonts w:ascii="Times New Roman" w:hAnsi="Times New Roman" w:eastAsia="宋体" w:cs="Times New Roman"/>
          <w:color w:val="0000FF"/>
          <w:sz w:val="24"/>
          <w:highlight w:val="none"/>
        </w:rPr>
      </w:pPr>
    </w:p>
    <w:p w14:paraId="2EC0574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23E123F3">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1.体格检查及专科检查部分需注意：</w:t>
      </w:r>
    </w:p>
    <w:p w14:paraId="0F2CDD00">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1.1需根据不同的疾病进行针对性的查体。如心肺听诊、肌肉骨关节检查、神经体统查体、妇科查体等。</w:t>
      </w:r>
    </w:p>
    <w:p w14:paraId="4726F38F">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1.2如涉及人体照片图的，要求如下：</w:t>
      </w:r>
    </w:p>
    <w:p w14:paraId="3C5A9562">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要求选择最能反映病例特征的图片，并注意保护患者隐私权和肖像权。</w:t>
      </w:r>
    </w:p>
    <w:p w14:paraId="7A21A1A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1.2.1 眼部疾病需左右两眼同时显露，只拍摄眉毛、双眼、鼻梁即可，其他部分不得暴露。</w:t>
      </w:r>
    </w:p>
    <w:p w14:paraId="774431D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1.2.2 其他确需露出患者面部的照片，双眼必须用■■遮蔽。</w:t>
      </w:r>
    </w:p>
    <w:p w14:paraId="0E39677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1.2.3 四肢照片应包括患病部位及上下两个关节，还应有对侧肢体对照。</w:t>
      </w:r>
    </w:p>
    <w:p w14:paraId="4B43100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1.2.4躯干照片应能鉴别患病部位和上下左右方向。</w:t>
      </w:r>
    </w:p>
    <w:p w14:paraId="66CAC78A">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1.2.5 皮肤疾病照片必须包含部分正常皮肤作为对照。</w:t>
      </w:r>
    </w:p>
    <w:p w14:paraId="0C55E1A9">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体格检查，应当按照系统循序进行书写。内容包括体温、脉搏、呼吸、血压，一般情况皮肤、黏膜，全身浅表淋巴结，头部及其器官，颈部，胸部(胸廓、肺部、心脏、血管)，腹部(肝、脾等)，直肠肛门，外生殖器，脊柱，四肢，神经系统等。着重记录本病相关的阳性体征及具有鉴别意义的隐性体征。</w:t>
      </w:r>
    </w:p>
    <w:p w14:paraId="55BED2C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3.专科情况，应当根据专科需要记录专科特殊情况。</w:t>
      </w:r>
    </w:p>
    <w:p w14:paraId="14A919F3">
      <w:pPr>
        <w:rPr>
          <w:rFonts w:ascii="Times New Roman" w:hAnsi="Times New Roman" w:eastAsia="宋体" w:cs="Times New Roman"/>
          <w:color w:val="FF0000"/>
          <w:highlight w:val="none"/>
        </w:rPr>
      </w:pPr>
    </w:p>
    <w:p w14:paraId="36554A35">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3.辅助检查</w:t>
      </w:r>
    </w:p>
    <w:p w14:paraId="010C9F4F">
      <w:pPr>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提供对疾病诊断及制定治疗方案起关键作用的检查，关键检查结果需提供图片或视频。</w:t>
      </w:r>
    </w:p>
    <w:p w14:paraId="5C485B2F">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5EDF10D6">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1.（2023-03-10外院）性激素：PRL：5.6 ng/mL； FSH： 8.0 IU/L； LH： 5.0 IU/L； E2： 54 pg/mL； P： 0.64 ng/mL； T： 0.17 nmol/L； AMH： 4.83 ng/mL； 甲状腺功能正常。</w:t>
      </w:r>
    </w:p>
    <w:p w14:paraId="2E95C33A">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2.（2023-03-29四川某医院）TORCH：单纯疱疹病毒型IgM：0.94 PEI U/mL（可疑）；胰岛素释放试验：空腹INS：28.32 μIU/mL↑，0.5h INS：173.46 μIU/mL↑，1h INS：207.43 μIU/mL↑，2h INS：125.2 μIU/mL↑，3h INS：57.71 μIU/mL↑；不孕不育抗体、衣原体、肿标CA125（-）。</w:t>
      </w:r>
    </w:p>
    <w:p w14:paraId="426F479C">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3.（2024-01-12四川某院）阴道彩超：子宫3.7 cm×4.4 cm×4.8 cm，内膜0.3 cm（单层），子宫内膜回声欠均匀，子宫肌瘤（左前壁1.7 cm，右前壁1.2 cm），右卵巢上强回声（钙化灶）？</w:t>
      </w:r>
    </w:p>
    <w:p w14:paraId="421B06B6">
      <w:pPr>
        <w:rPr>
          <w:rFonts w:ascii="Times New Roman" w:hAnsi="Times New Roman" w:eastAsia="宋体" w:cs="Times New Roman"/>
          <w:color w:val="0000FF"/>
          <w:sz w:val="24"/>
          <w:highlight w:val="none"/>
        </w:rPr>
      </w:pPr>
    </w:p>
    <w:p w14:paraId="21DD4232">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404135F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1.涉及医学检查、病理检查、放射影像、超声检查、医学功能检查、内镜检查的，应附上原始检查结果；</w:t>
      </w:r>
    </w:p>
    <w:p w14:paraId="20C0B268">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与本次疾病相关的主要检查及其结果（血常规，尿常规，便常规，肝肾功，血糖，血脂，凝血功能，糖化血红蛋白，甲状腺功能，肿瘤标记物，自身免疫抗体谱，胸部CT，腹部CT，盆腔CT，腹部超声，颈动脉超声，头颅核磁，颈椎核磁，腰椎核磁等）。应分类按检查时间顺序记录检查结果，如系在其他医疗机构所作检查，需隐去医疗机构名称信息，用“某医院”代替（为保护患者隐私）。应当写明检查号（检查日期）。</w:t>
      </w:r>
    </w:p>
    <w:p w14:paraId="1B88F98E">
      <w:pPr>
        <w:rPr>
          <w:rFonts w:ascii="Times New Roman" w:hAnsi="Times New Roman" w:eastAsia="宋体" w:cs="Times New Roman"/>
          <w:color w:val="FF0000"/>
          <w:highlight w:val="none"/>
        </w:rPr>
      </w:pPr>
    </w:p>
    <w:p w14:paraId="70DA71C8">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4.中医诊断</w:t>
      </w:r>
    </w:p>
    <w:p w14:paraId="074C0483">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①病名及证候诊断</w:t>
      </w:r>
    </w:p>
    <w:p w14:paraId="0A55DD00">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示例：不孕症；癥瘕（脾肾不足，肝郁血瘀证）。</w:t>
      </w:r>
    </w:p>
    <w:p w14:paraId="1B0C0073">
      <w:pPr>
        <w:rPr>
          <w:rFonts w:ascii="Times New Roman" w:hAnsi="Times New Roman" w:eastAsia="宋体" w:cs="Times New Roman"/>
          <w:color w:val="0000FF"/>
          <w:sz w:val="24"/>
          <w:highlight w:val="none"/>
        </w:rPr>
      </w:pPr>
    </w:p>
    <w:p w14:paraId="3679FF24">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013DC6DF">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1.医案的病名、证型请参考《中医病证分类与代码》（GBT 15657-2021）；</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2.诊断标准建议参考最新的相关标准（国家标准、行业标准、中华中医药学会团体标准以及专家共识均可）或权威教材，并注明出处；</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3.如果没有合适中医病名，可以采用病证结合等方式。</w:t>
      </w:r>
    </w:p>
    <w:p w14:paraId="3A0314BB">
      <w:pPr>
        <w:rPr>
          <w:rFonts w:ascii="Times New Roman" w:hAnsi="Times New Roman" w:eastAsia="宋体" w:cs="Times New Roman"/>
          <w:color w:val="FF0000"/>
          <w:highlight w:val="none"/>
        </w:rPr>
      </w:pPr>
    </w:p>
    <w:p w14:paraId="233F1ADC">
      <w:pPr>
        <w:rPr>
          <w:rFonts w:ascii="Times New Roman" w:hAnsi="Times New Roman" w:eastAsia="宋体" w:cs="Times New Roman"/>
          <w:bCs/>
          <w:sz w:val="24"/>
          <w:highlight w:val="none"/>
        </w:rPr>
      </w:pPr>
      <w:r>
        <w:rPr>
          <w:rFonts w:ascii="Times New Roman" w:hAnsi="Times New Roman" w:eastAsia="宋体" w:cs="Times New Roman"/>
          <w:bCs/>
          <w:sz w:val="24"/>
          <w:highlight w:val="none"/>
        </w:rPr>
        <w:t>②中医辨病辨证依据</w:t>
      </w:r>
      <w:r>
        <w:rPr>
          <w:rFonts w:ascii="Times New Roman" w:hAnsi="Times New Roman" w:eastAsia="宋体" w:cs="Times New Roman"/>
          <w:bCs/>
          <w:sz w:val="24"/>
          <w:highlight w:val="none"/>
        </w:rPr>
        <w:br w:type="textWrapping"/>
      </w:r>
      <w:r>
        <w:rPr>
          <w:rFonts w:ascii="Times New Roman" w:hAnsi="Times New Roman" w:eastAsia="宋体" w:cs="Times New Roman"/>
          <w:color w:val="0000FF"/>
          <w:sz w:val="24"/>
          <w:highlight w:val="none"/>
        </w:rPr>
        <w:t>示例：患者因“未避孕未孕4+年，IVF-ET失败3次”就诊，夫妻性生活正常，双方染色体正常，彩超发现子宫肌瘤，故诊断为不孕症、癥瘕。患者34岁初孕流产后4+年未避孕未孕、又反复IVF-ET失败，有两次胎停流产清宫史，提示脾肾之本不足，冲任胞宫受损，无以结胎、系胎、载胎和养胎；金刃损伤冲任胞宫，离经之血聚而成瘀，加之肝郁气滞，气血运行不畅，积而成块，又渐成癥瘕。就诊时患者已年近六七，肾精气渐虚，生育压力倍增，致情绪焦虑。结合患者舌偏红，苔白微腻，脉弦滑，故病位在肝、脾、肾、冲任、胞宫，辨证为脾肾不足，肝郁血瘀证</w:t>
      </w:r>
      <w:r>
        <w:rPr>
          <w:rFonts w:ascii="Times New Roman" w:hAnsi="Times New Roman" w:eastAsia="宋体" w:cs="Times New Roman"/>
          <w:bCs/>
          <w:sz w:val="24"/>
          <w:highlight w:val="none"/>
        </w:rPr>
        <w:t>。</w:t>
      </w:r>
    </w:p>
    <w:p w14:paraId="46F62F75">
      <w:pPr>
        <w:rPr>
          <w:rFonts w:ascii="Times New Roman" w:hAnsi="Times New Roman" w:eastAsia="宋体" w:cs="Times New Roman"/>
          <w:bCs/>
          <w:sz w:val="24"/>
          <w:highlight w:val="none"/>
        </w:rPr>
      </w:pPr>
    </w:p>
    <w:p w14:paraId="6D87648E">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7E299F9B">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1.中医辨病辨证依据，辨病依据充足，条理清晰；辨证完整，病因病机分析逻辑清晰，辩证结论全面（包含证候、病位）；</w:t>
      </w:r>
    </w:p>
    <w:p w14:paraId="1DDCFF9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2.对诊断不明的写出鉴别诊断并进行分析，鉴别诊断需结合患者具体情况。</w:t>
      </w:r>
    </w:p>
    <w:p w14:paraId="4246D8B7">
      <w:pPr>
        <w:rPr>
          <w:rFonts w:ascii="Times New Roman" w:hAnsi="Times New Roman" w:eastAsia="宋体" w:cs="Times New Roman"/>
          <w:color w:val="FF0000"/>
          <w:highlight w:val="none"/>
        </w:rPr>
      </w:pPr>
    </w:p>
    <w:p w14:paraId="32F4C48A">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5.西医诊断</w:t>
      </w:r>
    </w:p>
    <w:p w14:paraId="7324B6B9">
      <w:pPr>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只写主要疾病诊断，多个疾病请注意主次分明，第一诊断须与中医诊断对应，按示例格式进行排列。</w:t>
      </w:r>
    </w:p>
    <w:p w14:paraId="6282DA2E">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示例：（1）继发性不孕；（2）高胰岛素血症；（3）子宫肌瘤。</w:t>
      </w:r>
    </w:p>
    <w:p w14:paraId="50F90408">
      <w:pPr>
        <w:rPr>
          <w:rFonts w:ascii="Times New Roman" w:hAnsi="Times New Roman" w:eastAsia="宋体" w:cs="Times New Roman"/>
          <w:color w:val="0000FF"/>
          <w:sz w:val="24"/>
          <w:highlight w:val="none"/>
        </w:rPr>
      </w:pPr>
    </w:p>
    <w:p w14:paraId="7C1C8144">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6C98102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1.注意事项：西医疾病名称参照ICD-11，如诊断为多项，注意主次分明，第一诊断须与中医诊断对应；</w:t>
      </w:r>
    </w:p>
    <w:p w14:paraId="20B08B27">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2.诊断精确，如需进行分型、分级、分期，请明确分型、分级、分期。</w:t>
      </w:r>
    </w:p>
    <w:p w14:paraId="2FD708B2">
      <w:pPr>
        <w:rPr>
          <w:rFonts w:ascii="Times New Roman" w:hAnsi="Times New Roman" w:eastAsia="宋体" w:cs="Times New Roman"/>
          <w:color w:val="FF0000"/>
          <w:highlight w:val="none"/>
        </w:rPr>
      </w:pPr>
    </w:p>
    <w:p w14:paraId="677570F9">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西医诊断依据</w:t>
      </w:r>
    </w:p>
    <w:p w14:paraId="1F7BF845">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示例：西医诊断依据</w:t>
      </w:r>
      <w:r>
        <w:rPr>
          <w:rFonts w:hint="eastAsia" w:ascii="Times New Roman" w:hAnsi="Times New Roman" w:eastAsia="宋体" w:cs="Times New Roman"/>
          <w:color w:val="0000FF"/>
          <w:sz w:val="24"/>
          <w:highlight w:val="none"/>
        </w:rPr>
        <w:t>：</w:t>
      </w:r>
      <w:r>
        <w:rPr>
          <w:rFonts w:ascii="Times New Roman" w:hAnsi="Times New Roman" w:eastAsia="宋体" w:cs="Times New Roman"/>
          <w:color w:val="0000FF"/>
          <w:sz w:val="24"/>
          <w:highlight w:val="none"/>
        </w:rPr>
        <w:t>（1）患者未避孕未孕4+年，既往有1次自然妊娠胚胎停育史，1次IVF移植后胚胎停育史；（2）2023年3月胰岛素释放试验提示空腹INS：28.32 μIU/ml↑，0.5h INS： 173.46 μIU/ml↑，1h INS：207.43 μIU/ml↑，2h INS： 125.2 μIU/ml↑，3h INS： 57.71 μIU/ml↑；（3）2019年体检发现子宫肌瘤，2024年彩超再次提示子宫肌瘤。</w:t>
      </w:r>
    </w:p>
    <w:p w14:paraId="71F0338C">
      <w:pPr>
        <w:rPr>
          <w:rFonts w:ascii="Times New Roman" w:hAnsi="Times New Roman" w:eastAsia="宋体" w:cs="Times New Roman"/>
          <w:color w:val="0000FF"/>
          <w:sz w:val="24"/>
          <w:highlight w:val="none"/>
        </w:rPr>
      </w:pPr>
    </w:p>
    <w:p w14:paraId="26F682D0">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5A053044">
      <w:pPr>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简述西医诊断依据及思路。诊断应依据病史、症状、体征、辅助检查等应列出相应的具体临床依据，需保证诊断依据无缺陷。对诊断不明的写出鉴别诊断并进行分析，鉴别诊断需结合患者具体情况。</w:t>
      </w:r>
    </w:p>
    <w:p w14:paraId="14197E37">
      <w:pPr>
        <w:ind w:firstLine="420" w:firstLineChars="200"/>
        <w:rPr>
          <w:rFonts w:ascii="Times New Roman" w:hAnsi="Times New Roman" w:eastAsia="宋体" w:cs="Times New Roman"/>
          <w:color w:val="FF0000"/>
          <w:highlight w:val="none"/>
        </w:rPr>
      </w:pPr>
    </w:p>
    <w:p w14:paraId="310BD1D5">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6.中药</w:t>
      </w:r>
    </w:p>
    <w:p w14:paraId="2D7DA7A8">
      <w:pPr>
        <w:rPr>
          <w:rFonts w:ascii="Times New Roman" w:hAnsi="Times New Roman" w:eastAsia="宋体" w:cs="Times New Roman"/>
          <w:sz w:val="24"/>
          <w:highlight w:val="none"/>
        </w:rPr>
      </w:pPr>
      <w:r>
        <w:rPr>
          <w:rFonts w:ascii="Times New Roman" w:hAnsi="Times New Roman" w:eastAsia="宋体" w:cs="Times New Roman"/>
          <w:sz w:val="24"/>
          <w:highlight w:val="none"/>
        </w:rPr>
        <w:t>中药汤剂、中成药、民族医药等</w:t>
      </w:r>
    </w:p>
    <w:p w14:paraId="48959240">
      <w:pPr>
        <w:ind w:firstLine="420" w:firstLineChars="200"/>
        <w:rPr>
          <w:rFonts w:ascii="Times New Roman" w:hAnsi="Times New Roman" w:eastAsia="宋体" w:cs="Times New Roman"/>
          <w:color w:val="FF0000"/>
          <w:highlight w:val="none"/>
        </w:rPr>
      </w:pPr>
    </w:p>
    <w:p w14:paraId="2D188043">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1FFD4A1B">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方药：</w:t>
      </w:r>
    </w:p>
    <w:p w14:paraId="5310B763">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治法：疏肝健脾，活血通络，益气扶正。</w:t>
      </w:r>
    </w:p>
    <w:p w14:paraId="4358390A">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处方：四逆玉屏风散加减。</w:t>
      </w:r>
    </w:p>
    <w:p w14:paraId="2A9119F0">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用药：醋北柴胡10 g、白芍30 g、麸炒枳壳15 g、甘草片6 g、黄芪15 g、麸炒白术15 g、防风10 g、党参15 g、茯苓15 g、绞股蓝15 g、灵芝10 g、炒白扁豆15 g、丝瓜络15 g、路路通15 g、四制香附15 g、三棱15 g、莪术15 g，共8剂，水煎服，3日2剂，1次150 ml，每日3次。</w:t>
      </w:r>
    </w:p>
    <w:p w14:paraId="1B9CD5D8">
      <w:pPr>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方义：四逆散出自《伤寒论》，柴胡为君药，疏解内郁之肝气，配以白芍，养肝血，柔肝阴，条达肝气；枳壳疏肝理气，与白芍相佐，理气和血，气血同调；使以甘草，调和诸药。玉屏风散出自《究原方》，黄芪补三焦、脾胃之气，白术培脾土以固里，佐以防风周卫全身固护表气，三者犹如御屏之风。魏绍斌教授选用玉屏风散之意，实为考虑患者多次IVF-ET失败，机体脾肾不足，正气受损，故取此方健脾实卫，益气扶正。党参、炒扁豆、绞股蓝益气健脾，灵芝补气安神，以助玉屏风散健脾益气扶正之功。丝瓜络、路路通、三棱、莪术活血通络，以散胞宫胞络之瘀阻，香附疏肝解郁，理气宽中。诸药合用，共奏疏肝健脾，活血通络，益气扶正之效。魏绍斌教授认为患者3次IVF-ET失败，脾肾不足为其本，初诊时患者情绪焦虑，生育压力颇大，以肝气郁结为主要证候表现，恐肝木反克脾土，血不养肝致肾精亏虚更甚，故首诊治疗以疏调肝气、健脾益气为主，使肝气得舒，脾气健运，正气以复，后天以养先天，从而起到肝脾肾三脏同调之效。</w:t>
      </w:r>
    </w:p>
    <w:p w14:paraId="6AC48826">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定坤丹2盒，滋补气血，调经舒郁。1日2次，1次3.5 g。</w:t>
      </w:r>
    </w:p>
    <w:p w14:paraId="10A7FAFD">
      <w:pPr>
        <w:rPr>
          <w:rFonts w:ascii="Times New Roman" w:hAnsi="Times New Roman" w:eastAsia="宋体" w:cs="Times New Roman"/>
          <w:color w:val="0000FF"/>
          <w:sz w:val="24"/>
          <w:highlight w:val="none"/>
        </w:rPr>
      </w:pPr>
    </w:p>
    <w:p w14:paraId="17548604">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20A61395">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1.饮片调制、煎煮的特殊要求用括号标明，如（后下）、（先煎）；对饮片产地、炮制有特殊要求的需标明；</w:t>
      </w:r>
    </w:p>
    <w:p w14:paraId="1E4A0396">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2.需进行理法方药分析，明确君臣佐使配伍思路，包含但不限于处方出处、加减化裁等；</w:t>
      </w:r>
    </w:p>
    <w:p w14:paraId="18785DC6">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3.超大剂量用药需说明；</w:t>
      </w:r>
    </w:p>
    <w:p w14:paraId="5CB224F5">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4.医院制剂需写出药物组成。</w:t>
      </w:r>
    </w:p>
    <w:p w14:paraId="3940B567">
      <w:pPr>
        <w:rPr>
          <w:rFonts w:ascii="Times New Roman" w:hAnsi="Times New Roman" w:eastAsia="宋体" w:cs="Times New Roman"/>
          <w:color w:val="FF0000"/>
          <w:highlight w:val="none"/>
        </w:rPr>
      </w:pPr>
    </w:p>
    <w:p w14:paraId="027C0790">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7.非药物疗法</w:t>
      </w:r>
    </w:p>
    <w:p w14:paraId="6B3ADC4D">
      <w:pPr>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针刺类技术、推拿类技术、刮痧类技术、拔罐类技术、灸类技术、敷熨熏浴类技术。</w:t>
      </w:r>
    </w:p>
    <w:p w14:paraId="4C2270A2">
      <w:pPr>
        <w:ind w:firstLine="480" w:firstLineChars="200"/>
        <w:rPr>
          <w:rFonts w:ascii="Times New Roman" w:hAnsi="Times New Roman" w:eastAsia="宋体" w:cs="Times New Roman"/>
          <w:sz w:val="24"/>
          <w:highlight w:val="none"/>
        </w:rPr>
      </w:pPr>
    </w:p>
    <w:p w14:paraId="6047CE97">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w:t>
      </w:r>
    </w:p>
    <w:p w14:paraId="3DCD6B98">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选穴：描述所选用的穴位。</w:t>
      </w:r>
    </w:p>
    <w:p w14:paraId="0CA57FE9">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操作要点：包含穴位、手法，每次治疗时间和频次、针感等。</w:t>
      </w:r>
    </w:p>
    <w:p w14:paraId="4428D161">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选穴思路：阐述穴位选择依据及思路。</w:t>
      </w:r>
    </w:p>
    <w:p w14:paraId="6CF557DE">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（1）耳针</w:t>
      </w:r>
    </w:p>
    <w:p w14:paraId="1B38D37D">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治法：健脾疏肝补肾</w:t>
      </w:r>
    </w:p>
    <w:p w14:paraId="6E16355A">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选穴：肝、脾、肾、子宫、卵巢、内分泌。</w:t>
      </w:r>
    </w:p>
    <w:p w14:paraId="6509C0D1">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操作要点：选用中药王不留行籽贴压，每天按压穴位2~3次，每次1~2分钟，以加强局部刺激，增强治疗效果。</w:t>
      </w:r>
    </w:p>
    <w:p w14:paraId="42370D55">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选穴思路：选用肝、脾、肾三穴以三脏同调，子宫、卵巢、内分泌改善整体卵巢、子宫功能。</w:t>
      </w:r>
    </w:p>
    <w:p w14:paraId="550755F0">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（2）穴位贴敷</w:t>
      </w:r>
    </w:p>
    <w:p w14:paraId="1578ACC9">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治法：补肾健脾</w:t>
      </w:r>
    </w:p>
    <w:p w14:paraId="51895144">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选穴：双肾俞、双足三里、中脘、关元。</w:t>
      </w:r>
    </w:p>
    <w:p w14:paraId="1BFF8B07">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操作要点：按取穴方法准确选取对应穴位，常规消毒取穴部位皮肤，取适量补肾健脾药物研粉调制成膏状，置于大小合适的空白穴位贴上，贴敷于相应穴位。每日1次，每次贴敷4~6小时。</w:t>
      </w:r>
    </w:p>
    <w:p w14:paraId="35853F8B">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选穴思路：选取肾俞补肾益精、蓄养冲任；双足三里、中脘扶正培元，补脏腑之虚损，调节脾胃功能；关元穴为肝脾肾三阴经与任脉之会，可补肾益精，调理三阴。</w:t>
      </w:r>
    </w:p>
    <w:p w14:paraId="53E39395">
      <w:pPr>
        <w:rPr>
          <w:rFonts w:ascii="Times New Roman" w:hAnsi="Times New Roman" w:eastAsia="宋体" w:cs="Times New Roman"/>
          <w:color w:val="0000FF"/>
          <w:sz w:val="24"/>
          <w:highlight w:val="none"/>
        </w:rPr>
      </w:pPr>
    </w:p>
    <w:p w14:paraId="5CA19E08">
      <w:pPr>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要点须知：</w:t>
      </w:r>
    </w:p>
    <w:p w14:paraId="3F38901E">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1.非药物疗法要详细描述其操作的具体过程；</w:t>
      </w:r>
    </w:p>
    <w:p w14:paraId="77FDA85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2.明确中医技术名称、治则治法、取穴（施治）部位，并对中医技术进行分析；</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3.针刺类技术包括：毫针技术、头针技术、耳针技术、腹针技术、眼针技术、手针技术、腕踝针技术、三棱针技术、皮内针技术、火针技术、皮肤针技术、芒针技术、鍉针技术、穴位注射技术、埋线技术、平衡针技术、醒脑开窍技术、靳三针技术、电针技术、贺氏三通技术、浮针技术等；</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4.推拿类技术包括皮部经筋推拿技术、脏腑推拿技术、关节运动推拿技术、关节调整推拿技术、经穴推拿技术、导引技术、小儿推拿技术、器械辅助推拿技术、膏摩技术等；</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5.刮痧类技术包括刮痧技术、放痧技术、撮痧技术、砭石治疗技术等；</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6.拔罐类技术包括拔罐（留罐、闪罐、走罐）技术、药罐技术、刺络拔罐技术、针罐技术等；7.灸类技术包括麦粒灸技术、隔物灸技术、悬灸技术、三伏天灸技术、温针灸技术、热敏灸技术、雷火灸技术等；</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8.敷熨熏浴类技术包括穴位敷贴技术、中药热熨敷技术、中药冷敷技术、中药湿热敷技术、中药熏蒸技术、中药泡洗技术、中药淋洗技术等。</w:t>
      </w:r>
    </w:p>
    <w:p w14:paraId="5930CCFA">
      <w:pPr>
        <w:rPr>
          <w:rFonts w:ascii="Times New Roman" w:hAnsi="Times New Roman" w:eastAsia="宋体" w:cs="Times New Roman"/>
          <w:color w:val="FF0000"/>
          <w:highlight w:val="none"/>
        </w:rPr>
      </w:pPr>
    </w:p>
    <w:p w14:paraId="403480E4">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8.其他治疗</w:t>
      </w:r>
    </w:p>
    <w:p w14:paraId="39417E26">
      <w:pPr>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包括验方/预防调养方法/西医治疗/或者联合手段。</w:t>
      </w:r>
    </w:p>
    <w:p w14:paraId="2091510C">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示例：患者就诊时情绪焦虑，生育压力大，且伴失眠，魏绍斌教授在予患者中医药内服外治的同时，耐心疏导其不良情绪，悉心指导患者在中医药调治过程中可尝试自然受孕，体现了身心同调的诊治策略。</w:t>
      </w:r>
    </w:p>
    <w:p w14:paraId="01DEF9A7">
      <w:pPr>
        <w:rPr>
          <w:rFonts w:ascii="Times New Roman" w:hAnsi="Times New Roman" w:eastAsia="宋体" w:cs="Times New Roman"/>
          <w:color w:val="0000FF"/>
          <w:sz w:val="24"/>
          <w:highlight w:val="none"/>
        </w:rPr>
      </w:pPr>
    </w:p>
    <w:p w14:paraId="621C294C">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6D693A33">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1.除中药、非药物疗法外的其他治疗必须按要求记录；</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2.需有具体治疗措施，列出治疗方案，包括具体药物和用药剂量或者方法、疗程、途径等；</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3.西药尽量使用通用名或化学名，请注明生产厂家，国药准字；</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4.其他治疗包含膳食、情志等。</w:t>
      </w:r>
    </w:p>
    <w:p w14:paraId="78EAB574">
      <w:pPr>
        <w:rPr>
          <w:rFonts w:ascii="Times New Roman" w:hAnsi="Times New Roman" w:eastAsia="宋体" w:cs="Times New Roman"/>
          <w:color w:val="FF0000"/>
          <w:highlight w:val="none"/>
        </w:rPr>
      </w:pPr>
    </w:p>
    <w:p w14:paraId="5F4017F4">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9.拟行检查/检验项目的具体名称和目的</w:t>
      </w:r>
    </w:p>
    <w:p w14:paraId="38E3CC60">
      <w:pPr>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示例：建议行免疫相关检查并复查甲状腺功能以评估影响受孕及妊娠结局的潜在因素。</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ascii="Times New Roman" w:hAnsi="Times New Roman" w:eastAsia="宋体" w:cs="Times New Roman"/>
          <w:b/>
          <w:bCs/>
          <w:sz w:val="24"/>
          <w:highlight w:val="none"/>
        </w:rPr>
        <w:t>10.随诊要求、注意事项</w:t>
      </w:r>
      <w:r>
        <w:rPr>
          <w:rFonts w:ascii="Times New Roman" w:hAnsi="Times New Roman" w:eastAsia="宋体" w:cs="Times New Roman"/>
          <w:b/>
          <w:bCs/>
          <w:sz w:val="24"/>
          <w:highlight w:val="none"/>
        </w:rPr>
        <w:br w:type="textWrapping"/>
      </w:r>
      <w:r>
        <w:rPr>
          <w:rFonts w:ascii="Times New Roman" w:hAnsi="Times New Roman" w:eastAsia="宋体" w:cs="Times New Roman"/>
          <w:color w:val="0000FF"/>
          <w:sz w:val="24"/>
          <w:highlight w:val="none"/>
        </w:rPr>
        <w:t>示例：因现为流产清宫术后2-月，建议暂时严格避孕。</w:t>
      </w:r>
    </w:p>
    <w:p w14:paraId="16244576">
      <w:pPr>
        <w:rPr>
          <w:rFonts w:ascii="Times New Roman" w:hAnsi="Times New Roman" w:eastAsia="宋体" w:cs="Times New Roman"/>
          <w:color w:val="0000FF"/>
          <w:sz w:val="24"/>
          <w:highlight w:val="none"/>
        </w:rPr>
      </w:pPr>
    </w:p>
    <w:p w14:paraId="08897765">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二、二诊</w:t>
      </w:r>
    </w:p>
    <w:p w14:paraId="1CB601A9">
      <w:pPr>
        <w:ind w:left="-420" w:leftChars="-200" w:firstLine="480" w:firstLineChars="200"/>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二诊（xxxx年xx月xx日）</w:t>
      </w:r>
    </w:p>
    <w:p w14:paraId="0D6A6B11">
      <w:pPr>
        <w:ind w:left="-420" w:leftChars="-20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描述首诊后病情变化及方案调整，写明每次干预后病情变化要点、临证思维过程和方案如何调整等。</w:t>
      </w:r>
    </w:p>
    <w:p w14:paraId="469A2745">
      <w:pPr>
        <w:ind w:left="-420" w:leftChars="-200" w:firstLine="480" w:firstLineChars="200"/>
        <w:rPr>
          <w:rFonts w:ascii="Times New Roman" w:hAnsi="Times New Roman" w:eastAsia="宋体" w:cs="Times New Roman"/>
          <w:color w:val="000000" w:themeColor="text1"/>
          <w:sz w:val="24"/>
          <w:highlight w:val="none"/>
          <w14:textFill>
            <w14:solidFill>
              <w14:schemeClr w14:val="tx1"/>
            </w14:solidFill>
          </w14:textFill>
        </w:rPr>
      </w:pPr>
    </w:p>
    <w:p w14:paraId="22E14F78">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二诊（2024年03月09日）：刻下症：现月经周期第18天，LMP：2024年02月21日，7天净，量偏多，色红，少块，小腹胀痛可忍，余无特殊。情绪焦虑好转，纳眠可，二便调，舌偏红，苔白微腻，脉滑。患者末次IVF-ET胚胎停育清宫术后已3-月，建议患者开始备孕，尝试自然妊娠。现为经前期，治以补肾健脾，调经助孕，予四子四君子汤加减：盐大菟丝子15 g、盐覆盆子15 g、枸杞子15 g、桑椹15 g、太子参20 g、麸炒白术15 g、山药15 g、炙黄芪15 g、制黄精15 g、干石斛15 g、山萸肉15 g、白芍15 g、陈皮15 g、茯苓15 g、百合15 g、盐巴戟天15 g，共8剂，煎服法同前。另予叶酸片，1次1片，1日1次，口服。耳针、穴位贴敷补肾健脾。四子为《丹溪心法》五子衍宗丸化裁而来，魏绍斌教授常去酸敛收涩之五味子和甘寒滑利之车前子，同时加桑椹以滋阴益肾组成四子方，共奏补肾益精之效。四君子汤健脾益气，加巴戟天温肾助阳，黄精、石斛健脾益气养阴，陈皮理气行滞，防补益药之滋腻，百合清心宁神。嘱患者月经应期未至查尿HCG。</w:t>
      </w:r>
    </w:p>
    <w:p w14:paraId="38B27A6C">
      <w:pPr>
        <w:ind w:left="-420" w:leftChars="-200" w:firstLine="480" w:firstLineChars="200"/>
        <w:rPr>
          <w:rFonts w:ascii="Times New Roman" w:hAnsi="Times New Roman" w:eastAsia="宋体" w:cs="Times New Roman"/>
          <w:color w:val="0000FF"/>
          <w:sz w:val="24"/>
          <w:highlight w:val="none"/>
        </w:rPr>
      </w:pPr>
    </w:p>
    <w:p w14:paraId="320F542E">
      <w:pPr>
        <w:ind w:left="-420" w:leftChars="-200"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111D457A">
      <w:pPr>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中医详细描述舌象（可附带图片）、脉象，西医提供关键理化指标。关键要素撰写可参考首诊规范。如有描述经治疗后患者病情最后结局，可提供真实、客观的疗效证据，如国际公认的疗效评价指标等。</w:t>
      </w:r>
    </w:p>
    <w:p w14:paraId="2AFF07DA">
      <w:pPr>
        <w:ind w:left="-420" w:leftChars="-200" w:firstLine="480" w:firstLineChars="200"/>
        <w:rPr>
          <w:rFonts w:ascii="Times New Roman" w:hAnsi="Times New Roman" w:eastAsia="宋体" w:cs="Times New Roman"/>
          <w:color w:val="000000" w:themeColor="text1"/>
          <w:sz w:val="24"/>
          <w:highlight w:val="none"/>
          <w14:textFill>
            <w14:solidFill>
              <w14:schemeClr w14:val="tx1"/>
            </w14:solidFill>
          </w14:textFill>
        </w:rPr>
      </w:pPr>
    </w:p>
    <w:p w14:paraId="14DD0852">
      <w:pPr>
        <w:numPr>
          <w:ilvl w:val="0"/>
          <w:numId w:val="1"/>
        </w:num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三诊</w:t>
      </w:r>
    </w:p>
    <w:p w14:paraId="7E94E842">
      <w:pPr>
        <w:ind w:left="-420" w:leftChars="-200" w:firstLine="480" w:firstLineChars="200"/>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三诊（xxxx年xx月xx日）</w:t>
      </w:r>
    </w:p>
    <w:p w14:paraId="319F2E34">
      <w:pPr>
        <w:ind w:left="-420" w:leftChars="-200"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描述二诊后病情变化及方案调整，余同二诊。</w:t>
      </w:r>
    </w:p>
    <w:p w14:paraId="42BC4F0A">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FF"/>
          <w:sz w:val="24"/>
          <w:highlight w:val="none"/>
        </w:rPr>
        <w:t>示例：三诊（2024年04月25日）：刻下症：现月经周期第7天，LMP：2024年04月19日，5天净，量中，色红，多块，稍痛经，小腹胀痛。神疲乏力，情绪焦虑好转，纳眠可，二便调，舌暗红，苔薄白，脉弦滑。辅助检查：（2024-03-19四川大学华西第二医院）胰岛素释放试验：0.5h INS：162.68 μIU/mL↑；1h INS：123.03 μIU/mL↑；2h INS：203.92 μIU/mL↑；OGTT：2h血糖：8.99 mmol/L↑，余正常；维生素D：13.7 ng/mL↓；狼疮抗凝物检测：LAI：39.6↑；自身免疫抗体谱、抗精子抗体、抗子宫内膜抗体、</w:t>
      </w:r>
      <w:r>
        <w:rPr>
          <w:rFonts w:ascii="Times New Roman" w:hAnsi="Times New Roman" w:eastAsia="宋体" w:cs="Times New Roman"/>
          <w:i/>
          <w:iCs/>
          <w:color w:val="0000FF"/>
          <w:sz w:val="24"/>
          <w:highlight w:val="none"/>
        </w:rPr>
        <w:t>D</w:t>
      </w:r>
      <w:r>
        <w:rPr>
          <w:rFonts w:ascii="Times New Roman" w:hAnsi="Times New Roman" w:eastAsia="宋体" w:cs="Times New Roman"/>
          <w:color w:val="0000FF"/>
          <w:sz w:val="24"/>
          <w:highlight w:val="none"/>
        </w:rPr>
        <w:t>二聚体、同型半胱氨酸未见异常。补充诊断：血栓前状态。中医辨证为脾肾不足，肝郁血瘀证，此时为经后期，治以补肾健脾益气，疏肝活血通络，予四子四君玉屏风散加疏肝活血通络之品：盐大菟丝子15 g、盐覆盆子15 g、枸杞子15 g、桑椹15 g、党参15 g、麸炒白术15 g、茯苓15 g、炙甘草5 g、黄芪20 g、防风10 g、丝瓜络15 g、路路通15 g、鸡血藤15 g、灵芝10 g、陈皮15g、四制香附15 g，共8剂，煎服法同前。嘱患者继服二甲双胍，继予耳针、穴位贴敷治疗。嘱咐患者监测卵泡等。</w:t>
      </w:r>
    </w:p>
    <w:p w14:paraId="4D311DC8">
      <w:pPr>
        <w:ind w:left="-420" w:leftChars="-200" w:firstLine="480" w:firstLineChars="200"/>
        <w:rPr>
          <w:rFonts w:ascii="Times New Roman" w:hAnsi="Times New Roman" w:eastAsia="宋体" w:cs="Times New Roman"/>
          <w:color w:val="0000FF"/>
          <w:sz w:val="24"/>
          <w:highlight w:val="none"/>
        </w:rPr>
      </w:pPr>
    </w:p>
    <w:p w14:paraId="705051C1">
      <w:pPr>
        <w:ind w:left="-420" w:leftChars="-200"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545D399F">
      <w:pPr>
        <w:ind w:left="-420" w:leftChars="-200"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关键要素撰写可参考首诊规范。如有描述经治疗后患者病情最后结局，可提供真实、客观的疗效证据，如国际公认的疗效评价指标等。</w:t>
      </w:r>
    </w:p>
    <w:p w14:paraId="177860CE">
      <w:pPr>
        <w:ind w:left="-420" w:leftChars="-200" w:firstLine="420" w:firstLineChars="200"/>
        <w:rPr>
          <w:rFonts w:ascii="Times New Roman" w:hAnsi="Times New Roman" w:eastAsia="宋体" w:cs="Times New Roman"/>
          <w:color w:val="FF0000"/>
          <w:highlight w:val="none"/>
        </w:rPr>
      </w:pPr>
    </w:p>
    <w:p w14:paraId="002682BA">
      <w:pPr>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四、（如涉及第四诊或者第五诊等多次诊断的以此类推）</w:t>
      </w:r>
      <w:r>
        <w:rPr>
          <w:rFonts w:ascii="Times New Roman" w:hAnsi="Times New Roman" w:eastAsia="宋体" w:cs="Times New Roman"/>
          <w:b/>
          <w:bCs/>
          <w:sz w:val="24"/>
          <w:highlight w:val="none"/>
        </w:rPr>
        <w:br w:type="textWrapping"/>
      </w:r>
    </w:p>
    <w:p w14:paraId="6071BC69">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b/>
          <w:bCs/>
          <w:sz w:val="24"/>
          <w:highlight w:val="none"/>
        </w:rPr>
        <w:t>五、疗效转归</w:t>
      </w:r>
      <w:r>
        <w:rPr>
          <w:rFonts w:ascii="Times New Roman" w:hAnsi="Times New Roman" w:eastAsia="宋体" w:cs="Times New Roman"/>
          <w:b/>
          <w:bCs/>
          <w:sz w:val="24"/>
          <w:highlight w:val="none"/>
        </w:rPr>
        <w:br w:type="textWrapping"/>
      </w:r>
      <w:r>
        <w:rPr>
          <w:rFonts w:ascii="Times New Roman" w:hAnsi="Times New Roman" w:eastAsia="宋体" w:cs="Times New Roman"/>
          <w:sz w:val="24"/>
          <w:highlight w:val="none"/>
        </w:rPr>
        <w:t>描述各治疗过程中病情变化要点及方案调整情况。</w:t>
      </w:r>
      <w:r>
        <w:rPr>
          <w:rFonts w:ascii="Times New Roman" w:hAnsi="Times New Roman" w:eastAsia="宋体" w:cs="Times New Roman"/>
          <w:sz w:val="24"/>
          <w:highlight w:val="none"/>
        </w:rPr>
        <w:br w:type="textWrapping"/>
      </w:r>
      <w:r>
        <w:rPr>
          <w:rFonts w:ascii="Times New Roman" w:hAnsi="Times New Roman" w:eastAsia="宋体" w:cs="Times New Roman"/>
          <w:color w:val="0000FF"/>
          <w:sz w:val="24"/>
          <w:highlight w:val="none"/>
        </w:rPr>
        <w:t>示例：本患者老年男性，以胸闷、喘憋为主症，早期劳累后胸闷气短，随着病情发展心悸频发，夜间不能平卧，超声心动图（UCG）提示左室壁运动普遍减低，左心扩大、右房扩大、二、三尖瓣轻度返流、左室收缩功能减低（LVEF：37%），符合中医心衰病范畴，冠脉造影除外冠心病导致心衰，根据病史及UCG除外高血压、心脏瓣膜病、先天性心脏病等，故考虑心衰病因是扩张型心肌病（DCM），DCM以心室扩大和收缩功能障碍为特征，导致心输出量降低、心室充盈压升高，进而引发心衰症状。本例患者LVEF显著降低至37%、NT-proBNP升高（5 870~6 328 pg/mL）及房颤，均符合DCM进展为心衰的典型表现。经入院规范化抗心衰治疗后症状有所缓解，但仍存明显喘憋、乏力、自汗、纳差、便溏等心脾两虚、宗气下陷之证，遂来门诊就诊。</w:t>
      </w:r>
    </w:p>
    <w:p w14:paraId="0655F3BF">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综合四诊信息患者活动后胸闷憋气，夜间尤重，易憋醒，不能平卧，伴有乏力、多汗，纳差，大便不成形，考虑辨证为心脾两虚证，宗气下陷。心主血脉，心主神明、汗为心之液。由于心气虚衰，心动无力，气血运行不畅则见气短、乏力、心悸、胸闷憋气，不能平卧。气虚腠理不固，心液外泄故见多汗。脾胃为营卫气血生化之源，脾胃气虚，纳运乏力，故见饮食减少，大便稀溏，四肢乏力。舌暗脉沉细均为患者心脾气虚，宗气下陷之证。故首诊治疗原则为：益气升阳、养阴敛汗。以补中益气汤合生脉散加减。</w:t>
      </w:r>
    </w:p>
    <w:p w14:paraId="2A74A1F5">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方中生芪、炒白术、党参补益心肺脾胃之气，发挥补益中气、益气固表止汗之功，陈皮既可助参、芪补气之力又可防补气之药过于壅塞，正如清罗美《古今名医方论》：“凡脾胃一虚，肺气先绝，故用黄芪护皮毛而闭腠理，不令自汗；元气不足，懒言气喘，人参以补之；佐白术以健脾；当归以和血；气乱于胸，清浊相干，用陈皮以理之，且以散诸甘药之滞，此用药有相须之妙也。”升麻、柴胡、桔梗、苏子四药有升有降，调节人体气机之循环，一方面协助补气药物上升，同时又可引药物入于下焦，山萸肉、煅龙骨、煅牡蛎补益肝肾、收敛固涩、重镇降逆引药物入下焦培补肾中之阳气，乃是顾护肾阳之表现，麦冬、五味子、山药滋补津液、敛阴止汗、补益脾胃，防风固表止汗蕴含玉屏风散之意。同时合生脉散如明代名医吴崑所说：本方“一补、一清、一敛，养气之道备矣。名曰生脉，以脉得气则充，失气则弱”。</w:t>
      </w:r>
    </w:p>
    <w:p w14:paraId="5775F6FD">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二诊患者气虚之证仍在，加大益气养阴补肾之黄芪、麦冬、山萸肉的剂量，针对患者舌苔水滑等痰湿之象，加用前胡降气化痰，葛根升发清阳，鼓舞胃气上行，以绝生痰之源，同时前胡、葛根一升一降亦蕴含调节气机升降之意。</w:t>
      </w:r>
    </w:p>
    <w:p w14:paraId="63913095">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两年后复诊活动耐量已恢复正常，症状消失，继以益气健脾大法巩固治疗，方中生黄芪从30g渐增至100 g，与防风并用，扶正气、升清阳，加一味白术，为玉屏风散，可用于表虚自汗，以及虚人易感风邪者；四君子汤参苓白术健脾补气，同时考虑气虚日久必损心阳，脾肾阳虚，故后加用温补肾阳之附子、淫羊藿、更用涩肠收敛的赤石脂、芡实，兼顾心脾肾诸脏。</w:t>
      </w:r>
    </w:p>
    <w:p w14:paraId="5401BAD0">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气行则血行，气虚则血滞。心衰病血瘀贯穿始终，患者舌暗胸闷为血瘀之象，但患者因房颤长期服用利伐沙班，考虑中药活血化瘀之品与西药同用避免出血倾向，故没有用破血的三棱莪术，配有三七粉、降香、红景天、仙鹤草等比较温和的活血祛瘀之品。</w:t>
      </w:r>
    </w:p>
    <w:p w14:paraId="6168B2F9">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“气、血、水”为中医心衰的基本病机，患者虽然水肿不明显，但从中医理论考虑，加强了健脾利水，茯苓用到30 g。</w:t>
      </w:r>
    </w:p>
    <w:p w14:paraId="08A6EC80">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历经3年余规律的门诊治疗后，喘憋、乏力、气短等症状消失，运动耐量较前明显增加，生活如常人。超声心动图显示左室舒张径、左室收缩径、左室短轴缩短率较前明显缩小，心脏结构逆转，左室舒张径（60 mm→51 mm）和LVEF提升（37%→63%）表明，中医治疗可能通过改善心肌能量代谢（益气）和减轻纤维化（活血）发挥作用，从而显著改善心脏功能，提升了患者的生活质量。</w:t>
      </w:r>
    </w:p>
    <w:p w14:paraId="06CBAF83">
      <w:pPr>
        <w:ind w:left="-420" w:leftChars="-200" w:firstLine="420" w:firstLineChars="200"/>
        <w:jc w:val="center"/>
        <w:rPr>
          <w:rFonts w:ascii="Times New Roman" w:hAnsi="Times New Roman" w:eastAsia="宋体" w:cs="Times New Roman"/>
          <w:color w:val="0000FF"/>
          <w:sz w:val="24"/>
          <w:highlight w:val="none"/>
        </w:rPr>
      </w:pPr>
      <w:r>
        <w:rPr>
          <w:rFonts w:ascii="Times New Roman" w:hAnsi="Times New Roman" w:eastAsia="宋体" w:cs="Times New Roman"/>
          <w:highlight w:val="none"/>
        </w:rPr>
        <w:drawing>
          <wp:inline distT="0" distB="0" distL="114300" distR="114300">
            <wp:extent cx="4424680" cy="2300605"/>
            <wp:effectExtent l="0" t="0" r="13970" b="4445"/>
            <wp:docPr id="2" name="图片 2" descr="企业微信截图_1758456137556"/>
            <wp:cNvGraphicFramePr/>
            <a:graphic xmlns:a="http://schemas.openxmlformats.org/drawingml/2006/main">
              <a:graphicData uri="http://schemas.openxmlformats.org/drawingml/2006/picture">
                <pic:pic xmlns:pic="http://schemas.openxmlformats.org/drawingml/2006/picture">
                  <pic:nvPicPr>
                    <pic:cNvPr id="2" name="图片 2" descr="企业微信截图_1758456137556"/>
                    <pic:cNvPicPr/>
                  </pic:nvPicPr>
                  <pic:blipFill>
                    <a:blip r:embed="rId4"/>
                    <a:srcRect/>
                    <a:stretch>
                      <a:fillRect/>
                    </a:stretch>
                  </pic:blipFill>
                  <pic:spPr>
                    <a:xfrm>
                      <a:off x="0" y="0"/>
                      <a:ext cx="4424680" cy="2300605"/>
                    </a:xfrm>
                    <a:prstGeom prst="rect">
                      <a:avLst/>
                    </a:prstGeom>
                    <a:noFill/>
                    <a:ln>
                      <a:noFill/>
                    </a:ln>
                    <a:effectLst/>
                  </pic:spPr>
                </pic:pic>
              </a:graphicData>
            </a:graphic>
          </wp:inline>
        </w:drawing>
      </w:r>
    </w:p>
    <w:p w14:paraId="4F18F33B">
      <w:pPr>
        <w:ind w:left="-420" w:leftChars="-200" w:firstLine="480" w:firstLineChars="200"/>
        <w:rPr>
          <w:rFonts w:ascii="Times New Roman" w:hAnsi="Times New Roman" w:eastAsia="宋体" w:cs="Times New Roman"/>
          <w:color w:val="0000FF"/>
          <w:sz w:val="24"/>
          <w:highlight w:val="none"/>
        </w:rPr>
      </w:pPr>
    </w:p>
    <w:p w14:paraId="0B37F295">
      <w:pPr>
        <w:ind w:left="-420" w:leftChars="-200"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7C61F0ED">
      <w:pPr>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1.医案的疗效评价指标、安全性评价指标等核心信息建议参考最新的相关标准（国家标准、行业标准、中华中医药学会团体标准以及专家共识均可）或权威教材，并注明出处；</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2.鼓励构建符合中医药特点的临床疗效评价体系。鼓励患者可量化的自我评价指标。鼓励采用国际公认的疗效评价指标；</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3.首选国际通用金标准。其次行业标准。再次专家共识。亦可自拟经信效度验证的量表，如证候积分、症状缓解率、第三方随访（非医生本人）患者评价满意度等，量表均需经信效度验证；</w:t>
      </w:r>
    </w:p>
    <w:p w14:paraId="5464BA25">
      <w:pPr>
        <w:ind w:left="-420" w:leftChars="-200"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4.有可以体现疗效转归的客观证据，如四诊信息、辅助检查等照片和数据支持。</w:t>
      </w:r>
      <w:r>
        <w:rPr>
          <w:rFonts w:ascii="Times New Roman" w:hAnsi="Times New Roman" w:eastAsia="宋体" w:cs="Times New Roman"/>
          <w:color w:val="FF0000"/>
          <w:highlight w:val="none"/>
        </w:rPr>
        <w:br w:type="textWrapping"/>
      </w:r>
    </w:p>
    <w:p w14:paraId="3745F5A2">
      <w:pPr>
        <w:ind w:left="-420" w:leftChars="-200" w:firstLine="480" w:firstLineChars="200"/>
        <w:jc w:val="center"/>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临证体会</w:t>
      </w:r>
      <w:r>
        <w:rPr>
          <w:rFonts w:ascii="Times New Roman" w:hAnsi="Times New Roman" w:eastAsia="宋体" w:cs="Times New Roman"/>
          <w:b/>
          <w:kern w:val="0"/>
          <w:sz w:val="24"/>
          <w:highlight w:val="none"/>
        </w:rPr>
        <w:br w:type="textWrapping"/>
      </w:r>
    </w:p>
    <w:p w14:paraId="11ED19AD">
      <w:pPr>
        <w:ind w:left="-420" w:leftChars="-200" w:firstLine="480" w:firstLineChars="200"/>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①应包括对类似已发表案例的简要回顾，如果未见报道的病例需要补充鉴别诊断的讨论。</w:t>
      </w:r>
    </w:p>
    <w:p w14:paraId="4FFEC2CF">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示例：近年来不孕不育患病率逐年上升，全球不孕不育率约为17.8%，中国不孕不育夫妻人数在2020年达5050万。在此背景下，辅助生殖技术（Assisted reproductive technology，ART）在不孕症的治疗中取得了显著进展，每年辅助生殖周期超过100-130万以上，但由于引起不孕症的病因错综复杂，ART总体成功率并不理想。我国2019年ART数据统计显示，在寻求ART的不孕女性中有28.61%为35岁以上，其中有8.18%为38~40岁。女性年龄是影响生育力及妊娠结局的独立危险因素，也与辅助生殖妊娠结局明确相关。高龄女性因其卵母细胞质量受损，表现为胚胎染色体非整倍体发生率增加，且同样面临不孕、高流产率、低活产率、不良出生结局等严峻现状。不仅如此，影响生育的妇科疾病如子宫肌瘤、子宫内膜病变和内分泌、免疫系统疾病等发病率亦随年龄增长而升高。因此，如何提高女性生育能力，特别是针对高龄不孕女性助孕策略，根据影响不孕的诸多因素，制定个体化治疗方案，改善妊娠结局，成为目前妇科领域亟待解决的难点问题。</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hint="eastAsia" w:ascii="Times New Roman" w:hAnsi="Times New Roman" w:eastAsia="宋体" w:cs="Times New Roman"/>
          <w:color w:val="0000FF"/>
          <w:sz w:val="24"/>
          <w:highlight w:val="none"/>
        </w:rPr>
        <w:t xml:space="preserve">    </w:t>
      </w:r>
      <w:r>
        <w:rPr>
          <w:rFonts w:ascii="Times New Roman" w:hAnsi="Times New Roman" w:eastAsia="宋体" w:cs="Times New Roman"/>
          <w:bCs/>
          <w:kern w:val="0"/>
          <w:sz w:val="24"/>
          <w:highlight w:val="none"/>
        </w:rPr>
        <w:t>②在讨论里着重围绕本病例的诊治难点是什么。本病西医治疗的瓶颈。</w:t>
      </w:r>
      <w:r>
        <w:rPr>
          <w:rFonts w:ascii="Times New Roman" w:hAnsi="Times New Roman" w:eastAsia="宋体" w:cs="Times New Roman"/>
          <w:bCs/>
          <w:kern w:val="0"/>
          <w:sz w:val="24"/>
          <w:highlight w:val="none"/>
        </w:rPr>
        <w:br w:type="textWrapping"/>
      </w:r>
      <w:r>
        <w:rPr>
          <w:rFonts w:ascii="Times New Roman" w:hAnsi="Times New Roman" w:eastAsia="宋体" w:cs="Times New Roman"/>
          <w:bCs/>
          <w:kern w:val="0"/>
          <w:sz w:val="24"/>
          <w:highlight w:val="none"/>
        </w:rPr>
        <w:t xml:space="preserve">    </w:t>
      </w:r>
      <w:r>
        <w:rPr>
          <w:rFonts w:ascii="Times New Roman" w:hAnsi="Times New Roman" w:eastAsia="宋体" w:cs="Times New Roman"/>
          <w:color w:val="0000FF"/>
          <w:sz w:val="24"/>
          <w:highlight w:val="none"/>
        </w:rPr>
        <w:t>示例：魏绍斌教授认为本案例治疗难点有三：一为高龄不孕女性，虽月经规律来潮、生殖激素正常，但卵母细胞质量下降，胚胎染色体非整倍体的发生率增高，且孕后多有黄体功能不足，囊胚与子宫内膜发育不同步，难以着床发育，从而导致胚胎种植失败、流产或复发性流产。二为免疫因素，母体免疫学异常是反复IVF-ET失败的病因之一，本案例患者合并狼疮抗凝物阳性，可能会损伤母-胎界面内皮细胞，形成局部微血栓，增加流产风险，导致不良妊娠结局。三为高胰岛素血症和亚临床甲状腺功能减退，前者不仅会降低子宫糖基化蛋白，导致子宫内膜能量稳态失衡，同时亦损伤血管内皮，减少一氧化氮的产生导致血管收缩，从而影响胚胎植入和妊娠维持；后者可增加育龄期女性不孕发生率，亦是导致不良妊娠结局的重要影响因素。西医主要予以黄体支持、改善子宫内膜容受性、改善血栓前状态、纠正免疫紊乱等治疗措施，部分患者可能获得成功妊娠，但若合并诸多影响不孕的因素，如不孕年限、高龄、内分泌疾病、免疫失调等，则难以提高胚胎种植率和活产率。</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hint="eastAsia" w:ascii="Times New Roman" w:hAnsi="Times New Roman" w:eastAsia="宋体" w:cs="Times New Roman"/>
          <w:color w:val="0000FF"/>
          <w:sz w:val="24"/>
          <w:highlight w:val="none"/>
        </w:rPr>
        <w:t xml:space="preserve">    </w:t>
      </w:r>
      <w:r>
        <w:rPr>
          <w:rFonts w:ascii="Times New Roman" w:hAnsi="Times New Roman" w:eastAsia="宋体" w:cs="Times New Roman"/>
          <w:color w:val="000000" w:themeColor="text1"/>
          <w:sz w:val="24"/>
          <w:highlight w:val="none"/>
          <w14:textFill>
            <w14:solidFill>
              <w14:schemeClr w14:val="tx1"/>
            </w14:solidFill>
          </w14:textFill>
        </w:rPr>
        <w:t>③与同类案例或临床研究进行比较分析，既往案例的学习过程，学术传承路径，提炼本治疗方案的优势。</w:t>
      </w: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00" w:themeColor="text1"/>
          <w:sz w:val="24"/>
          <w:highlight w:val="none"/>
          <w14:textFill>
            <w14:solidFill>
              <w14:schemeClr w14:val="tx1"/>
            </w14:solidFill>
          </w14:textFill>
        </w:rPr>
        <w:t xml:space="preserve">    </w:t>
      </w:r>
      <w:r>
        <w:rPr>
          <w:rFonts w:ascii="Times New Roman" w:hAnsi="Times New Roman" w:eastAsia="宋体" w:cs="Times New Roman"/>
          <w:color w:val="0000FF"/>
          <w:sz w:val="24"/>
          <w:highlight w:val="none"/>
        </w:rPr>
        <w:t>示例：本案例根据其病史和临床表现，归属于中医“不孕”“屡孕屡堕”“滑胎”等病范畴。魏绍斌教授认为本案例脾肾亏虚为本，肝郁血瘀为标，病机虚实互见又错综复杂。《上古天真论》言：“六七，三阳脉衰于上，面皆焦，发始白”，究其本源为脾虚气血失荣，肾虚精血不足。《傅青主女科》种子篇则强调“精满则子宫易于摄精，血足则子宫易于容物，皆有子之道也”，若肾精亏虚，气血不足，胞宫则难以摄精成孕。“胞络者系于肾”，胎孕初凝不离肾精充足，胎元之固在于肾气充盛，若肾精不足，结胎不实，肾气亏虚，系胞无力，则胎元虽成，但仍有欲堕之势。因“胎茎系于脾”，《女科经纶》曰“保胎之法，节斋之论，在养脾胃其本也。”若脾虚气血乏源，既难以载胎养胎，更难以充养先天肾精、滋养胎元，以致屡孕屡堕。患者高龄、久不受孕、反复IVF-ET失败，且有两次自然流产，生育压力倍增，以致肝气郁结，冲任不能相资，亦难以摄精成孕。既往流产清宫史，金刃损伤又致瘀阻胞宫胞脉，新血难生，胚胎则难以着床和孕育生长。川派中医妇科源远流长，名家荟萃，在不孕症、滑胎的治疗方面形成了独特的学术思想体系、临床治法特点，重视肝脾肾同治、气血并调以调经助孕安胎。魏绍斌教授传承川派中医妇科名家的学术特点，善用经典名方加减化裁，并根据多年临床经验形成治疗不孕症的肝脾肾同调序贯分期助孕方案。针对本案例患者，魏绍斌教授紧扣虚实错杂的病机特点，临证分两期调治，卵泡期予补肾疏肝，养血活血通络，以促进卵泡发育和排卵，黄体期重视健脾补肾益精，调经以助孕，促进孕卵着床、胚胎发育和成功妊娠。</w:t>
      </w:r>
    </w:p>
    <w:p w14:paraId="7B846B8B">
      <w:pPr>
        <w:ind w:left="-420" w:leftChars="-200" w:firstLine="420" w:firstLineChars="200"/>
        <w:rPr>
          <w:rFonts w:ascii="Times New Roman" w:hAnsi="Times New Roman" w:eastAsia="宋体" w:cs="Times New Roman"/>
          <w:color w:val="FF0000"/>
          <w:highlight w:val="none"/>
        </w:rPr>
      </w:pPr>
    </w:p>
    <w:p w14:paraId="221EA65D">
      <w:pPr>
        <w:ind w:left="-420" w:leftChars="-200"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00" w:themeColor="text1"/>
          <w:sz w:val="24"/>
          <w:highlight w:val="none"/>
          <w14:textFill>
            <w14:solidFill>
              <w14:schemeClr w14:val="tx1"/>
            </w14:solidFill>
          </w14:textFill>
        </w:rPr>
        <w:t>④从本病例获取的主要经验是什么。</w:t>
      </w: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FF"/>
          <w:sz w:val="24"/>
          <w:highlight w:val="none"/>
        </w:rPr>
        <w:t>示例：注重辨病与辨证相结合，肝脾肾同调，分期论治，身心同调，</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00" w:themeColor="text1"/>
          <w:sz w:val="24"/>
          <w:highlight w:val="none"/>
          <w14:textFill>
            <w14:solidFill>
              <w14:schemeClr w14:val="tx1"/>
            </w14:solidFill>
          </w14:textFill>
        </w:rPr>
        <w:t xml:space="preserve">    ⑤中医药干预措施所解决的问题是什么。</w:t>
      </w: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FF"/>
          <w:sz w:val="24"/>
          <w:highlight w:val="none"/>
        </w:rPr>
        <w:t xml:space="preserve">    示例：魏绍斌教授详细分析病情，综合评估后认为患者虽高龄未避孕未孕4+年，有2次胚胎停育史，3次IVF-ET失败史，合并高胰岛素血症、免疫失调等多种影响不孕的因素，但双侧输卵管通畅，卵巢储备功能尚可，夫精正常，仍有自然妊娠的希望，故在诊治过程中注意疏解患者焦虑情绪，鼓励和指导患者在再次IVF-ET前调理期间尝试自然试孕，通过身心同调，终以如愿。经中医药调治后患者于第4个月经周期自然受孕，孕后予寿胎四君子汤加减补肾健脾，固任安胎，同时考虑患者合并诸多影响妊娠结局的不利因素，建议入院中西医结合保胎治疗，经住院保胎1+月后出院，现患者已孕13周，于产科建卡定期产检。本案例患者为高龄不孕且反复IVF- ET失败，病症疑难，魏绍斌教授根据患者不孕及IVF-ET反复失败的病因，注重辨病与辨证相结合，肝脾肾同调，分期论治，身心同调，最终患者成功自然妊娠，为其家庭减轻了沉重的精神压力和经济负担，收获了喜悦和幸福。这充分体现了中医药调治不孕症的特色与优势，具有重要的临床借鉴和参考价值。</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t xml:space="preserve">    </w:t>
      </w:r>
      <w:r>
        <w:rPr>
          <w:rFonts w:ascii="Times New Roman" w:hAnsi="Times New Roman" w:eastAsia="宋体" w:cs="Times New Roman"/>
          <w:color w:val="000000" w:themeColor="text1"/>
          <w:sz w:val="24"/>
          <w:highlight w:val="none"/>
          <w14:textFill>
            <w14:solidFill>
              <w14:schemeClr w14:val="tx1"/>
            </w14:solidFill>
          </w14:textFill>
        </w:rPr>
        <w:t>⑥本案例的局限性与不足。</w:t>
      </w: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FF"/>
          <w:sz w:val="24"/>
          <w:highlight w:val="none"/>
        </w:rPr>
        <w:t xml:space="preserve">    示例：本案例为单病例报道，其治疗效果具有一定代表性与启发意义，未来可从典型案例、连续性临床案例过渡至真实世界研究，为高龄反复IVF-ET失败的中医药治疗提供更充分的临床证据。</w:t>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br w:type="textWrapping"/>
      </w:r>
      <w:r>
        <w:rPr>
          <w:rFonts w:ascii="Times New Roman" w:hAnsi="Times New Roman" w:eastAsia="宋体" w:cs="Times New Roman"/>
          <w:color w:val="0000FF"/>
          <w:sz w:val="24"/>
          <w:highlight w:val="none"/>
        </w:rPr>
        <w:t xml:space="preserve">   </w:t>
      </w:r>
      <w:r>
        <w:rPr>
          <w:rFonts w:ascii="Times New Roman" w:hAnsi="Times New Roman" w:eastAsia="宋体" w:cs="Times New Roman"/>
          <w:color w:val="000000" w:themeColor="text1"/>
          <w:sz w:val="24"/>
          <w:highlight w:val="none"/>
          <w14:textFill>
            <w14:solidFill>
              <w14:schemeClr w14:val="tx1"/>
            </w14:solidFill>
          </w14:textFill>
        </w:rPr>
        <w:t xml:space="preserve"> ⑦如为类案/系列案例，请详细讨论各病例诊疗中共同的“核心点”，以及各病例诊疗中存在的差异等。</w:t>
      </w:r>
      <w:r>
        <w:rPr>
          <w:rFonts w:ascii="Times New Roman" w:hAnsi="Times New Roman" w:eastAsia="宋体" w:cs="Times New Roman"/>
          <w:color w:val="000000" w:themeColor="text1"/>
          <w:sz w:val="24"/>
          <w:highlight w:val="none"/>
          <w14:textFill>
            <w14:solidFill>
              <w14:schemeClr w14:val="tx1"/>
            </w14:solidFill>
          </w14:textFill>
        </w:rPr>
        <w:br w:type="textWrapping"/>
      </w:r>
      <w:r>
        <w:rPr>
          <w:rFonts w:ascii="Times New Roman" w:hAnsi="Times New Roman" w:eastAsia="宋体" w:cs="Times New Roman"/>
          <w:color w:val="0000FF"/>
          <w:sz w:val="24"/>
          <w:highlight w:val="none"/>
        </w:rPr>
        <w:t xml:space="preserve">    示例：该系列案例各病例诊疗中共同的“核心点”：本系列案例均为中医诊断为“心悸”的患者，主证均为“瘀阻心脉”，均以活血化瘀，理气通络为治疗原则，核心处方桃仁红花煎。本方由丹参、赤芍、桃仁、红花、香附、延胡索、青皮、当归、川芎、生地黄、乳香组成。具体应用视患者兼证或次要致病因素进行方药加减。“案例2”气滞血瘀，加用柴胡、枳壳；“案例5”兼气虚加黄芪、党参、黄精；“案例6”兼血虚加制何首乌、枸杞子、熟地黄；兼阴虚加麦冬、玉竹、女贞子；“案例8”兼阳虚加炮附子、肉桂、淫羊藿；“案例9”络脉痹阻，胸部窒闷，加沉香、檀香、降香；“案例15”夹痰浊，胸满闷痛，苔浊腻，加瓜蒌、薤白、半夏、陈皮；“案例25”胸痛甚，加乳香、没药、五灵脂、蒲黄、三七粉等。</w:t>
      </w:r>
      <w:r>
        <w:rPr>
          <w:rFonts w:ascii="Times New Roman" w:hAnsi="Times New Roman" w:eastAsia="宋体" w:cs="Times New Roman"/>
          <w:color w:val="0000FF"/>
          <w:sz w:val="24"/>
          <w:highlight w:val="none"/>
        </w:rPr>
        <w:br w:type="textWrapping"/>
      </w:r>
    </w:p>
    <w:p w14:paraId="0CE102CC">
      <w:pPr>
        <w:widowControl/>
        <w:tabs>
          <w:tab w:val="left" w:pos="420"/>
        </w:tabs>
        <w:ind w:left="420" w:hanging="420" w:hanging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2F350AC0">
      <w:pPr>
        <w:widowControl/>
        <w:tabs>
          <w:tab w:val="left" w:pos="420"/>
        </w:tabs>
        <w:ind w:left="-420" w:leftChars="-200"/>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1.这是临床案例最重要的部分，需要进行实质性的讨论，建议引经据典；</w:t>
      </w:r>
    </w:p>
    <w:p w14:paraId="20EA3BE6">
      <w:pPr>
        <w:widowControl/>
        <w:tabs>
          <w:tab w:val="left" w:pos="420"/>
        </w:tabs>
        <w:ind w:left="-420" w:leftChars="-200"/>
        <w:rPr>
          <w:rFonts w:ascii="Times New Roman" w:hAnsi="Times New Roman" w:eastAsia="宋体" w:cs="Times New Roman"/>
          <w:color w:val="0000FF"/>
          <w:sz w:val="24"/>
          <w:highlight w:val="none"/>
        </w:rPr>
      </w:pPr>
      <w:r>
        <w:rPr>
          <w:rFonts w:ascii="Times New Roman" w:hAnsi="Times New Roman" w:eastAsia="宋体" w:cs="Times New Roman"/>
          <w:color w:val="FF0000"/>
          <w:highlight w:val="none"/>
        </w:rPr>
        <w:t>2.如为系列案例，每个案例均需有临证体会，最终有整体对整个系列案例的临证体会总结；</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3.如为系列案例，每个案例的临证体会可精简；</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4.如为系列案例，整个系列案例的临证体会总结需要点清晰，重点阐述；</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t>5.本部分第①项字数400字以内。</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br w:type="textWrapping"/>
      </w:r>
      <w:r>
        <w:rPr>
          <w:rFonts w:ascii="Times New Roman" w:hAnsi="Times New Roman" w:eastAsia="宋体" w:cs="Times New Roman"/>
          <w:b/>
          <w:sz w:val="24"/>
          <w:highlight w:val="none"/>
        </w:rPr>
        <w:t xml:space="preserve">利益冲突声明 </w:t>
      </w:r>
      <w:r>
        <w:rPr>
          <w:rFonts w:ascii="Times New Roman" w:hAnsi="Times New Roman" w:eastAsia="宋体" w:cs="Times New Roman"/>
          <w:color w:val="000000" w:themeColor="text1"/>
          <w:szCs w:val="21"/>
          <w:highlight w:val="none"/>
          <w14:textFill>
            <w14:solidFill>
              <w14:schemeClr w14:val="tx1"/>
            </w14:solidFill>
          </w14:textFill>
        </w:rPr>
        <w:t>作者需要注明本文章中的所有作者是否存在利益冲突，特别建议作者提前进行知识产权保护，（如果没有可以写：所有作者均声明本文章不存在利益冲突。）</w:t>
      </w:r>
      <w:r>
        <w:rPr>
          <w:rFonts w:ascii="Times New Roman" w:hAnsi="Times New Roman" w:eastAsia="宋体" w:cs="Times New Roman"/>
          <w:color w:val="000000" w:themeColor="text1"/>
          <w:szCs w:val="21"/>
          <w:highlight w:val="none"/>
          <w14:textFill>
            <w14:solidFill>
              <w14:schemeClr w14:val="tx1"/>
            </w14:solidFill>
          </w14:textFill>
        </w:rPr>
        <w:br w:type="textWrapping"/>
      </w:r>
      <w:r>
        <w:rPr>
          <w:rFonts w:ascii="Times New Roman" w:hAnsi="Times New Roman" w:eastAsia="宋体" w:cs="Times New Roman"/>
          <w:color w:val="0000FF"/>
          <w:sz w:val="24"/>
          <w:highlight w:val="none"/>
        </w:rPr>
        <w:t>示例：所有作者均声明本文章不存在利益冲突。</w:t>
      </w:r>
    </w:p>
    <w:p w14:paraId="5508995B">
      <w:pPr>
        <w:widowControl/>
        <w:tabs>
          <w:tab w:val="left" w:pos="420"/>
        </w:tabs>
        <w:ind w:left="480" w:hanging="480" w:hangingChars="200"/>
        <w:rPr>
          <w:rFonts w:ascii="Times New Roman" w:hAnsi="Times New Roman" w:eastAsia="宋体" w:cs="Times New Roman"/>
          <w:b/>
          <w:kern w:val="0"/>
          <w:sz w:val="24"/>
          <w:highlight w:val="none"/>
        </w:rPr>
      </w:pPr>
      <w:r>
        <w:rPr>
          <w:rFonts w:ascii="Times New Roman" w:hAnsi="Times New Roman" w:eastAsia="宋体" w:cs="Times New Roman"/>
          <w:color w:val="0000FF"/>
          <w:sz w:val="24"/>
          <w:highlight w:val="none"/>
        </w:rPr>
        <w:br w:type="textWrapping"/>
      </w:r>
      <w:r>
        <w:rPr>
          <w:rFonts w:ascii="Times New Roman" w:hAnsi="Times New Roman" w:eastAsia="宋体" w:cs="Times New Roman"/>
          <w:b/>
          <w:kern w:val="0"/>
          <w:sz w:val="24"/>
          <w:highlight w:val="none"/>
        </w:rPr>
        <w:t>参考文献</w:t>
      </w:r>
    </w:p>
    <w:p w14:paraId="45F017BE">
      <w:pPr>
        <w:widowControl/>
        <w:tabs>
          <w:tab w:val="left" w:pos="420"/>
        </w:tabs>
        <w:ind w:left="480" w:hanging="480" w:hangingChars="200"/>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按照杂志期刊类参考文献描述。</w:t>
      </w:r>
      <w:r>
        <w:rPr>
          <w:rFonts w:ascii="Times New Roman" w:hAnsi="Times New Roman" w:eastAsia="宋体" w:cs="Times New Roman"/>
          <w:color w:val="000000" w:themeColor="text1"/>
          <w:kern w:val="0"/>
          <w:sz w:val="24"/>
          <w:highlight w:val="none"/>
          <w14:textFill>
            <w14:solidFill>
              <w14:schemeClr w14:val="tx1"/>
            </w14:solidFill>
          </w14:textFill>
        </w:rPr>
        <w:br w:type="textWrapping"/>
      </w:r>
      <w:r>
        <w:rPr>
          <w:rFonts w:ascii="Times New Roman" w:hAnsi="Times New Roman" w:eastAsia="宋体" w:cs="Times New Roman"/>
          <w:color w:val="FF0000"/>
          <w:highlight w:val="none"/>
        </w:rPr>
        <w:t>要点须知：</w:t>
      </w:r>
    </w:p>
    <w:p w14:paraId="26CBAC24">
      <w:pPr>
        <w:ind w:firstLine="400" w:firstLineChars="200"/>
        <w:rPr>
          <w:rFonts w:ascii="Times New Roman" w:hAnsi="Times New Roman" w:eastAsia="宋体" w:cs="Times New Roman"/>
          <w:color w:val="FF0000"/>
          <w:kern w:val="0"/>
          <w:sz w:val="20"/>
          <w:highlight w:val="none"/>
        </w:rPr>
      </w:pPr>
      <w:r>
        <w:rPr>
          <w:rFonts w:ascii="Times New Roman" w:hAnsi="Times New Roman" w:eastAsia="宋体" w:cs="Times New Roman"/>
          <w:color w:val="FF0000"/>
          <w:kern w:val="0"/>
          <w:sz w:val="20"/>
          <w:highlight w:val="none"/>
        </w:rPr>
        <w:t>参考文献按GB/T7714－2015《信息与文献 参考文献著录规则》采用顺序编码制著录。必须以作者亲自阅读过的近期文献为限。在文中引用处右上角用方括号注明，并依照其在文中出现的先后顺序用阿拉伯数字加方括号排列于文末，参考文献请与原文核对准确。</w:t>
      </w:r>
    </w:p>
    <w:p w14:paraId="6E97ABEE">
      <w:pPr>
        <w:ind w:firstLine="400" w:firstLineChars="200"/>
        <w:rPr>
          <w:rFonts w:ascii="Times New Roman" w:hAnsi="Times New Roman" w:eastAsia="宋体" w:cs="Times New Roman"/>
          <w:color w:val="FF0000"/>
          <w:kern w:val="0"/>
          <w:sz w:val="20"/>
          <w:highlight w:val="none"/>
        </w:rPr>
      </w:pPr>
    </w:p>
    <w:p w14:paraId="4BABB4E8">
      <w:pPr>
        <w:widowControl/>
        <w:tabs>
          <w:tab w:val="left" w:pos="420"/>
        </w:tabs>
        <w:ind w:left="482" w:hanging="480" w:hangingChars="200"/>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医院病历系统导出的证明材料</w:t>
      </w:r>
      <w:r>
        <w:rPr>
          <w:rFonts w:ascii="Times New Roman" w:hAnsi="Times New Roman" w:eastAsia="宋体" w:cs="Times New Roman"/>
          <w:b/>
          <w:kern w:val="0"/>
          <w:sz w:val="24"/>
          <w:highlight w:val="none"/>
        </w:rPr>
        <w:br w:type="textWrapping"/>
      </w:r>
      <w:r>
        <w:rPr>
          <w:rFonts w:ascii="Times New Roman" w:hAnsi="Times New Roman" w:eastAsia="宋体" w:cs="Times New Roman"/>
          <w:color w:val="FF0000"/>
          <w:highlight w:val="none"/>
        </w:rPr>
        <w:t>要点须知：</w:t>
      </w:r>
    </w:p>
    <w:p w14:paraId="15481468">
      <w:pPr>
        <w:widowControl/>
        <w:tabs>
          <w:tab w:val="left" w:pos="420"/>
        </w:tabs>
        <w:ind w:left="420" w:hanging="420" w:hangingChars="200"/>
        <w:rPr>
          <w:rFonts w:ascii="Times New Roman" w:hAnsi="Times New Roman" w:eastAsia="宋体" w:cs="Times New Roman"/>
          <w:b/>
          <w:kern w:val="0"/>
          <w:sz w:val="24"/>
          <w:highlight w:val="none"/>
        </w:rPr>
      </w:pPr>
      <w:r>
        <w:rPr>
          <w:rFonts w:ascii="Times New Roman" w:hAnsi="Times New Roman" w:eastAsia="宋体" w:cs="Times New Roman"/>
          <w:color w:val="FF0000"/>
          <w:highlight w:val="none"/>
        </w:rPr>
        <w:t>个案与系列案例均需（投稿时上传系统即可，注意保护患者隐私）。</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br w:type="textWrapping"/>
      </w:r>
      <w:r>
        <w:rPr>
          <w:rFonts w:ascii="Times New Roman" w:hAnsi="Times New Roman" w:eastAsia="宋体" w:cs="Times New Roman"/>
          <w:b/>
          <w:kern w:val="0"/>
          <w:sz w:val="28"/>
          <w:szCs w:val="28"/>
          <w:highlight w:val="none"/>
        </w:rPr>
        <w:t>其他选填项</w:t>
      </w:r>
      <w:r>
        <w:rPr>
          <w:rFonts w:ascii="Times New Roman" w:hAnsi="Times New Roman" w:eastAsia="宋体" w:cs="Times New Roman"/>
          <w:b/>
          <w:kern w:val="0"/>
          <w:sz w:val="24"/>
          <w:highlight w:val="none"/>
        </w:rPr>
        <w:br w:type="textWrapping"/>
      </w:r>
    </w:p>
    <w:p w14:paraId="09439162">
      <w:pPr>
        <w:widowControl/>
        <w:tabs>
          <w:tab w:val="left" w:pos="420"/>
        </w:tabs>
        <w:ind w:left="482" w:hanging="480" w:hangingChars="200"/>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不良反应</w:t>
      </w:r>
    </w:p>
    <w:p w14:paraId="002D078A">
      <w:pPr>
        <w:widowControl/>
        <w:tabs>
          <w:tab w:val="left" w:pos="420"/>
        </w:tabs>
        <w:ind w:left="480" w:hanging="480" w:hangingChars="200"/>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治疗方案实施过程中患者如有不良反应等情况，可在此记录。</w:t>
      </w:r>
      <w:r>
        <w:rPr>
          <w:rFonts w:ascii="Times New Roman" w:hAnsi="Times New Roman" w:eastAsia="宋体" w:cs="Times New Roman"/>
          <w:bCs/>
          <w:kern w:val="0"/>
          <w:sz w:val="24"/>
          <w:highlight w:val="none"/>
        </w:rPr>
        <w:br w:type="textWrapping"/>
      </w:r>
      <w:r>
        <w:rPr>
          <w:rFonts w:ascii="Times New Roman" w:hAnsi="Times New Roman" w:eastAsia="宋体" w:cs="Times New Roman"/>
          <w:color w:val="FF0000"/>
          <w:highlight w:val="none"/>
        </w:rPr>
        <w:t>要点须知：</w:t>
      </w:r>
    </w:p>
    <w:p w14:paraId="5A86EFAE">
      <w:pPr>
        <w:widowControl/>
        <w:tabs>
          <w:tab w:val="left" w:pos="420"/>
        </w:tabs>
        <w:ind w:firstLine="420" w:firstLineChars="200"/>
        <w:rPr>
          <w:rFonts w:ascii="Times New Roman" w:hAnsi="Times New Roman" w:eastAsia="宋体" w:cs="Times New Roman"/>
          <w:bCs/>
          <w:kern w:val="0"/>
          <w:sz w:val="24"/>
          <w:highlight w:val="none"/>
        </w:rPr>
      </w:pPr>
      <w:r>
        <w:rPr>
          <w:rFonts w:ascii="Times New Roman" w:hAnsi="Times New Roman" w:eastAsia="宋体" w:cs="Times New Roman"/>
          <w:color w:val="FF0000"/>
          <w:highlight w:val="none"/>
        </w:rPr>
        <w:t>不良反应是指按正常用法、用量应用药物预防、诊断或治疗疾病过程中，发生与治疗目的无关的有害反应。其特定的发生条件是按正常剂量与正常用法用药，在内容上排除了因药物滥用、超量误用、不按规定方法使用药品及质量问题等情况所引起的反应。</w:t>
      </w:r>
      <w:r>
        <w:rPr>
          <w:rFonts w:ascii="Times New Roman" w:hAnsi="Times New Roman" w:eastAsia="宋体" w:cs="Times New Roman"/>
          <w:color w:val="FF0000"/>
          <w:highlight w:val="none"/>
        </w:rPr>
        <w:br w:type="textWrapping"/>
      </w:r>
      <w:r>
        <w:rPr>
          <w:rFonts w:ascii="Times New Roman" w:hAnsi="Times New Roman" w:eastAsia="宋体" w:cs="Times New Roman"/>
          <w:color w:val="FF0000"/>
          <w:highlight w:val="none"/>
        </w:rPr>
        <w:br w:type="textWrapping"/>
      </w:r>
      <w:r>
        <w:rPr>
          <w:rFonts w:ascii="Times New Roman" w:hAnsi="Times New Roman" w:eastAsia="宋体" w:cs="Times New Roman"/>
          <w:b/>
          <w:kern w:val="0"/>
          <w:sz w:val="24"/>
          <w:highlight w:val="none"/>
        </w:rPr>
        <w:t>不良事件</w:t>
      </w:r>
      <w:r>
        <w:rPr>
          <w:rFonts w:ascii="Times New Roman" w:hAnsi="Times New Roman" w:eastAsia="宋体" w:cs="Times New Roman"/>
          <w:b/>
          <w:kern w:val="0"/>
          <w:sz w:val="24"/>
          <w:highlight w:val="none"/>
        </w:rPr>
        <w:br w:type="textWrapping"/>
      </w:r>
      <w:r>
        <w:rPr>
          <w:rFonts w:ascii="Times New Roman" w:hAnsi="Times New Roman" w:eastAsia="宋体" w:cs="Times New Roman"/>
          <w:bCs/>
          <w:kern w:val="0"/>
          <w:sz w:val="24"/>
          <w:highlight w:val="none"/>
        </w:rPr>
        <w:t>治疗方案实施过程中，如有不良事件，可在此记录。</w:t>
      </w:r>
    </w:p>
    <w:p w14:paraId="05A5C90C">
      <w:pPr>
        <w:widowControl/>
        <w:tabs>
          <w:tab w:val="left" w:pos="420"/>
        </w:tabs>
        <w:ind w:left="840" w:leftChars="200" w:hanging="420" w:hanging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要点须知：</w:t>
      </w:r>
    </w:p>
    <w:p w14:paraId="441E8343">
      <w:pPr>
        <w:widowControl/>
        <w:tabs>
          <w:tab w:val="left" w:pos="420"/>
        </w:tabs>
        <w:ind w:firstLine="420" w:firstLineChars="200"/>
        <w:rPr>
          <w:rFonts w:ascii="Times New Roman" w:hAnsi="Times New Roman" w:eastAsia="宋体" w:cs="Times New Roman"/>
          <w:color w:val="FF0000"/>
          <w:highlight w:val="none"/>
        </w:rPr>
      </w:pPr>
      <w:r>
        <w:rPr>
          <w:rFonts w:ascii="Times New Roman" w:hAnsi="Times New Roman" w:eastAsia="宋体" w:cs="Times New Roman"/>
          <w:color w:val="FF0000"/>
          <w:highlight w:val="none"/>
        </w:rPr>
        <w:t>医疗质量安全不良事件指在医疗机构被工作人员主动发现的，或患者在接受诊疗服务过程中出现的，除患者自身疾病自然过程外的各种因素所致的不安全隐患、状态或造成后果的负性事件。</w:t>
      </w:r>
    </w:p>
    <w:p w14:paraId="619E7A21">
      <w:pPr>
        <w:widowControl/>
        <w:tabs>
          <w:tab w:val="left" w:pos="420"/>
        </w:tabs>
        <w:rPr>
          <w:rFonts w:ascii="Times New Roman" w:hAnsi="Times New Roman" w:eastAsia="宋体" w:cs="Times New Roman"/>
          <w:b/>
          <w:kern w:val="0"/>
          <w:sz w:val="24"/>
          <w:highlight w:val="none"/>
        </w:rPr>
      </w:pPr>
    </w:p>
    <w:p w14:paraId="17C02732">
      <w:pPr>
        <w:widowControl/>
        <w:tabs>
          <w:tab w:val="left" w:pos="420"/>
        </w:tabs>
        <w:ind w:left="482" w:hanging="480" w:hangingChars="200"/>
        <w:rPr>
          <w:rFonts w:ascii="Times New Roman" w:hAnsi="Times New Roman" w:eastAsia="宋体" w:cs="Times New Roman"/>
          <w:b/>
          <w:kern w:val="0"/>
          <w:sz w:val="24"/>
          <w:highlight w:val="none"/>
        </w:rPr>
      </w:pPr>
      <w:r>
        <w:rPr>
          <w:rFonts w:ascii="Times New Roman" w:hAnsi="Times New Roman" w:eastAsia="宋体" w:cs="Times New Roman"/>
          <w:b/>
          <w:kern w:val="0"/>
          <w:sz w:val="24"/>
          <w:highlight w:val="none"/>
        </w:rPr>
        <w:t>同行评议（可选填）</w:t>
      </w:r>
    </w:p>
    <w:p w14:paraId="41AC6F86">
      <w:pPr>
        <w:widowControl/>
        <w:tabs>
          <w:tab w:val="left" w:pos="420"/>
        </w:tabs>
        <w:ind w:firstLine="480" w:firstLineChars="200"/>
        <w:rPr>
          <w:rFonts w:ascii="Times New Roman" w:hAnsi="Times New Roman" w:eastAsia="宋体" w:cs="Times New Roman"/>
          <w:bCs/>
          <w:kern w:val="0"/>
          <w:sz w:val="24"/>
          <w:highlight w:val="none"/>
        </w:rPr>
      </w:pPr>
      <w:r>
        <w:rPr>
          <w:rFonts w:ascii="Times New Roman" w:hAnsi="Times New Roman" w:eastAsia="宋体" w:cs="Times New Roman"/>
          <w:bCs/>
          <w:kern w:val="0"/>
          <w:sz w:val="24"/>
          <w:highlight w:val="none"/>
        </w:rPr>
        <w:t>由作者或推荐单位联系专家，从选题意义、内容与结构等方面进行点评，结合作者临床体会，明确案例的临床价值与意义。</w:t>
      </w:r>
    </w:p>
    <w:p w14:paraId="0F3F30AA">
      <w:pPr>
        <w:widowControl/>
        <w:tabs>
          <w:tab w:val="left" w:pos="420"/>
        </w:tabs>
        <w:ind w:firstLine="480" w:firstLineChars="200"/>
        <w:rPr>
          <w:rFonts w:ascii="Times New Roman" w:hAnsi="Times New Roman" w:eastAsia="宋体" w:cs="Times New Roman"/>
          <w:bCs/>
          <w:kern w:val="0"/>
          <w:sz w:val="24"/>
          <w:highlight w:val="none"/>
        </w:rPr>
      </w:pPr>
      <w:r>
        <w:rPr>
          <w:rFonts w:ascii="Times New Roman" w:hAnsi="Times New Roman" w:eastAsia="宋体" w:cs="Times New Roman"/>
          <w:color w:val="0000FF"/>
          <w:sz w:val="24"/>
          <w:highlight w:val="none"/>
        </w:rPr>
        <w:t>示例：</w:t>
      </w:r>
    </w:p>
    <w:p w14:paraId="063A9A17">
      <w:pPr>
        <w:widowControl/>
        <w:tabs>
          <w:tab w:val="left" w:pos="420"/>
        </w:tabs>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点评专家：王五，中国医学科学院北京协和医院手术室</w:t>
      </w:r>
    </w:p>
    <w:p w14:paraId="11361DE7">
      <w:pPr>
        <w:widowControl/>
        <w:tabs>
          <w:tab w:val="left" w:pos="420"/>
        </w:tabs>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点评内容：</w:t>
      </w:r>
    </w:p>
    <w:p w14:paraId="6425ED93">
      <w:pPr>
        <w:widowControl/>
        <w:tabs>
          <w:tab w:val="left" w:pos="420"/>
        </w:tabs>
        <w:ind w:firstLine="480" w:firstLineChars="200"/>
        <w:rPr>
          <w:rFonts w:ascii="Times New Roman" w:hAnsi="Times New Roman" w:eastAsia="宋体" w:cs="Times New Roman"/>
          <w:color w:val="0000FF"/>
          <w:sz w:val="24"/>
          <w:highlight w:val="none"/>
        </w:rPr>
      </w:pPr>
    </w:p>
    <w:p w14:paraId="1E180542">
      <w:pPr>
        <w:widowControl/>
        <w:tabs>
          <w:tab w:val="left" w:pos="420"/>
        </w:tabs>
        <w:ind w:left="482" w:hanging="480" w:hangingChars="200"/>
        <w:rPr>
          <w:rFonts w:ascii="Times New Roman" w:hAnsi="Times New Roman" w:eastAsia="宋体" w:cs="Times New Roman"/>
          <w:bCs/>
          <w:kern w:val="0"/>
          <w:sz w:val="24"/>
          <w:highlight w:val="none"/>
        </w:rPr>
      </w:pPr>
      <w:r>
        <w:rPr>
          <w:rFonts w:ascii="Times New Roman" w:hAnsi="Times New Roman" w:eastAsia="宋体" w:cs="Times New Roman"/>
          <w:b/>
          <w:kern w:val="0"/>
          <w:sz w:val="24"/>
          <w:highlight w:val="none"/>
        </w:rPr>
        <w:t>应用评价（可选填）</w:t>
      </w:r>
      <w:r>
        <w:rPr>
          <w:rFonts w:ascii="Times New Roman" w:hAnsi="Times New Roman" w:eastAsia="宋体" w:cs="Times New Roman"/>
          <w:b/>
          <w:kern w:val="0"/>
          <w:sz w:val="24"/>
          <w:highlight w:val="none"/>
        </w:rPr>
        <w:br w:type="textWrapping"/>
      </w:r>
      <w:r>
        <w:rPr>
          <w:rFonts w:ascii="Times New Roman" w:hAnsi="Times New Roman" w:eastAsia="宋体" w:cs="Times New Roman"/>
          <w:bCs/>
          <w:kern w:val="0"/>
          <w:sz w:val="24"/>
          <w:highlight w:val="none"/>
        </w:rPr>
        <w:t>由学习此篇案例治法治则并应用到实际的临床医师填写。</w:t>
      </w:r>
    </w:p>
    <w:p w14:paraId="1A8E7B30">
      <w:pPr>
        <w:widowControl/>
        <w:tabs>
          <w:tab w:val="left" w:pos="420"/>
        </w:tabs>
        <w:ind w:firstLine="480" w:firstLineChars="200"/>
        <w:rPr>
          <w:rFonts w:ascii="Times New Roman" w:hAnsi="Times New Roman" w:eastAsia="宋体" w:cs="Times New Roman"/>
          <w:bCs/>
          <w:kern w:val="0"/>
          <w:sz w:val="24"/>
          <w:highlight w:val="none"/>
        </w:rPr>
      </w:pPr>
      <w:r>
        <w:rPr>
          <w:rFonts w:ascii="Times New Roman" w:hAnsi="Times New Roman" w:eastAsia="宋体" w:cs="Times New Roman"/>
          <w:color w:val="0000FF"/>
          <w:sz w:val="24"/>
          <w:highlight w:val="none"/>
        </w:rPr>
        <w:t>示例：</w:t>
      </w:r>
    </w:p>
    <w:p w14:paraId="67189B7B">
      <w:pPr>
        <w:widowControl/>
        <w:tabs>
          <w:tab w:val="left" w:pos="420"/>
        </w:tabs>
        <w:ind w:firstLine="480" w:firstLineChars="200"/>
        <w:rPr>
          <w:rFonts w:ascii="Times New Roman" w:hAnsi="Times New Roman" w:eastAsia="宋体" w:cs="Times New Roman"/>
          <w:color w:val="0000FF"/>
          <w:sz w:val="24"/>
          <w:highlight w:val="none"/>
        </w:rPr>
      </w:pPr>
      <w:r>
        <w:rPr>
          <w:rFonts w:ascii="Times New Roman" w:hAnsi="Times New Roman" w:eastAsia="宋体" w:cs="Times New Roman"/>
          <w:color w:val="0000FF"/>
          <w:sz w:val="24"/>
          <w:highlight w:val="none"/>
        </w:rPr>
        <w:t>应用专家：张三，中国中医科学院西苑医院</w:t>
      </w:r>
    </w:p>
    <w:p w14:paraId="36119C9E">
      <w:pPr>
        <w:widowControl/>
        <w:tabs>
          <w:tab w:val="left" w:pos="420"/>
        </w:tabs>
        <w:ind w:firstLine="420" w:firstLineChars="200"/>
        <w:rPr>
          <w:rFonts w:ascii="Times New Roman" w:hAnsi="Times New Roman" w:eastAsia="宋体" w:cs="Times New Roman"/>
          <w:color w:val="0000FF"/>
          <w:sz w:val="21"/>
          <w:szCs w:val="21"/>
          <w:highlight w:val="none"/>
        </w:rPr>
      </w:pPr>
    </w:p>
    <w:p w14:paraId="5CB2388E">
      <w:pPr>
        <w:widowControl/>
        <w:tabs>
          <w:tab w:val="left" w:pos="420"/>
        </w:tabs>
        <w:ind w:firstLine="480" w:firstLineChars="200"/>
        <w:rPr>
          <w:rFonts w:ascii="Times New Roman" w:hAnsi="Times New Roman" w:eastAsia="宋体" w:cs="Times New Roman"/>
          <w:color w:val="0000FF"/>
          <w:sz w:val="24"/>
          <w:highlight w:val="none"/>
        </w:rPr>
      </w:pPr>
    </w:p>
    <w:p w14:paraId="3C3093A7">
      <w:pPr>
        <w:widowControl/>
        <w:tabs>
          <w:tab w:val="left" w:pos="420"/>
        </w:tabs>
        <w:ind w:firstLine="480" w:firstLineChars="200"/>
        <w:rPr>
          <w:rFonts w:ascii="Times New Roman" w:hAnsi="Times New Roman" w:eastAsia="宋体" w:cs="Times New Roman"/>
          <w:color w:val="0000FF"/>
          <w:sz w:val="24"/>
          <w:highlight w:val="none"/>
        </w:rPr>
      </w:pPr>
    </w:p>
    <w:p w14:paraId="2E9D2F02">
      <w:pPr>
        <w:widowControl/>
        <w:tabs>
          <w:tab w:val="left" w:pos="420"/>
        </w:tabs>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eastAsia="宋体" w:cs="Times New Roman"/>
          <w:b/>
          <w:bCs/>
          <w:color w:val="000000" w:themeColor="text1"/>
          <w:sz w:val="24"/>
          <w:highlight w:val="none"/>
          <w14:textFill>
            <w14:solidFill>
              <w14:schemeClr w14:val="tx1"/>
            </w14:solidFill>
          </w14:textFill>
        </w:rPr>
        <w:t>备注：模板示例仅供参考，模板示例内容不属于同一案例或同一系列案例。</w:t>
      </w:r>
    </w:p>
    <w:p w14:paraId="5F212230">
      <w:pPr>
        <w:widowControl/>
        <w:tabs>
          <w:tab w:val="left" w:pos="420"/>
        </w:tabs>
        <w:ind w:firstLine="480" w:firstLineChars="200"/>
        <w:rPr>
          <w:rFonts w:ascii="Times New Roman" w:hAnsi="Times New Roman" w:eastAsia="宋体" w:cs="Times New Roman"/>
          <w:color w:val="0000FF"/>
          <w:sz w:val="24"/>
          <w:highlight w:val="none"/>
        </w:rPr>
      </w:pPr>
    </w:p>
    <w:sectPr>
      <w:pgSz w:w="11906" w:h="16838"/>
      <w:pgMar w:top="1701" w:right="1531" w:bottom="170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699DD1B-94A4-F9EA-5A54-4F6A2EC24A04}"/>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方正小标宋简体">
    <w:panose1 w:val="02000000000000000000"/>
    <w:charset w:val="86"/>
    <w:family w:val="auto"/>
    <w:pitch w:val="default"/>
    <w:sig w:usb0="00000001" w:usb1="08000000" w:usb2="00000000" w:usb3="00000000" w:csb0="00040000" w:csb1="00000000"/>
    <w:embedRegular r:id="rId2" w:fontKey="{11E92A68-23B9-41E3-5A54-4F6A0710169B}"/>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黑体">
    <w:altName w:val="汉仪中黑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465E45"/>
    <w:multiLevelType w:val="singleLevel"/>
    <w:tmpl w:val="7E465E4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01F43"/>
    <w:rsid w:val="00134D6F"/>
    <w:rsid w:val="00A45254"/>
    <w:rsid w:val="00C43166"/>
    <w:rsid w:val="00EF063E"/>
    <w:rsid w:val="01377EE5"/>
    <w:rsid w:val="01FF74C5"/>
    <w:rsid w:val="03F8012D"/>
    <w:rsid w:val="04EE6F26"/>
    <w:rsid w:val="06F80CD5"/>
    <w:rsid w:val="08485544"/>
    <w:rsid w:val="097A07E5"/>
    <w:rsid w:val="0F1E3C65"/>
    <w:rsid w:val="100E0101"/>
    <w:rsid w:val="101271E6"/>
    <w:rsid w:val="115C2EBC"/>
    <w:rsid w:val="11AE18EC"/>
    <w:rsid w:val="18100480"/>
    <w:rsid w:val="18180E3F"/>
    <w:rsid w:val="2143575F"/>
    <w:rsid w:val="23050CAB"/>
    <w:rsid w:val="24BA7CC8"/>
    <w:rsid w:val="25C955CD"/>
    <w:rsid w:val="25F61367"/>
    <w:rsid w:val="298F69C8"/>
    <w:rsid w:val="299A3E3C"/>
    <w:rsid w:val="2B1206B6"/>
    <w:rsid w:val="2BD3051C"/>
    <w:rsid w:val="2D331317"/>
    <w:rsid w:val="2D454ECA"/>
    <w:rsid w:val="2E7448FF"/>
    <w:rsid w:val="2F301F43"/>
    <w:rsid w:val="31C00626"/>
    <w:rsid w:val="32400EB5"/>
    <w:rsid w:val="34501576"/>
    <w:rsid w:val="350502A9"/>
    <w:rsid w:val="35C366DA"/>
    <w:rsid w:val="38167754"/>
    <w:rsid w:val="38A0133F"/>
    <w:rsid w:val="3C635FC9"/>
    <w:rsid w:val="3D7F75B8"/>
    <w:rsid w:val="3F575B67"/>
    <w:rsid w:val="3FF71232"/>
    <w:rsid w:val="41654AEA"/>
    <w:rsid w:val="41B6630D"/>
    <w:rsid w:val="45C647A2"/>
    <w:rsid w:val="46531FA7"/>
    <w:rsid w:val="497F0684"/>
    <w:rsid w:val="49E45F27"/>
    <w:rsid w:val="4BC01C78"/>
    <w:rsid w:val="4C336BDE"/>
    <w:rsid w:val="4D607C65"/>
    <w:rsid w:val="4F3F4F4B"/>
    <w:rsid w:val="511A7985"/>
    <w:rsid w:val="51C66C4B"/>
    <w:rsid w:val="520E2804"/>
    <w:rsid w:val="53EB5F6F"/>
    <w:rsid w:val="543C5DBE"/>
    <w:rsid w:val="55342977"/>
    <w:rsid w:val="5876633D"/>
    <w:rsid w:val="58CA52AA"/>
    <w:rsid w:val="5CE15186"/>
    <w:rsid w:val="61EA5802"/>
    <w:rsid w:val="6B561664"/>
    <w:rsid w:val="6B8665E7"/>
    <w:rsid w:val="6D6D5F36"/>
    <w:rsid w:val="6E2048C0"/>
    <w:rsid w:val="6F7C731F"/>
    <w:rsid w:val="70980188"/>
    <w:rsid w:val="7275103F"/>
    <w:rsid w:val="75840CDB"/>
    <w:rsid w:val="761A4A59"/>
    <w:rsid w:val="789C4E1C"/>
    <w:rsid w:val="78EC2E1F"/>
    <w:rsid w:val="79D8139B"/>
    <w:rsid w:val="7F9902D4"/>
    <w:rsid w:val="7FAD75B9"/>
    <w:rsid w:val="DEF9121B"/>
    <w:rsid w:val="FDE37C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uiPriority w:val="0"/>
    <w:pPr>
      <w:tabs>
        <w:tab w:val="center" w:pos="4153"/>
        <w:tab w:val="right" w:pos="8306"/>
      </w:tabs>
      <w:snapToGrid w:val="0"/>
      <w:jc w:val="center"/>
    </w:pPr>
    <w:rPr>
      <w:sz w:val="18"/>
      <w:szCs w:val="18"/>
    </w:rPr>
  </w:style>
  <w:style w:type="character" w:styleId="6">
    <w:name w:val="Hyperlink"/>
    <w:basedOn w:val="5"/>
    <w:qFormat/>
    <w:uiPriority w:val="0"/>
    <w:rPr>
      <w:color w:val="0000FF"/>
      <w:u w:val="single"/>
    </w:rPr>
  </w:style>
  <w:style w:type="character" w:customStyle="1" w:styleId="7">
    <w:name w:val="页眉 字符"/>
    <w:basedOn w:val="5"/>
    <w:link w:val="3"/>
    <w:uiPriority w:val="0"/>
    <w:rPr>
      <w:kern w:val="2"/>
      <w:sz w:val="18"/>
      <w:szCs w:val="18"/>
    </w:rPr>
  </w:style>
  <w:style w:type="character" w:customStyle="1" w:styleId="8">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17114</Words>
  <Characters>18477</Characters>
  <Lines>136</Lines>
  <Paragraphs>38</Paragraphs>
  <TotalTime>11</TotalTime>
  <ScaleCrop>false</ScaleCrop>
  <LinksUpToDate>false</LinksUpToDate>
  <CharactersWithSpaces>18708</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2025-09-29T22:41:00Z</dcterms:created>
  <dc:creator>丛丛</dc:creator>
  <cp:lastModifiedBy>Fanchao Feng</cp:lastModifiedBy>
  <dcterms:modified xsi:type="dcterms:W3CDTF">2026-07-09T15:57:14Z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623EF5C9BCCB4FC883D7885252BD0923_13</vt:lpwstr>
  </property>
  <property fmtid="{D5CDD505-2E9C-101B-9397-08002B2CF9AE}" pid="4" name="KSOTemplateDocerSaveRecord">
    <vt:lpwstr>eyJoZGlkIjoiZTk5ZTFjZmI0Yjg4N2ZmOGYxMGE1NzM5MTYzNTk5ZjQiLCJ1c2VySWQiOiIyNzQ3Mzc1NjgifQ==</vt:lpwstr>
  </property>
</Properties>
</file>