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C694F">
      <w:pPr>
        <w:widowControl/>
        <w:jc w:val="left"/>
        <w:rPr>
          <w:rFonts w:ascii="Times New Roman" w:hAnsi="Times New Roman"/>
          <w:b/>
          <w:color w:val="000000" w:themeColor="text1"/>
          <w:sz w:val="30"/>
          <w:szCs w:val="30"/>
          <w14:textFill>
            <w14:solidFill>
              <w14:schemeClr w14:val="tx1"/>
            </w14:solidFill>
          </w14:textFill>
        </w:rPr>
      </w:pPr>
      <w:bookmarkStart w:id="0" w:name="_Toc510534525"/>
      <w:bookmarkStart w:id="1" w:name="_Toc509933846"/>
      <w:bookmarkStart w:id="91" w:name="_GoBack"/>
      <w:bookmarkEnd w:id="91"/>
    </w:p>
    <w:tbl>
      <w:tblPr>
        <w:tblStyle w:val="22"/>
        <w:tblW w:w="9640" w:type="dxa"/>
        <w:tblInd w:w="-652" w:type="dxa"/>
        <w:tblLayout w:type="fixed"/>
        <w:tblCellMar>
          <w:top w:w="0" w:type="dxa"/>
          <w:left w:w="0" w:type="dxa"/>
          <w:bottom w:w="0" w:type="dxa"/>
          <w:right w:w="0" w:type="dxa"/>
        </w:tblCellMar>
      </w:tblPr>
      <w:tblGrid>
        <w:gridCol w:w="454"/>
        <w:gridCol w:w="283"/>
        <w:gridCol w:w="2042"/>
        <w:gridCol w:w="453"/>
        <w:gridCol w:w="1134"/>
        <w:gridCol w:w="5124"/>
        <w:gridCol w:w="150"/>
      </w:tblGrid>
      <w:tr w14:paraId="2C7DC03D">
        <w:tblPrEx>
          <w:tblCellMar>
            <w:top w:w="0" w:type="dxa"/>
            <w:left w:w="0" w:type="dxa"/>
            <w:bottom w:w="0" w:type="dxa"/>
            <w:right w:w="0" w:type="dxa"/>
          </w:tblCellMar>
        </w:tblPrEx>
        <w:trPr>
          <w:gridAfter w:val="4"/>
          <w:wAfter w:w="6861" w:type="dxa"/>
          <w:trHeight w:val="312" w:hRule="exact"/>
        </w:trPr>
        <w:tc>
          <w:tcPr>
            <w:tcW w:w="454" w:type="dxa"/>
            <w:vAlign w:val="center"/>
          </w:tcPr>
          <w:p w14:paraId="39D0DEC1">
            <w:pPr>
              <w:ind w:right="-170"/>
              <w:rPr>
                <w:rFonts w:ascii="Times New Roman" w:hAnsi="Times New Roman"/>
                <w:b/>
                <w:color w:val="000000" w:themeColor="text1"/>
                <w:szCs w:val="20"/>
                <w14:textFill>
                  <w14:solidFill>
                    <w14:schemeClr w14:val="tx1"/>
                  </w14:solidFill>
                </w14:textFill>
              </w:rPr>
            </w:pPr>
            <w:r>
              <w:rPr>
                <w:rFonts w:ascii="Times New Roman" w:hAnsi="Times New Roman"/>
                <w:b/>
                <w:color w:val="000000" w:themeColor="text1"/>
                <w:szCs w:val="20"/>
                <w14:textFill>
                  <w14:solidFill>
                    <w14:schemeClr w14:val="tx1"/>
                  </w14:solidFill>
                </w14:textFill>
              </w:rPr>
              <w:t>ICS</w:t>
            </w:r>
          </w:p>
        </w:tc>
        <w:tc>
          <w:tcPr>
            <w:tcW w:w="2325" w:type="dxa"/>
            <w:gridSpan w:val="2"/>
            <w:vAlign w:val="center"/>
          </w:tcPr>
          <w:p w14:paraId="1CFE70E6">
            <w:pPr>
              <w:ind w:right="-170"/>
              <w:rPr>
                <w:rFonts w:ascii="Times New Roman" w:hAnsi="Times New Roman"/>
                <w:b/>
                <w:color w:val="000000" w:themeColor="text1"/>
                <w:szCs w:val="20"/>
                <w14:textFill>
                  <w14:solidFill>
                    <w14:schemeClr w14:val="tx1"/>
                  </w14:solidFill>
                </w14:textFill>
              </w:rPr>
            </w:pPr>
            <w:r>
              <w:rPr>
                <w:rFonts w:ascii="Times New Roman" w:hAnsi="Times New Roman"/>
                <w:b/>
                <w:color w:val="000000" w:themeColor="text1"/>
                <w:szCs w:val="20"/>
                <w14:textFill>
                  <w14:solidFill>
                    <w14:schemeClr w14:val="tx1"/>
                  </w14:solidFill>
                </w14:textFill>
              </w:rPr>
              <w:drawing>
                <wp:anchor distT="0" distB="0" distL="114300" distR="114300" simplePos="0" relativeHeight="251663360" behindDoc="0" locked="0" layoutInCell="1" allowOverlap="1">
                  <wp:simplePos x="0" y="0"/>
                  <wp:positionH relativeFrom="column">
                    <wp:posOffset>4218305</wp:posOffset>
                  </wp:positionH>
                  <wp:positionV relativeFrom="paragraph">
                    <wp:posOffset>22860</wp:posOffset>
                  </wp:positionV>
                  <wp:extent cx="1242695" cy="1223645"/>
                  <wp:effectExtent l="19050" t="0" r="0" b="0"/>
                  <wp:wrapNone/>
                  <wp:docPr id="22" name="图片 49"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9" descr="徽标&#10;&#10;描述已自动生成"/>
                          <pic:cNvPicPr>
                            <a:picLocks noChangeAspect="1" noChangeArrowheads="1"/>
                          </pic:cNvPicPr>
                        </pic:nvPicPr>
                        <pic:blipFill>
                          <a:blip r:embed="rId10" cstate="print"/>
                          <a:srcRect/>
                          <a:stretch>
                            <a:fillRect/>
                          </a:stretch>
                        </pic:blipFill>
                        <pic:spPr>
                          <a:xfrm>
                            <a:off x="0" y="0"/>
                            <a:ext cx="1242695" cy="1223645"/>
                          </a:xfrm>
                          <a:prstGeom prst="rect">
                            <a:avLst/>
                          </a:prstGeom>
                          <a:noFill/>
                          <a:ln w="9525">
                            <a:noFill/>
                            <a:miter lim="800000"/>
                            <a:headEnd/>
                            <a:tailEnd/>
                          </a:ln>
                        </pic:spPr>
                      </pic:pic>
                    </a:graphicData>
                  </a:graphic>
                </wp:anchor>
              </w:drawing>
            </w:r>
            <w:r>
              <w:rPr>
                <w:rFonts w:ascii="Times New Roman" w:hAnsi="Times New Roman"/>
                <w:b/>
                <w:color w:val="000000" w:themeColor="text1"/>
                <w:szCs w:val="20"/>
                <w14:textFill>
                  <w14:solidFill>
                    <w14:schemeClr w14:val="tx1"/>
                  </w14:solidFill>
                </w14:textFill>
              </w:rPr>
              <w:t>** *** **</w:t>
            </w:r>
          </w:p>
          <w:p w14:paraId="683DF8C6">
            <w:pPr>
              <w:ind w:right="-170"/>
              <w:rPr>
                <w:rFonts w:ascii="Times New Roman" w:hAnsi="Times New Roman"/>
                <w:b/>
                <w:color w:val="000000" w:themeColor="text1"/>
                <w:szCs w:val="20"/>
                <w14:textFill>
                  <w14:solidFill>
                    <w14:schemeClr w14:val="tx1"/>
                  </w14:solidFill>
                </w14:textFill>
              </w:rPr>
            </w:pPr>
          </w:p>
        </w:tc>
      </w:tr>
      <w:tr w14:paraId="0A6255CD">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6F44A4BF">
            <w:pPr>
              <w:ind w:right="-170"/>
              <w:rPr>
                <w:rFonts w:ascii="Times New Roman" w:hAnsi="Times New Roman"/>
                <w:color w:val="000000" w:themeColor="text1"/>
                <w:szCs w:val="20"/>
                <w14:textFill>
                  <w14:solidFill>
                    <w14:schemeClr w14:val="tx1"/>
                  </w14:solidFill>
                </w14:textFill>
              </w:rPr>
            </w:pPr>
            <w:r>
              <w:rPr>
                <w:rFonts w:ascii="Times New Roman" w:hAnsi="Times New Roman"/>
                <w:b/>
                <w:color w:val="000000" w:themeColor="text1"/>
                <w:szCs w:val="20"/>
                <w14:textFill>
                  <w14:solidFill>
                    <w14:schemeClr w14:val="tx1"/>
                  </w14:solidFill>
                </w14:textFill>
              </w:rPr>
              <w:t>C **</w:t>
            </w:r>
          </w:p>
        </w:tc>
        <w:tc>
          <w:tcPr>
            <w:tcW w:w="2042" w:type="dxa"/>
            <w:vAlign w:val="center"/>
          </w:tcPr>
          <w:p w14:paraId="37712341">
            <w:pPr>
              <w:rPr>
                <w:rFonts w:ascii="Times New Roman" w:hAnsi="Times New Roman"/>
                <w:color w:val="000000" w:themeColor="text1"/>
                <w:szCs w:val="20"/>
                <w14:textFill>
                  <w14:solidFill>
                    <w14:schemeClr w14:val="tx1"/>
                  </w14:solidFill>
                </w14:textFill>
              </w:rPr>
            </w:pPr>
          </w:p>
        </w:tc>
      </w:tr>
      <w:tr w14:paraId="343617D0">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79823D23">
            <w:pPr>
              <w:ind w:right="-170"/>
              <w:rPr>
                <w:rFonts w:ascii="Times New Roman" w:hAnsi="Times New Roman"/>
                <w:color w:val="000000" w:themeColor="text1"/>
                <w:szCs w:val="20"/>
                <w14:textFill>
                  <w14:solidFill>
                    <w14:schemeClr w14:val="tx1"/>
                  </w14:solidFill>
                </w14:textFill>
              </w:rPr>
            </w:pPr>
          </w:p>
        </w:tc>
        <w:tc>
          <w:tcPr>
            <w:tcW w:w="2042" w:type="dxa"/>
            <w:vAlign w:val="center"/>
          </w:tcPr>
          <w:p w14:paraId="1470533D">
            <w:pPr>
              <w:ind w:left="57"/>
              <w:rPr>
                <w:rFonts w:ascii="Times New Roman" w:hAnsi="Times New Roman"/>
                <w:color w:val="000000" w:themeColor="text1"/>
                <w:szCs w:val="20"/>
                <w14:textFill>
                  <w14:solidFill>
                    <w14:schemeClr w14:val="tx1"/>
                  </w14:solidFill>
                </w14:textFill>
              </w:rPr>
            </w:pPr>
          </w:p>
        </w:tc>
      </w:tr>
      <w:tr w14:paraId="62ACD0E9">
        <w:tblPrEx>
          <w:tblCellMar>
            <w:top w:w="0" w:type="dxa"/>
            <w:left w:w="0" w:type="dxa"/>
            <w:bottom w:w="0" w:type="dxa"/>
            <w:right w:w="0" w:type="dxa"/>
          </w:tblCellMar>
        </w:tblPrEx>
        <w:trPr>
          <w:gridAfter w:val="4"/>
          <w:wAfter w:w="6861" w:type="dxa"/>
          <w:trHeight w:val="312" w:hRule="exact"/>
        </w:trPr>
        <w:tc>
          <w:tcPr>
            <w:tcW w:w="737" w:type="dxa"/>
            <w:gridSpan w:val="2"/>
            <w:vAlign w:val="center"/>
          </w:tcPr>
          <w:p w14:paraId="1A3C5970">
            <w:pPr>
              <w:ind w:right="-170"/>
              <w:rPr>
                <w:rFonts w:ascii="Times New Roman" w:hAnsi="Times New Roman"/>
                <w:i/>
                <w:color w:val="000000" w:themeColor="text1"/>
                <w:szCs w:val="20"/>
                <w14:textFill>
                  <w14:solidFill>
                    <w14:schemeClr w14:val="tx1"/>
                  </w14:solidFill>
                </w14:textFill>
              </w:rPr>
            </w:pPr>
          </w:p>
        </w:tc>
        <w:tc>
          <w:tcPr>
            <w:tcW w:w="2042" w:type="dxa"/>
            <w:vAlign w:val="center"/>
          </w:tcPr>
          <w:p w14:paraId="183FCD1F">
            <w:pPr>
              <w:ind w:left="57"/>
              <w:rPr>
                <w:rFonts w:ascii="Times New Roman" w:hAnsi="Times New Roman"/>
                <w:i/>
                <w:color w:val="000000" w:themeColor="text1"/>
                <w:szCs w:val="20"/>
                <w14:textFill>
                  <w14:solidFill>
                    <w14:schemeClr w14:val="tx1"/>
                  </w14:solidFill>
                </w14:textFill>
              </w:rPr>
            </w:pPr>
          </w:p>
        </w:tc>
      </w:tr>
      <w:tr w14:paraId="565A3678">
        <w:tblPrEx>
          <w:tblCellMar>
            <w:top w:w="0" w:type="dxa"/>
            <w:left w:w="0" w:type="dxa"/>
            <w:bottom w:w="0" w:type="dxa"/>
            <w:right w:w="0" w:type="dxa"/>
          </w:tblCellMar>
        </w:tblPrEx>
        <w:trPr>
          <w:trHeight w:val="368" w:hRule="exact"/>
        </w:trPr>
        <w:tc>
          <w:tcPr>
            <w:tcW w:w="9640" w:type="dxa"/>
            <w:gridSpan w:val="7"/>
          </w:tcPr>
          <w:p w14:paraId="1AD772C2">
            <w:pPr>
              <w:spacing w:before="120" w:after="120"/>
              <w:rPr>
                <w:rFonts w:ascii="Times New Roman" w:hAnsi="Times New Roman"/>
                <w:color w:val="000000" w:themeColor="text1"/>
                <w:szCs w:val="20"/>
                <w14:textFill>
                  <w14:solidFill>
                    <w14:schemeClr w14:val="tx1"/>
                  </w14:solidFill>
                </w14:textFill>
              </w:rPr>
            </w:pPr>
          </w:p>
        </w:tc>
      </w:tr>
      <w:tr w14:paraId="3D0553F1">
        <w:tblPrEx>
          <w:tblCellMar>
            <w:top w:w="0" w:type="dxa"/>
            <w:left w:w="0" w:type="dxa"/>
            <w:bottom w:w="0" w:type="dxa"/>
            <w:right w:w="0" w:type="dxa"/>
          </w:tblCellMar>
        </w:tblPrEx>
        <w:trPr>
          <w:trHeight w:val="120" w:hRule="exact"/>
        </w:trPr>
        <w:tc>
          <w:tcPr>
            <w:tcW w:w="9640" w:type="dxa"/>
            <w:gridSpan w:val="7"/>
          </w:tcPr>
          <w:p w14:paraId="5DE88A0F">
            <w:pPr>
              <w:spacing w:before="120" w:after="120"/>
              <w:rPr>
                <w:rFonts w:ascii="Times New Roman" w:hAnsi="Times New Roman"/>
                <w:color w:val="000000" w:themeColor="text1"/>
                <w:szCs w:val="20"/>
                <w14:textFill>
                  <w14:solidFill>
                    <w14:schemeClr w14:val="tx1"/>
                  </w14:solidFill>
                </w14:textFill>
              </w:rPr>
            </w:pPr>
          </w:p>
        </w:tc>
      </w:tr>
      <w:tr w14:paraId="0269D202">
        <w:tblPrEx>
          <w:tblCellMar>
            <w:top w:w="0" w:type="dxa"/>
            <w:left w:w="0" w:type="dxa"/>
            <w:bottom w:w="0" w:type="dxa"/>
            <w:right w:w="0" w:type="dxa"/>
          </w:tblCellMar>
        </w:tblPrEx>
        <w:trPr>
          <w:trHeight w:val="518" w:hRule="exact"/>
        </w:trPr>
        <w:tc>
          <w:tcPr>
            <w:tcW w:w="9640" w:type="dxa"/>
            <w:gridSpan w:val="7"/>
          </w:tcPr>
          <w:p w14:paraId="10720D02">
            <w:pPr>
              <w:spacing w:before="120" w:after="120"/>
              <w:rPr>
                <w:rFonts w:ascii="Times New Roman" w:hAnsi="Times New Roman"/>
                <w:color w:val="000000" w:themeColor="text1"/>
                <w:szCs w:val="20"/>
                <w14:textFill>
                  <w14:solidFill>
                    <w14:schemeClr w14:val="tx1"/>
                  </w14:solidFill>
                </w14:textFill>
              </w:rPr>
            </w:pPr>
          </w:p>
        </w:tc>
      </w:tr>
      <w:tr w14:paraId="547643BC">
        <w:tblPrEx>
          <w:tblCellMar>
            <w:top w:w="0" w:type="dxa"/>
            <w:left w:w="0" w:type="dxa"/>
            <w:bottom w:w="0" w:type="dxa"/>
            <w:right w:w="0" w:type="dxa"/>
          </w:tblCellMar>
        </w:tblPrEx>
        <w:trPr>
          <w:trHeight w:val="722" w:hRule="exact"/>
        </w:trPr>
        <w:tc>
          <w:tcPr>
            <w:tcW w:w="9640" w:type="dxa"/>
            <w:gridSpan w:val="7"/>
            <w:vAlign w:val="center"/>
          </w:tcPr>
          <w:p w14:paraId="30AA46C2">
            <w:pPr>
              <w:spacing w:after="240" w:line="560" w:lineRule="exact"/>
              <w:ind w:right="28"/>
              <w:jc w:val="center"/>
              <w:rPr>
                <w:rFonts w:ascii="Times New Roman" w:hAnsi="Times New Roman"/>
                <w:color w:val="000000" w:themeColor="text1"/>
                <w:w w:val="140"/>
                <w:sz w:val="52"/>
                <w:szCs w:val="20"/>
                <w14:textFill>
                  <w14:solidFill>
                    <w14:schemeClr w14:val="tx1"/>
                  </w14:solidFill>
                </w14:textFill>
              </w:rPr>
            </w:pPr>
            <w:r>
              <w:rPr>
                <w:rFonts w:ascii="Times New Roman" w:hAnsi="Times New Roman"/>
                <w:color w:val="000000" w:themeColor="text1"/>
                <w:w w:val="140"/>
                <w:sz w:val="52"/>
                <w:szCs w:val="20"/>
                <w14:textFill>
                  <w14:solidFill>
                    <w14:schemeClr w14:val="tx1"/>
                  </w14:solidFill>
                </w14:textFill>
              </w:rPr>
              <w:t>团体标准</w:t>
            </w:r>
          </w:p>
          <w:p w14:paraId="0F694484">
            <w:pPr>
              <w:spacing w:line="520" w:lineRule="exact"/>
              <w:rPr>
                <w:rFonts w:ascii="Times New Roman" w:hAnsi="Times New Roman"/>
                <w:color w:val="000000" w:themeColor="text1"/>
                <w:w w:val="140"/>
                <w:sz w:val="52"/>
                <w:szCs w:val="20"/>
                <w14:textFill>
                  <w14:solidFill>
                    <w14:schemeClr w14:val="tx1"/>
                  </w14:solidFill>
                </w14:textFill>
              </w:rPr>
            </w:pPr>
          </w:p>
        </w:tc>
      </w:tr>
      <w:tr w14:paraId="289F797D">
        <w:tblPrEx>
          <w:tblCellMar>
            <w:top w:w="0" w:type="dxa"/>
            <w:left w:w="0" w:type="dxa"/>
            <w:bottom w:w="0" w:type="dxa"/>
            <w:right w:w="0" w:type="dxa"/>
          </w:tblCellMar>
        </w:tblPrEx>
        <w:trPr>
          <w:trHeight w:val="1323" w:hRule="exact"/>
        </w:trPr>
        <w:tc>
          <w:tcPr>
            <w:tcW w:w="9640" w:type="dxa"/>
            <w:gridSpan w:val="7"/>
          </w:tcPr>
          <w:p w14:paraId="58115D96">
            <w:pPr>
              <w:widowControl/>
              <w:spacing w:before="357" w:line="280" w:lineRule="exact"/>
              <w:jc w:val="right"/>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T/CACM ****—202*</w:t>
            </w:r>
          </w:p>
          <w:p w14:paraId="2D40189D">
            <w:pPr>
              <w:widowControl/>
              <w:spacing w:before="357" w:line="280" w:lineRule="exact"/>
              <w:jc w:val="right"/>
              <w:rPr>
                <w:rFonts w:ascii="Times New Roman" w:hAnsi="Times New Roman"/>
                <w:color w:val="000000" w:themeColor="text1"/>
                <w:kern w:val="0"/>
                <w:sz w:val="28"/>
                <w:szCs w:val="28"/>
                <w14:textFill>
                  <w14:solidFill>
                    <w14:schemeClr w14:val="tx1"/>
                  </w14:solidFill>
                </w14:textFill>
              </w:rPr>
            </w:pPr>
          </w:p>
          <w:p w14:paraId="0EFCFFB4">
            <w:pPr>
              <w:widowControl/>
              <w:spacing w:before="357" w:line="280" w:lineRule="exact"/>
              <w:jc w:val="right"/>
              <w:rPr>
                <w:rFonts w:ascii="Times New Roman" w:hAnsi="Times New Roman"/>
                <w:color w:val="000000" w:themeColor="text1"/>
                <w:kern w:val="0"/>
                <w:sz w:val="28"/>
                <w:szCs w:val="28"/>
                <w14:textFill>
                  <w14:solidFill>
                    <w14:schemeClr w14:val="tx1"/>
                  </w14:solidFill>
                </w14:textFill>
              </w:rPr>
            </w:pPr>
          </w:p>
          <w:p w14:paraId="1AEA4681">
            <w:pPr>
              <w:jc w:val="center"/>
              <w:rPr>
                <w:rFonts w:ascii="Times New Roman" w:hAnsi="Times New Roman"/>
                <w:b/>
                <w:color w:val="000000" w:themeColor="text1"/>
                <w:sz w:val="52"/>
                <w:szCs w:val="20"/>
                <w14:textFill>
                  <w14:solidFill>
                    <w14:schemeClr w14:val="tx1"/>
                  </w14:solidFill>
                </w14:textFill>
              </w:rPr>
            </w:pPr>
          </w:p>
        </w:tc>
      </w:tr>
      <w:tr w14:paraId="7ACD619D">
        <w:tblPrEx>
          <w:tblCellMar>
            <w:top w:w="0" w:type="dxa"/>
            <w:left w:w="0" w:type="dxa"/>
            <w:bottom w:w="0" w:type="dxa"/>
            <w:right w:w="0" w:type="dxa"/>
          </w:tblCellMar>
        </w:tblPrEx>
        <w:trPr>
          <w:cantSplit/>
          <w:trHeight w:val="60" w:hRule="exact"/>
        </w:trPr>
        <w:tc>
          <w:tcPr>
            <w:tcW w:w="3232" w:type="dxa"/>
            <w:gridSpan w:val="4"/>
            <w:vAlign w:val="center"/>
          </w:tcPr>
          <w:p w14:paraId="090473D9">
            <w:pPr>
              <w:rPr>
                <w:rFonts w:ascii="Times New Roman" w:hAnsi="Times New Roman"/>
                <w:color w:val="000000" w:themeColor="text1"/>
                <w:szCs w:val="20"/>
                <w14:textFill>
                  <w14:solidFill>
                    <w14:schemeClr w14:val="tx1"/>
                  </w14:solidFill>
                </w14:textFill>
              </w:rPr>
            </w:pPr>
          </w:p>
        </w:tc>
        <w:tc>
          <w:tcPr>
            <w:tcW w:w="1134" w:type="dxa"/>
            <w:vAlign w:val="center"/>
          </w:tcPr>
          <w:p w14:paraId="0ADD1198">
            <w:pPr>
              <w:jc w:val="right"/>
              <w:rPr>
                <w:rFonts w:ascii="Times New Roman" w:hAnsi="Times New Roman"/>
                <w:color w:val="000000" w:themeColor="text1"/>
                <w:szCs w:val="20"/>
                <w14:textFill>
                  <w14:solidFill>
                    <w14:schemeClr w14:val="tx1"/>
                  </w14:solidFill>
                </w14:textFill>
              </w:rPr>
            </w:pPr>
          </w:p>
        </w:tc>
        <w:tc>
          <w:tcPr>
            <w:tcW w:w="5124" w:type="dxa"/>
            <w:vAlign w:val="center"/>
          </w:tcPr>
          <w:p w14:paraId="5DF8ABD0">
            <w:pPr>
              <w:wordWrap w:val="0"/>
              <w:jc w:val="right"/>
              <w:rPr>
                <w:rFonts w:ascii="Times New Roman" w:hAnsi="Times New Roman"/>
                <w:color w:val="000000" w:themeColor="text1"/>
                <w:szCs w:val="20"/>
                <w14:textFill>
                  <w14:solidFill>
                    <w14:schemeClr w14:val="tx1"/>
                  </w14:solidFill>
                </w14:textFill>
              </w:rPr>
            </w:pPr>
          </w:p>
        </w:tc>
        <w:tc>
          <w:tcPr>
            <w:tcW w:w="150" w:type="dxa"/>
            <w:vAlign w:val="center"/>
          </w:tcPr>
          <w:p w14:paraId="27E4423A">
            <w:pPr>
              <w:rPr>
                <w:rFonts w:ascii="Times New Roman" w:hAnsi="Times New Roman"/>
                <w:color w:val="000000" w:themeColor="text1"/>
                <w:szCs w:val="20"/>
                <w14:textFill>
                  <w14:solidFill>
                    <w14:schemeClr w14:val="tx1"/>
                  </w14:solidFill>
                </w14:textFill>
              </w:rPr>
            </w:pPr>
          </w:p>
        </w:tc>
      </w:tr>
      <w:tr w14:paraId="4F9C1A63">
        <w:tblPrEx>
          <w:tblCellMar>
            <w:top w:w="0" w:type="dxa"/>
            <w:left w:w="0" w:type="dxa"/>
            <w:bottom w:w="0" w:type="dxa"/>
            <w:right w:w="0" w:type="dxa"/>
          </w:tblCellMar>
        </w:tblPrEx>
        <w:trPr>
          <w:trHeight w:val="1938" w:hRule="exact"/>
        </w:trPr>
        <w:tc>
          <w:tcPr>
            <w:tcW w:w="9640" w:type="dxa"/>
            <w:gridSpan w:val="7"/>
            <w:tcBorders>
              <w:top w:val="single" w:color="auto" w:sz="8" w:space="0"/>
            </w:tcBorders>
            <w:vAlign w:val="center"/>
          </w:tcPr>
          <w:p w14:paraId="3426CD3B">
            <w:pPr>
              <w:jc w:val="center"/>
              <w:rPr>
                <w:rFonts w:ascii="Times New Roman" w:hAnsi="Times New Roman"/>
                <w:color w:val="000000" w:themeColor="text1"/>
                <w:sz w:val="52"/>
                <w:szCs w:val="20"/>
                <w14:textFill>
                  <w14:solidFill>
                    <w14:schemeClr w14:val="tx1"/>
                  </w14:solidFill>
                </w14:textFill>
              </w:rPr>
            </w:pPr>
          </w:p>
        </w:tc>
      </w:tr>
      <w:tr w14:paraId="49C053FB">
        <w:tblPrEx>
          <w:tblCellMar>
            <w:top w:w="0" w:type="dxa"/>
            <w:left w:w="0" w:type="dxa"/>
            <w:bottom w:w="0" w:type="dxa"/>
            <w:right w:w="0" w:type="dxa"/>
          </w:tblCellMar>
        </w:tblPrEx>
        <w:trPr>
          <w:trHeight w:val="834" w:hRule="exact"/>
        </w:trPr>
        <w:tc>
          <w:tcPr>
            <w:tcW w:w="9640" w:type="dxa"/>
            <w:gridSpan w:val="7"/>
            <w:vAlign w:val="center"/>
          </w:tcPr>
          <w:p w14:paraId="32AD2C85">
            <w:pPr>
              <w:spacing w:line="680" w:lineRule="exact"/>
              <w:jc w:val="center"/>
              <w:textAlignment w:val="center"/>
              <w:rPr>
                <w:rFonts w:ascii="Times New Roman" w:hAnsi="Times New Roman"/>
                <w:color w:val="000000" w:themeColor="text1"/>
                <w:kern w:val="0"/>
                <w:sz w:val="52"/>
                <w:szCs w:val="20"/>
                <w14:textFill>
                  <w14:solidFill>
                    <w14:schemeClr w14:val="tx1"/>
                  </w14:solidFill>
                </w14:textFill>
              </w:rPr>
            </w:pPr>
            <w:r>
              <w:rPr>
                <w:rFonts w:ascii="Times New Roman" w:hAnsi="Times New Roman"/>
                <w:color w:val="000000" w:themeColor="text1"/>
                <w:sz w:val="48"/>
                <w:szCs w:val="48"/>
                <w14:textFill>
                  <w14:solidFill>
                    <w14:schemeClr w14:val="tx1"/>
                  </w14:solidFill>
                </w14:textFill>
              </w:rPr>
              <w:t>子痫前期中医诊疗指南</w:t>
            </w:r>
          </w:p>
          <w:p w14:paraId="3891BB04">
            <w:pPr>
              <w:spacing w:line="640" w:lineRule="exact"/>
              <w:jc w:val="center"/>
              <w:rPr>
                <w:rFonts w:ascii="Times New Roman" w:hAnsi="Times New Roman"/>
                <w:color w:val="000000" w:themeColor="text1"/>
                <w:spacing w:val="-6"/>
                <w:sz w:val="52"/>
                <w:szCs w:val="52"/>
                <w14:textFill>
                  <w14:solidFill>
                    <w14:schemeClr w14:val="tx1"/>
                  </w14:solidFill>
                </w14:textFill>
              </w:rPr>
            </w:pPr>
          </w:p>
        </w:tc>
      </w:tr>
      <w:tr w14:paraId="42D00B73">
        <w:tblPrEx>
          <w:tblCellMar>
            <w:top w:w="0" w:type="dxa"/>
            <w:left w:w="0" w:type="dxa"/>
            <w:bottom w:w="0" w:type="dxa"/>
            <w:right w:w="0" w:type="dxa"/>
          </w:tblCellMar>
        </w:tblPrEx>
        <w:trPr>
          <w:trHeight w:val="1122" w:hRule="exact"/>
        </w:trPr>
        <w:tc>
          <w:tcPr>
            <w:tcW w:w="9640" w:type="dxa"/>
            <w:gridSpan w:val="7"/>
            <w:vAlign w:val="center"/>
          </w:tcPr>
          <w:p w14:paraId="7262A19E">
            <w:pPr>
              <w:jc w:val="center"/>
              <w:rPr>
                <w:rFonts w:ascii="Times New Roman" w:hAnsi="Times New Roman"/>
                <w:color w:val="000000" w:themeColor="text1"/>
                <w:szCs w:val="20"/>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Guidelines for traditional Chinese medical diagnosis and treatment of preeclampsia</w:t>
            </w:r>
          </w:p>
          <w:p w14:paraId="4CDF17A5">
            <w:pPr>
              <w:spacing w:line="0" w:lineRule="atLeast"/>
              <w:jc w:val="center"/>
              <w:rPr>
                <w:rFonts w:ascii="Times New Roman" w:hAnsi="Times New Roman"/>
                <w:color w:val="000000" w:themeColor="text1"/>
                <w:sz w:val="22"/>
                <w:szCs w:val="28"/>
                <w14:textFill>
                  <w14:solidFill>
                    <w14:schemeClr w14:val="tx1"/>
                  </w14:solidFill>
                </w14:textFill>
              </w:rPr>
            </w:pPr>
            <w:r>
              <w:rPr>
                <w:rFonts w:ascii="Times New Roman" w:hAnsi="Times New Roman"/>
                <w:color w:val="000000" w:themeColor="text1"/>
                <w:sz w:val="22"/>
                <w:szCs w:val="28"/>
                <w14:textFill>
                  <w14:solidFill>
                    <w14:schemeClr w14:val="tx1"/>
                  </w14:solidFill>
                </w14:textFill>
              </w:rPr>
              <w:t>（文件类型：</w:t>
            </w:r>
            <w:r>
              <w:rPr>
                <w:rFonts w:hint="eastAsia" w:ascii="Times New Roman" w:hAnsi="Times New Roman"/>
                <w:color w:val="000000" w:themeColor="text1"/>
                <w:sz w:val="22"/>
                <w:szCs w:val="28"/>
                <w14:textFill>
                  <w14:solidFill>
                    <w14:schemeClr w14:val="tx1"/>
                  </w14:solidFill>
                </w14:textFill>
              </w:rPr>
              <w:t>公示稿</w:t>
            </w:r>
            <w:r>
              <w:rPr>
                <w:rFonts w:ascii="Times New Roman" w:hAnsi="Times New Roman"/>
                <w:color w:val="000000" w:themeColor="text1"/>
                <w:sz w:val="22"/>
                <w:szCs w:val="28"/>
                <w14:textFill>
                  <w14:solidFill>
                    <w14:schemeClr w14:val="tx1"/>
                  </w14:solidFill>
                </w14:textFill>
              </w:rPr>
              <w:t>）</w:t>
            </w:r>
          </w:p>
          <w:p w14:paraId="259AE857">
            <w:pPr>
              <w:spacing w:line="0" w:lineRule="atLeast"/>
              <w:jc w:val="center"/>
              <w:rPr>
                <w:rFonts w:ascii="Times New Roman" w:hAnsi="Times New Roman"/>
                <w:color w:val="000000" w:themeColor="text1"/>
                <w:sz w:val="28"/>
                <w:szCs w:val="28"/>
                <w14:textFill>
                  <w14:solidFill>
                    <w14:schemeClr w14:val="tx1"/>
                  </w14:solidFill>
                </w14:textFill>
              </w:rPr>
            </w:pPr>
          </w:p>
        </w:tc>
      </w:tr>
      <w:tr w14:paraId="2FF53412">
        <w:tblPrEx>
          <w:tblCellMar>
            <w:top w:w="0" w:type="dxa"/>
            <w:left w:w="0" w:type="dxa"/>
            <w:bottom w:w="0" w:type="dxa"/>
            <w:right w:w="0" w:type="dxa"/>
          </w:tblCellMar>
        </w:tblPrEx>
        <w:trPr>
          <w:trHeight w:val="454" w:hRule="exact"/>
        </w:trPr>
        <w:tc>
          <w:tcPr>
            <w:tcW w:w="9640" w:type="dxa"/>
            <w:gridSpan w:val="7"/>
            <w:vAlign w:val="center"/>
          </w:tcPr>
          <w:p w14:paraId="42541D4F">
            <w:pPr>
              <w:spacing w:line="360" w:lineRule="exact"/>
              <w:jc w:val="center"/>
              <w:rPr>
                <w:rFonts w:ascii="Times New Roman" w:hAnsi="Times New Roman"/>
                <w:b/>
                <w:color w:val="000000" w:themeColor="text1"/>
                <w:sz w:val="28"/>
                <w:szCs w:val="28"/>
                <w14:textFill>
                  <w14:solidFill>
                    <w14:schemeClr w14:val="tx1"/>
                  </w14:solidFill>
                </w14:textFill>
              </w:rPr>
            </w:pPr>
            <w:r>
              <w:rPr>
                <w:rFonts w:ascii="Times New Roman" w:hAnsi="Times New Roman"/>
                <w:color w:val="000000" w:themeColor="text1"/>
                <w:sz w:val="22"/>
                <w:szCs w:val="28"/>
                <w14:textFill>
                  <w14:solidFill>
                    <w14:schemeClr w14:val="tx1"/>
                  </w14:solidFill>
                </w14:textFill>
              </w:rPr>
              <w:t>（完成时间：2024年</w:t>
            </w:r>
            <w:r>
              <w:rPr>
                <w:rFonts w:hint="eastAsia" w:ascii="Times New Roman" w:hAnsi="Times New Roman"/>
                <w:color w:val="000000" w:themeColor="text1"/>
                <w:sz w:val="22"/>
                <w:szCs w:val="28"/>
                <w14:textFill>
                  <w14:solidFill>
                    <w14:schemeClr w14:val="tx1"/>
                  </w14:solidFill>
                </w14:textFill>
              </w:rPr>
              <w:t>12</w:t>
            </w:r>
            <w:r>
              <w:rPr>
                <w:rFonts w:ascii="Times New Roman" w:hAnsi="Times New Roman"/>
                <w:color w:val="000000" w:themeColor="text1"/>
                <w:sz w:val="22"/>
                <w:szCs w:val="28"/>
                <w14:textFill>
                  <w14:solidFill>
                    <w14:schemeClr w14:val="tx1"/>
                  </w14:solidFill>
                </w14:textFill>
              </w:rPr>
              <w:t>月）</w:t>
            </w:r>
          </w:p>
        </w:tc>
      </w:tr>
    </w:tbl>
    <w:p w14:paraId="6CDB5E3E">
      <w:pPr>
        <w:rPr>
          <w:rFonts w:ascii="Times New Roman" w:hAnsi="Times New Roman"/>
          <w:color w:val="000000" w:themeColor="text1"/>
          <w:szCs w:val="20"/>
          <w14:textFill>
            <w14:solidFill>
              <w14:schemeClr w14:val="tx1"/>
            </w14:solidFill>
          </w14:textFill>
        </w:rPr>
      </w:pPr>
    </w:p>
    <w:p w14:paraId="36BB6A35">
      <w:pPr>
        <w:rPr>
          <w:rFonts w:ascii="Times New Roman" w:hAnsi="Times New Roman"/>
          <w:color w:val="000000" w:themeColor="text1"/>
          <w:szCs w:val="20"/>
          <w14:textFill>
            <w14:solidFill>
              <w14:schemeClr w14:val="tx1"/>
            </w14:solidFill>
          </w14:textFill>
        </w:rPr>
      </w:pPr>
    </w:p>
    <w:p w14:paraId="4EE64C7E">
      <w:pPr>
        <w:rPr>
          <w:rFonts w:ascii="Times New Roman" w:hAnsi="Times New Roman"/>
          <w:color w:val="000000" w:themeColor="text1"/>
          <w:szCs w:val="20"/>
          <w14:textFill>
            <w14:solidFill>
              <w14:schemeClr w14:val="tx1"/>
            </w14:solidFill>
          </w14:textFill>
        </w:rPr>
      </w:pPr>
    </w:p>
    <w:p w14:paraId="7411646C">
      <w:pPr>
        <w:rPr>
          <w:rFonts w:ascii="Times New Roman" w:hAnsi="Times New Roman"/>
          <w:color w:val="000000" w:themeColor="text1"/>
          <w:sz w:val="30"/>
          <w:szCs w:val="30"/>
          <w14:textFill>
            <w14:solidFill>
              <w14:schemeClr w14:val="tx1"/>
            </w14:solidFill>
          </w14:textFill>
        </w:rPr>
      </w:pPr>
    </w:p>
    <w:p w14:paraId="5A467D97">
      <w:pPr>
        <w:rPr>
          <w:rFonts w:ascii="Times New Roman" w:hAnsi="Times New Roman"/>
          <w:color w:val="000000" w:themeColor="text1"/>
          <w:sz w:val="30"/>
          <w:szCs w:val="30"/>
          <w14:textFill>
            <w14:solidFill>
              <w14:schemeClr w14:val="tx1"/>
            </w14:solidFill>
          </w14:textFill>
        </w:rPr>
      </w:pPr>
    </w:p>
    <w:p w14:paraId="5D4CFB85">
      <w:pPr>
        <w:rPr>
          <w:rFonts w:ascii="Times New Roman" w:hAnsi="Times New Roman"/>
          <w:color w:val="000000" w:themeColor="text1"/>
          <w:sz w:val="30"/>
          <w:szCs w:val="30"/>
          <w14:textFill>
            <w14:solidFill>
              <w14:schemeClr w14:val="tx1"/>
            </w14:solidFill>
          </w14:textFill>
        </w:rPr>
      </w:pPr>
    </w:p>
    <w:p w14:paraId="6D5A0C35">
      <w:pPr>
        <w:rPr>
          <w:rFonts w:ascii="Times New Roman" w:hAnsi="Times New Roman"/>
          <w:color w:val="000000" w:themeColor="text1"/>
          <w:sz w:val="30"/>
          <w:szCs w:val="30"/>
          <w14:textFill>
            <w14:solidFill>
              <w14:schemeClr w14:val="tx1"/>
            </w14:solidFill>
          </w14:textFill>
        </w:rPr>
      </w:pPr>
    </w:p>
    <w:p w14:paraId="329346DD">
      <w:pPr>
        <w:rPr>
          <w:rFonts w:ascii="Times New Roman" w:hAnsi="Times New Roman"/>
          <w:color w:val="000000" w:themeColor="text1"/>
          <w:sz w:val="30"/>
          <w:szCs w:val="30"/>
          <w14:textFill>
            <w14:solidFill>
              <w14:schemeClr w14:val="tx1"/>
            </w14:solidFill>
          </w14:textFill>
        </w:rPr>
      </w:pPr>
    </w:p>
    <w:p w14:paraId="57125EA1">
      <w:pPr>
        <w:rPr>
          <w:rFonts w:ascii="Times New Roman" w:hAnsi="Times New Roman"/>
          <w:color w:val="000000" w:themeColor="text1"/>
          <w:sz w:val="30"/>
          <w:szCs w:val="30"/>
          <w14:textFill>
            <w14:solidFill>
              <w14:schemeClr w14:val="tx1"/>
            </w14:solidFill>
          </w14:textFill>
        </w:rPr>
      </w:pPr>
    </w:p>
    <w:p w14:paraId="76C5383A">
      <w:pPr>
        <w:rPr>
          <w:rFonts w:ascii="Times New Roman" w:hAnsi="Times New Roman"/>
          <w:color w:val="000000" w:themeColor="text1"/>
          <w:sz w:val="30"/>
          <w:szCs w:val="30"/>
          <w14:textFill>
            <w14:solidFill>
              <w14:schemeClr w14:val="tx1"/>
            </w14:solidFill>
          </w14:textFill>
        </w:rPr>
      </w:pPr>
    </w:p>
    <w:p w14:paraId="070AFEF0">
      <w:pPr>
        <w:rPr>
          <w:rFonts w:ascii="Times New Roman" w:hAnsi="Times New Roman"/>
          <w:color w:val="000000" w:themeColor="text1"/>
          <w:sz w:val="30"/>
          <w:szCs w:val="30"/>
          <w14:textFill>
            <w14:solidFill>
              <w14:schemeClr w14:val="tx1"/>
            </w14:solidFill>
          </w14:textFill>
        </w:rPr>
      </w:pPr>
    </w:p>
    <w:p w14:paraId="4BE2E606">
      <w:pPr>
        <w:rPr>
          <w:rFonts w:ascii="Times New Roman" w:hAnsi="Times New Roman"/>
          <w:color w:val="000000" w:themeColor="text1"/>
          <w:sz w:val="30"/>
          <w:szCs w:val="30"/>
          <w14:textFill>
            <w14:solidFill>
              <w14:schemeClr w14:val="tx1"/>
            </w14:solidFill>
          </w14:textFill>
        </w:rPr>
      </w:pPr>
    </w:p>
    <w:p w14:paraId="5A9F4DCB">
      <w:pPr>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-457200</wp:posOffset>
                </wp:positionH>
                <wp:positionV relativeFrom="page">
                  <wp:posOffset>8317230</wp:posOffset>
                </wp:positionV>
                <wp:extent cx="6120130" cy="2160270"/>
                <wp:effectExtent l="0" t="0" r="4445" b="190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ffectLst/>
                      </wps:spPr>
                      <wps:txbx>
                        <w:txbxContent>
                          <w:tbl>
                            <w:tblPr>
                              <w:tblStyle w:val="22"/>
                              <w:tblW w:w="0" w:type="auto"/>
                              <w:jc w:val="center"/>
                              <w:tblLayout w:type="fixed"/>
                              <w:tblCellMar>
                                <w:top w:w="0" w:type="dxa"/>
                                <w:left w:w="0" w:type="dxa"/>
                                <w:bottom w:w="0" w:type="dxa"/>
                                <w:right w:w="0" w:type="dxa"/>
                              </w:tblCellMar>
                            </w:tblPr>
                            <w:tblGrid>
                              <w:gridCol w:w="3232"/>
                              <w:gridCol w:w="3175"/>
                              <w:gridCol w:w="3232"/>
                            </w:tblGrid>
                            <w:tr w14:paraId="3789A823">
                              <w:tblPrEx>
                                <w:tblCellMar>
                                  <w:top w:w="0" w:type="dxa"/>
                                  <w:left w:w="0" w:type="dxa"/>
                                  <w:bottom w:w="0" w:type="dxa"/>
                                  <w:right w:w="0" w:type="dxa"/>
                                </w:tblCellMar>
                              </w:tblPrEx>
                              <w:trPr>
                                <w:trHeight w:val="312" w:hRule="exact"/>
                                <w:jc w:val="center"/>
                              </w:trPr>
                              <w:tc>
                                <w:tcPr>
                                  <w:tcW w:w="9639" w:type="dxa"/>
                                  <w:gridSpan w:val="3"/>
                                </w:tcPr>
                                <w:p w14:paraId="6B7D0DDC"/>
                              </w:tc>
                            </w:tr>
                            <w:tr w14:paraId="304B6855">
                              <w:tblPrEx>
                                <w:tblCellMar>
                                  <w:top w:w="0" w:type="dxa"/>
                                  <w:left w:w="0" w:type="dxa"/>
                                  <w:bottom w:w="0" w:type="dxa"/>
                                  <w:right w:w="0" w:type="dxa"/>
                                </w:tblCellMar>
                              </w:tblPrEx>
                              <w:trPr>
                                <w:trHeight w:val="567" w:hRule="exact"/>
                                <w:jc w:val="center"/>
                              </w:trPr>
                              <w:tc>
                                <w:tcPr>
                                  <w:tcW w:w="9639" w:type="dxa"/>
                                  <w:gridSpan w:val="3"/>
                                </w:tcPr>
                                <w:p w14:paraId="37040548"/>
                              </w:tc>
                            </w:tr>
                            <w:tr w14:paraId="11333E99">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57EE622A">
                                  <w:pPr>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6F38C490">
                                  <w:pPr>
                                    <w:jc w:val="center"/>
                                    <w:rPr>
                                      <w:rFonts w:ascii="黑体" w:eastAsia="黑体"/>
                                      <w:sz w:val="28"/>
                                    </w:rPr>
                                  </w:pPr>
                                </w:p>
                              </w:tc>
                              <w:tc>
                                <w:tcPr>
                                  <w:tcW w:w="3232" w:type="dxa"/>
                                  <w:tcBorders>
                                    <w:bottom w:val="single" w:color="auto" w:sz="8" w:space="0"/>
                                  </w:tcBorders>
                                  <w:vAlign w:val="bottom"/>
                                </w:tcPr>
                                <w:p w14:paraId="6FD9CA4F">
                                  <w:pPr>
                                    <w:jc w:val="right"/>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5C5214CE">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75F53DD5">
                                  <w:pPr>
                                    <w:jc w:val="center"/>
                                    <w:rPr>
                                      <w:rFonts w:eastAsia="黑体"/>
                                      <w:spacing w:val="30"/>
                                      <w:sz w:val="32"/>
                                    </w:rPr>
                                  </w:pPr>
                                </w:p>
                              </w:tc>
                            </w:tr>
                            <w:tr w14:paraId="7A76F488">
                              <w:tblPrEx>
                                <w:tblCellMar>
                                  <w:top w:w="0" w:type="dxa"/>
                                  <w:left w:w="0" w:type="dxa"/>
                                  <w:bottom w:w="0" w:type="dxa"/>
                                  <w:right w:w="0" w:type="dxa"/>
                                </w:tblCellMar>
                              </w:tblPrEx>
                              <w:trPr>
                                <w:trHeight w:val="380" w:hRule="exact"/>
                                <w:jc w:val="center"/>
                              </w:trPr>
                              <w:tc>
                                <w:tcPr>
                                  <w:tcW w:w="9639" w:type="dxa"/>
                                  <w:gridSpan w:val="3"/>
                                </w:tcPr>
                                <w:p w14:paraId="53F50969">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408FFB1E"/>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pt;margin-top:654.9pt;height:170.1pt;width:481.9pt;mso-position-vertical-relative:page;z-index:251662336;mso-width-relative:page;mso-height-relative:page;" fillcolor="#FFFFFF" filled="t" stroked="f" coordsize="21600,21600" o:allowincell="f" o:gfxdata="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gM1SvbAAAADQEAAA8AAAAAAAAAAQAgAAAAIgAAAGRycy9kb3ducmV2LnhtbFBLAQIUABQA&#10;AAAIAIdO4kAKHjVEJgIAAD8EAAAOAAAAAAAAAAEAIAAAACoBAABkcnMvZTJvRG9jLnhtbFBLBQYA&#10;AAAABgAGAFkBAADCBQAAAAA=&#10;">
                <v:fill on="t" focussize="0,0"/>
                <v:stroke on="f"/>
                <v:imagedata o:title=""/>
                <o:lock v:ext="edit" aspectratio="f"/>
                <v:textbox inset="0mm,0mm,0mm,0mm">
                  <w:txbxContent>
                    <w:tbl>
                      <w:tblPr>
                        <w:tblStyle w:val="22"/>
                        <w:tblW w:w="0" w:type="auto"/>
                        <w:jc w:val="center"/>
                        <w:tblLayout w:type="fixed"/>
                        <w:tblCellMar>
                          <w:top w:w="0" w:type="dxa"/>
                          <w:left w:w="0" w:type="dxa"/>
                          <w:bottom w:w="0" w:type="dxa"/>
                          <w:right w:w="0" w:type="dxa"/>
                        </w:tblCellMar>
                      </w:tblPr>
                      <w:tblGrid>
                        <w:gridCol w:w="3232"/>
                        <w:gridCol w:w="3175"/>
                        <w:gridCol w:w="3232"/>
                      </w:tblGrid>
                      <w:tr w14:paraId="3789A823">
                        <w:tblPrEx>
                          <w:tblCellMar>
                            <w:top w:w="0" w:type="dxa"/>
                            <w:left w:w="0" w:type="dxa"/>
                            <w:bottom w:w="0" w:type="dxa"/>
                            <w:right w:w="0" w:type="dxa"/>
                          </w:tblCellMar>
                        </w:tblPrEx>
                        <w:trPr>
                          <w:trHeight w:val="312" w:hRule="exact"/>
                          <w:jc w:val="center"/>
                        </w:trPr>
                        <w:tc>
                          <w:tcPr>
                            <w:tcW w:w="9639" w:type="dxa"/>
                            <w:gridSpan w:val="3"/>
                          </w:tcPr>
                          <w:p w14:paraId="6B7D0DDC"/>
                        </w:tc>
                      </w:tr>
                      <w:tr w14:paraId="304B6855">
                        <w:tblPrEx>
                          <w:tblCellMar>
                            <w:top w:w="0" w:type="dxa"/>
                            <w:left w:w="0" w:type="dxa"/>
                            <w:bottom w:w="0" w:type="dxa"/>
                            <w:right w:w="0" w:type="dxa"/>
                          </w:tblCellMar>
                        </w:tblPrEx>
                        <w:trPr>
                          <w:trHeight w:val="567" w:hRule="exact"/>
                          <w:jc w:val="center"/>
                        </w:trPr>
                        <w:tc>
                          <w:tcPr>
                            <w:tcW w:w="9639" w:type="dxa"/>
                            <w:gridSpan w:val="3"/>
                          </w:tcPr>
                          <w:p w14:paraId="37040548"/>
                        </w:tc>
                      </w:tr>
                      <w:tr w14:paraId="11333E99">
                        <w:tblPrEx>
                          <w:tblCellMar>
                            <w:top w:w="0" w:type="dxa"/>
                            <w:left w:w="0" w:type="dxa"/>
                            <w:bottom w:w="0" w:type="dxa"/>
                            <w:right w:w="0" w:type="dxa"/>
                          </w:tblCellMar>
                        </w:tblPrEx>
                        <w:trPr>
                          <w:trHeight w:val="567" w:hRule="exact"/>
                          <w:jc w:val="center"/>
                        </w:trPr>
                        <w:tc>
                          <w:tcPr>
                            <w:tcW w:w="3232" w:type="dxa"/>
                            <w:tcBorders>
                              <w:bottom w:val="single" w:color="auto" w:sz="8" w:space="0"/>
                            </w:tcBorders>
                            <w:vAlign w:val="bottom"/>
                          </w:tcPr>
                          <w:p w14:paraId="57EE622A">
                            <w:pPr>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发布</w:t>
                            </w:r>
                          </w:p>
                        </w:tc>
                        <w:tc>
                          <w:tcPr>
                            <w:tcW w:w="3175" w:type="dxa"/>
                            <w:tcBorders>
                              <w:bottom w:val="single" w:color="auto" w:sz="8" w:space="0"/>
                            </w:tcBorders>
                            <w:vAlign w:val="bottom"/>
                          </w:tcPr>
                          <w:p w14:paraId="6F38C490">
                            <w:pPr>
                              <w:jc w:val="center"/>
                              <w:rPr>
                                <w:rFonts w:ascii="黑体" w:eastAsia="黑体"/>
                                <w:sz w:val="28"/>
                              </w:rPr>
                            </w:pPr>
                          </w:p>
                        </w:tc>
                        <w:tc>
                          <w:tcPr>
                            <w:tcW w:w="3232" w:type="dxa"/>
                            <w:tcBorders>
                              <w:bottom w:val="single" w:color="auto" w:sz="8" w:space="0"/>
                            </w:tcBorders>
                            <w:vAlign w:val="bottom"/>
                          </w:tcPr>
                          <w:p w14:paraId="6FD9CA4F">
                            <w:pPr>
                              <w:jc w:val="right"/>
                              <w:rPr>
                                <w:rFonts w:ascii="黑体" w:hAnsi="黑体" w:eastAsia="黑体"/>
                              </w:rPr>
                            </w:pPr>
                            <w:r>
                              <w:rPr>
                                <w:rFonts w:hint="eastAsia" w:ascii="黑体" w:hAnsi="黑体" w:eastAsia="黑体"/>
                                <w:spacing w:val="10"/>
                                <w:sz w:val="28"/>
                                <w:szCs w:val="28"/>
                              </w:rPr>
                              <w:t>20</w:t>
                            </w:r>
                            <w:r>
                              <w:rPr>
                                <w:rFonts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w:t>
                            </w:r>
                            <w:r>
                              <w:rPr>
                                <w:rFonts w:hint="eastAsia" w:ascii="黑体" w:hAnsi="黑体" w:eastAsia="黑体"/>
                                <w:spacing w:val="10"/>
                                <w:sz w:val="28"/>
                                <w:szCs w:val="28"/>
                              </w:rPr>
                              <w:t>**</w:t>
                            </w:r>
                            <w:r>
                              <w:rPr>
                                <w:rFonts w:hint="eastAsia" w:ascii="黑体" w:hAnsi="黑体" w:eastAsia="黑体"/>
                                <w:sz w:val="28"/>
                              </w:rPr>
                              <w:t>实施</w:t>
                            </w:r>
                          </w:p>
                        </w:tc>
                      </w:tr>
                      <w:tr w14:paraId="5C5214CE">
                        <w:tblPrEx>
                          <w:tblCellMar>
                            <w:top w:w="0" w:type="dxa"/>
                            <w:left w:w="0" w:type="dxa"/>
                            <w:bottom w:w="0" w:type="dxa"/>
                            <w:right w:w="0" w:type="dxa"/>
                          </w:tblCellMar>
                        </w:tblPrEx>
                        <w:trPr>
                          <w:trHeight w:val="567" w:hRule="exact"/>
                          <w:jc w:val="center"/>
                        </w:trPr>
                        <w:tc>
                          <w:tcPr>
                            <w:tcW w:w="9639" w:type="dxa"/>
                            <w:gridSpan w:val="3"/>
                            <w:tcBorders>
                              <w:top w:val="single" w:color="auto" w:sz="8" w:space="0"/>
                            </w:tcBorders>
                            <w:vAlign w:val="center"/>
                          </w:tcPr>
                          <w:p w14:paraId="75F53DD5">
                            <w:pPr>
                              <w:jc w:val="center"/>
                              <w:rPr>
                                <w:rFonts w:eastAsia="黑体"/>
                                <w:spacing w:val="30"/>
                                <w:sz w:val="32"/>
                              </w:rPr>
                            </w:pPr>
                          </w:p>
                        </w:tc>
                      </w:tr>
                      <w:tr w14:paraId="7A76F488">
                        <w:tblPrEx>
                          <w:tblCellMar>
                            <w:top w:w="0" w:type="dxa"/>
                            <w:left w:w="0" w:type="dxa"/>
                            <w:bottom w:w="0" w:type="dxa"/>
                            <w:right w:w="0" w:type="dxa"/>
                          </w:tblCellMar>
                        </w:tblPrEx>
                        <w:trPr>
                          <w:trHeight w:val="380" w:hRule="exact"/>
                          <w:jc w:val="center"/>
                        </w:trPr>
                        <w:tc>
                          <w:tcPr>
                            <w:tcW w:w="9639" w:type="dxa"/>
                            <w:gridSpan w:val="3"/>
                          </w:tcPr>
                          <w:p w14:paraId="53F50969">
                            <w:pPr>
                              <w:spacing w:line="360" w:lineRule="exact"/>
                              <w:jc w:val="center"/>
                              <w:rPr>
                                <w:sz w:val="30"/>
                                <w:szCs w:val="30"/>
                              </w:rPr>
                            </w:pPr>
                            <w:r>
                              <w:rPr>
                                <w:rFonts w:hint="eastAsia" w:eastAsia="黑体"/>
                                <w:spacing w:val="40"/>
                                <w:sz w:val="32"/>
                                <w:szCs w:val="32"/>
                              </w:rPr>
                              <w:t>中华中医药学会</w:t>
                            </w:r>
                            <w:r>
                              <w:rPr>
                                <w:rFonts w:hint="eastAsia" w:eastAsia="黑体"/>
                                <w:spacing w:val="40"/>
                                <w:sz w:val="28"/>
                                <w:szCs w:val="28"/>
                              </w:rPr>
                              <w:t>发布</w:t>
                            </w:r>
                          </w:p>
                        </w:tc>
                      </w:tr>
                    </w:tbl>
                    <w:p w14:paraId="408FFB1E"/>
                  </w:txbxContent>
                </v:textbox>
              </v:shape>
            </w:pict>
          </mc:Fallback>
        </mc:AlternateContent>
      </w:r>
    </w:p>
    <w:p w14:paraId="4C479027">
      <w:pPr>
        <w:pStyle w:val="38"/>
        <w:outlineLvl w:val="9"/>
        <w:rPr>
          <w:rFonts w:ascii="Times New Roman" w:eastAsiaTheme="minorEastAsia"/>
          <w:color w:val="000000" w:themeColor="text1"/>
          <w14:textFill>
            <w14:solidFill>
              <w14:schemeClr w14:val="tx1"/>
            </w14:solidFill>
          </w14:textFill>
        </w:rPr>
        <w:sectPr>
          <w:headerReference r:id="rId3" w:type="default"/>
          <w:footerReference r:id="rId4" w:type="default"/>
          <w:pgSz w:w="11906" w:h="16838"/>
          <w:pgMar w:top="1440" w:right="1797" w:bottom="1440" w:left="1797" w:header="1418" w:footer="1134" w:gutter="0"/>
          <w:pgNumType w:fmt="upperRoman" w:start="1"/>
          <w:cols w:space="720" w:num="1"/>
          <w:formProt w:val="0"/>
          <w:docGrid w:linePitch="312" w:charSpace="0"/>
        </w:sectPr>
      </w:pPr>
    </w:p>
    <w:bookmarkEnd w:id="0"/>
    <w:bookmarkEnd w:id="1"/>
    <w:tbl>
      <w:tblPr>
        <w:tblStyle w:val="22"/>
        <w:tblW w:w="0" w:type="auto"/>
        <w:tblInd w:w="-180" w:type="dxa"/>
        <w:tblLayout w:type="fixed"/>
        <w:tblCellMar>
          <w:top w:w="0" w:type="dxa"/>
          <w:left w:w="0" w:type="dxa"/>
          <w:bottom w:w="0" w:type="dxa"/>
          <w:right w:w="0" w:type="dxa"/>
        </w:tblCellMar>
      </w:tblPr>
      <w:tblGrid>
        <w:gridCol w:w="9356"/>
      </w:tblGrid>
      <w:tr w14:paraId="139DFFB2">
        <w:tblPrEx>
          <w:tblCellMar>
            <w:top w:w="0" w:type="dxa"/>
            <w:left w:w="0" w:type="dxa"/>
            <w:bottom w:w="0" w:type="dxa"/>
            <w:right w:w="0" w:type="dxa"/>
          </w:tblCellMar>
        </w:tblPrEx>
        <w:trPr>
          <w:trHeight w:val="567" w:hRule="exact"/>
        </w:trPr>
        <w:tc>
          <w:tcPr>
            <w:tcW w:w="9356" w:type="dxa"/>
            <w:vAlign w:val="center"/>
          </w:tcPr>
          <w:tbl>
            <w:tblPr>
              <w:tblStyle w:val="22"/>
              <w:tblW w:w="0" w:type="auto"/>
              <w:tblInd w:w="0" w:type="dxa"/>
              <w:tblLayout w:type="fixed"/>
              <w:tblCellMar>
                <w:top w:w="0" w:type="dxa"/>
                <w:left w:w="0" w:type="dxa"/>
                <w:bottom w:w="0" w:type="dxa"/>
                <w:right w:w="0" w:type="dxa"/>
              </w:tblCellMar>
            </w:tblPr>
            <w:tblGrid>
              <w:gridCol w:w="9356"/>
            </w:tblGrid>
            <w:tr w14:paraId="1077B918">
              <w:tblPrEx>
                <w:tblCellMar>
                  <w:top w:w="0" w:type="dxa"/>
                  <w:left w:w="0" w:type="dxa"/>
                  <w:bottom w:w="0" w:type="dxa"/>
                  <w:right w:w="0" w:type="dxa"/>
                </w:tblCellMar>
              </w:tblPrEx>
              <w:trPr>
                <w:trHeight w:val="567" w:hRule="exact"/>
              </w:trPr>
              <w:tc>
                <w:tcPr>
                  <w:tcW w:w="9356" w:type="dxa"/>
                  <w:vAlign w:val="center"/>
                </w:tcPr>
                <w:p w14:paraId="1D6A4221">
                  <w:pPr>
                    <w:rPr>
                      <w:rFonts w:ascii="Times New Roman" w:hAnsi="Times New Roman"/>
                      <w:color w:val="000000" w:themeColor="text1"/>
                      <w:sz w:val="24"/>
                      <w:szCs w:val="24"/>
                      <w14:textFill>
                        <w14:solidFill>
                          <w14:schemeClr w14:val="tx1"/>
                        </w14:solidFill>
                      </w14:textFill>
                    </w:rPr>
                  </w:pPr>
                </w:p>
              </w:tc>
            </w:tr>
            <w:tr w14:paraId="335612EA">
              <w:tblPrEx>
                <w:tblCellMar>
                  <w:top w:w="0" w:type="dxa"/>
                  <w:left w:w="0" w:type="dxa"/>
                  <w:bottom w:w="0" w:type="dxa"/>
                  <w:right w:w="0" w:type="dxa"/>
                </w:tblCellMar>
              </w:tblPrEx>
              <w:trPr>
                <w:trHeight w:val="360" w:hRule="exact"/>
              </w:trPr>
              <w:tc>
                <w:tcPr>
                  <w:tcW w:w="9356" w:type="dxa"/>
                  <w:vAlign w:val="center"/>
                </w:tcPr>
                <w:p w14:paraId="5C047DAC">
                  <w:pPr>
                    <w:spacing w:line="360" w:lineRule="exact"/>
                    <w:jc w:val="center"/>
                    <w:rPr>
                      <w:rFonts w:ascii="Times New Roman" w:hAnsi="Times New Roman"/>
                      <w:color w:val="000000" w:themeColor="text1"/>
                      <w:sz w:val="24"/>
                      <w:szCs w:val="24"/>
                      <w14:textFill>
                        <w14:solidFill>
                          <w14:schemeClr w14:val="tx1"/>
                        </w14:solidFill>
                      </w14:textFill>
                    </w:rPr>
                  </w:pPr>
                  <w:r>
                    <w:rPr>
                      <w:rFonts w:hint="eastAsia" w:ascii="黑体" w:eastAsia="黑体"/>
                      <w:color w:val="000000" w:themeColor="text1"/>
                      <w:sz w:val="32"/>
                      <w14:textFill>
                        <w14:solidFill>
                          <w14:schemeClr w14:val="tx1"/>
                        </w14:solidFill>
                      </w14:textFill>
                    </w:rPr>
                    <w:t>前  言</w:t>
                  </w:r>
                </w:p>
              </w:tc>
            </w:tr>
            <w:tr w14:paraId="6066180C">
              <w:tblPrEx>
                <w:tblCellMar>
                  <w:top w:w="0" w:type="dxa"/>
                  <w:left w:w="0" w:type="dxa"/>
                  <w:bottom w:w="0" w:type="dxa"/>
                  <w:right w:w="0" w:type="dxa"/>
                </w:tblCellMar>
              </w:tblPrEx>
              <w:trPr>
                <w:trHeight w:val="519" w:hRule="exact"/>
              </w:trPr>
              <w:tc>
                <w:tcPr>
                  <w:tcW w:w="9356" w:type="dxa"/>
                  <w:vAlign w:val="center"/>
                </w:tcPr>
                <w:p w14:paraId="08207646">
                  <w:pPr>
                    <w:rPr>
                      <w:rFonts w:ascii="Times New Roman" w:hAnsi="Times New Roman"/>
                      <w:color w:val="000000" w:themeColor="text1"/>
                      <w:sz w:val="24"/>
                      <w:szCs w:val="24"/>
                      <w14:textFill>
                        <w14:solidFill>
                          <w14:schemeClr w14:val="tx1"/>
                        </w14:solidFill>
                      </w14:textFill>
                    </w:rPr>
                  </w:pPr>
                </w:p>
              </w:tc>
            </w:tr>
          </w:tbl>
          <w:p w14:paraId="47B55C2D">
            <w:pPr>
              <w:rPr>
                <w:rFonts w:ascii="Times New Roman" w:hAnsi="Times New Roman"/>
                <w:color w:val="000000" w:themeColor="text1"/>
                <w:sz w:val="24"/>
                <w:szCs w:val="24"/>
                <w14:textFill>
                  <w14:solidFill>
                    <w14:schemeClr w14:val="tx1"/>
                  </w14:solidFill>
                </w14:textFill>
              </w:rPr>
            </w:pPr>
          </w:p>
        </w:tc>
      </w:tr>
      <w:tr w14:paraId="1D4C7520">
        <w:tblPrEx>
          <w:tblCellMar>
            <w:top w:w="0" w:type="dxa"/>
            <w:left w:w="0" w:type="dxa"/>
            <w:bottom w:w="0" w:type="dxa"/>
            <w:right w:w="0" w:type="dxa"/>
          </w:tblCellMar>
        </w:tblPrEx>
        <w:trPr>
          <w:trHeight w:val="360" w:hRule="exact"/>
        </w:trPr>
        <w:tc>
          <w:tcPr>
            <w:tcW w:w="9356" w:type="dxa"/>
            <w:vAlign w:val="center"/>
          </w:tcPr>
          <w:p w14:paraId="2F66FEDF">
            <w:pPr>
              <w:spacing w:line="360" w:lineRule="exact"/>
              <w:jc w:val="center"/>
              <w:rPr>
                <w:rFonts w:ascii="Times New Roman" w:hAnsi="Times New Roman" w:eastAsia="黑体"/>
                <w:color w:val="000000" w:themeColor="text1"/>
                <w:sz w:val="24"/>
                <w:szCs w:val="24"/>
                <w14:textFill>
                  <w14:solidFill>
                    <w14:schemeClr w14:val="tx1"/>
                  </w14:solidFill>
                </w14:textFill>
              </w:rPr>
            </w:pPr>
            <w:r>
              <w:rPr>
                <w:rFonts w:hint="eastAsia" w:ascii="黑体" w:eastAsia="黑体"/>
                <w:color w:val="000000" w:themeColor="text1"/>
                <w:sz w:val="32"/>
                <w14:textFill>
                  <w14:solidFill>
                    <w14:schemeClr w14:val="tx1"/>
                  </w14:solidFill>
                </w14:textFill>
              </w:rPr>
              <w:t>目  次</w:t>
            </w:r>
          </w:p>
        </w:tc>
      </w:tr>
      <w:tr w14:paraId="48528FBF">
        <w:tblPrEx>
          <w:tblCellMar>
            <w:top w:w="0" w:type="dxa"/>
            <w:left w:w="0" w:type="dxa"/>
            <w:bottom w:w="0" w:type="dxa"/>
            <w:right w:w="0" w:type="dxa"/>
          </w:tblCellMar>
        </w:tblPrEx>
        <w:trPr>
          <w:trHeight w:val="519" w:hRule="exact"/>
        </w:trPr>
        <w:tc>
          <w:tcPr>
            <w:tcW w:w="9356" w:type="dxa"/>
            <w:vAlign w:val="center"/>
          </w:tcPr>
          <w:p w14:paraId="19360460">
            <w:pPr>
              <w:rPr>
                <w:rFonts w:ascii="Times New Roman" w:hAnsi="Times New Roman"/>
                <w:color w:val="000000" w:themeColor="text1"/>
                <w:sz w:val="24"/>
                <w:szCs w:val="24"/>
                <w14:textFill>
                  <w14:solidFill>
                    <w14:schemeClr w14:val="tx1"/>
                  </w14:solidFill>
                </w14:textFill>
              </w:rPr>
            </w:pPr>
          </w:p>
        </w:tc>
      </w:tr>
    </w:tbl>
    <w:p w14:paraId="2261670F">
      <w:pPr>
        <w:rPr>
          <w:color w:val="000000" w:themeColor="text1"/>
          <w14:textFill>
            <w14:solidFill>
              <w14:schemeClr w14:val="tx1"/>
            </w14:solidFill>
          </w14:textFill>
        </w:rPr>
      </w:pPr>
    </w:p>
    <w:p w14:paraId="0DBB67AB">
      <w:pPr>
        <w:pStyle w:val="15"/>
        <w:tabs>
          <w:tab w:val="right" w:leader="dot" w:pos="8312"/>
        </w:tabs>
        <w:spacing w:line="360" w:lineRule="exact"/>
        <w:rPr>
          <w:rFonts w:ascii="Times New Roman" w:hAnsi="Times New Roman" w:eastAsia="宋体" w:cs="Times New Roman"/>
          <w:b w:val="0"/>
          <w:sz w:val="21"/>
          <w:szCs w:val="21"/>
        </w:rPr>
      </w:pPr>
      <w:r>
        <w:rPr>
          <w:rFonts w:ascii="Times New Roman Regular" w:hAnsi="Times New Roman Regular" w:cs="Times New Roman Regular"/>
          <w:b w:val="0"/>
          <w:bCs w:val="0"/>
          <w:color w:val="000000" w:themeColor="text1"/>
          <w:sz w:val="21"/>
          <w:szCs w:val="21"/>
          <w14:textFill>
            <w14:solidFill>
              <w14:schemeClr w14:val="tx1"/>
            </w14:solidFill>
          </w14:textFill>
        </w:rPr>
        <w:fldChar w:fldCharType="begin"/>
      </w:r>
      <w:r>
        <w:rPr>
          <w:rFonts w:ascii="Times New Roman Regular" w:hAnsi="Times New Roman Regular" w:cs="Times New Roman Regular"/>
          <w:b w:val="0"/>
          <w:bCs w:val="0"/>
          <w:color w:val="000000" w:themeColor="text1"/>
          <w:sz w:val="21"/>
          <w:szCs w:val="21"/>
          <w14:textFill>
            <w14:solidFill>
              <w14:schemeClr w14:val="tx1"/>
            </w14:solidFill>
          </w14:textFill>
        </w:rPr>
        <w:instrText xml:space="preserve">TOC \o "1-3" \h \u </w:instrText>
      </w:r>
      <w:r>
        <w:rPr>
          <w:rFonts w:ascii="Times New Roman Regular" w:hAnsi="Times New Roman Regular" w:cs="Times New Roman Regular"/>
          <w:b w:val="0"/>
          <w:bCs w:val="0"/>
          <w:color w:val="000000" w:themeColor="text1"/>
          <w:sz w:val="21"/>
          <w:szCs w:val="21"/>
          <w14:textFill>
            <w14:solidFill>
              <w14:schemeClr w14:val="tx1"/>
            </w14:solidFill>
          </w14:textFill>
        </w:rPr>
        <w:fldChar w:fldCharType="separate"/>
      </w:r>
      <w:r>
        <w:fldChar w:fldCharType="begin"/>
      </w:r>
      <w:r>
        <w:instrText xml:space="preserve"> HYPERLINK \l "_Toc1272524883" </w:instrText>
      </w:r>
      <w:r>
        <w:fldChar w:fldCharType="separate"/>
      </w:r>
      <w:r>
        <w:rPr>
          <w:rFonts w:ascii="Times New Roman" w:hAnsi="Times New Roman" w:eastAsia="宋体" w:cs="Times New Roman"/>
          <w:b w:val="0"/>
          <w:sz w:val="21"/>
          <w:szCs w:val="21"/>
        </w:rPr>
        <w:t>前言</w:t>
      </w:r>
      <w:r>
        <w:rPr>
          <w:rFonts w:ascii="Times New Roman" w:hAnsi="Times New Roman" w:eastAsia="宋体" w:cs="Times New Roman"/>
          <w:b w:val="0"/>
          <w:sz w:val="21"/>
          <w:szCs w:val="21"/>
        </w:rPr>
        <w:tab/>
      </w:r>
      <w:r>
        <w:rPr>
          <w:rFonts w:ascii="Times New Roman" w:hAnsi="Times New Roman" w:eastAsia="宋体" w:cs="Times New Roman"/>
          <w:b w:val="0"/>
          <w:sz w:val="21"/>
          <w:szCs w:val="21"/>
        </w:rPr>
        <w:t>I</w:t>
      </w:r>
      <w:r>
        <w:rPr>
          <w:rFonts w:ascii="Times New Roman" w:hAnsi="Times New Roman" w:eastAsia="宋体" w:cs="Times New Roman"/>
          <w:b w:val="0"/>
          <w:sz w:val="21"/>
          <w:szCs w:val="21"/>
        </w:rPr>
        <w:fldChar w:fldCharType="end"/>
      </w:r>
    </w:p>
    <w:p w14:paraId="6984CDF4">
      <w:pPr>
        <w:pStyle w:val="15"/>
        <w:tabs>
          <w:tab w:val="right" w:leader="dot" w:pos="8312"/>
        </w:tabs>
        <w:spacing w:line="360" w:lineRule="exact"/>
        <w:rPr>
          <w:rFonts w:ascii="Times New Roman" w:hAnsi="Times New Roman" w:eastAsia="宋体" w:cs="Times New Roman"/>
          <w:b w:val="0"/>
          <w:sz w:val="21"/>
          <w:szCs w:val="21"/>
        </w:rPr>
      </w:pPr>
      <w:r>
        <w:fldChar w:fldCharType="begin"/>
      </w:r>
      <w:r>
        <w:instrText xml:space="preserve"> HYPERLINK \l "_Toc536068108" </w:instrText>
      </w:r>
      <w:r>
        <w:fldChar w:fldCharType="separate"/>
      </w:r>
      <w:r>
        <w:rPr>
          <w:rFonts w:ascii="Times New Roman" w:hAnsi="Times New Roman" w:eastAsia="宋体" w:cs="Times New Roman"/>
          <w:b w:val="0"/>
          <w:sz w:val="21"/>
          <w:szCs w:val="21"/>
        </w:rPr>
        <w:t>引言</w:t>
      </w:r>
      <w:r>
        <w:rPr>
          <w:rFonts w:ascii="Times New Roman" w:hAnsi="Times New Roman" w:eastAsia="宋体" w:cs="Times New Roman"/>
          <w:b w:val="0"/>
          <w:sz w:val="21"/>
          <w:szCs w:val="21"/>
        </w:rPr>
        <w:tab/>
      </w:r>
      <w:r>
        <w:rPr>
          <w:rFonts w:ascii="Times New Roman" w:hAnsi="Times New Roman" w:eastAsia="宋体" w:cs="Times New Roman"/>
          <w:b w:val="0"/>
          <w:sz w:val="21"/>
          <w:szCs w:val="21"/>
        </w:rPr>
        <w:fldChar w:fldCharType="begin"/>
      </w:r>
      <w:r>
        <w:rPr>
          <w:rFonts w:ascii="Times New Roman" w:hAnsi="Times New Roman" w:eastAsia="宋体" w:cs="Times New Roman"/>
          <w:b w:val="0"/>
          <w:sz w:val="21"/>
          <w:szCs w:val="21"/>
        </w:rPr>
        <w:instrText xml:space="preserve"> PAGEREF _Toc536068108 \h </w:instrText>
      </w:r>
      <w:r>
        <w:rPr>
          <w:rFonts w:ascii="Times New Roman" w:hAnsi="Times New Roman" w:eastAsia="宋体" w:cs="Times New Roman"/>
          <w:b w:val="0"/>
          <w:sz w:val="21"/>
          <w:szCs w:val="21"/>
        </w:rPr>
        <w:fldChar w:fldCharType="separate"/>
      </w:r>
      <w:r>
        <w:rPr>
          <w:rFonts w:ascii="Times New Roman" w:hAnsi="Times New Roman" w:eastAsia="宋体" w:cs="Times New Roman"/>
          <w:b w:val="0"/>
          <w:sz w:val="21"/>
          <w:szCs w:val="21"/>
        </w:rPr>
        <w:t>II</w:t>
      </w:r>
      <w:r>
        <w:rPr>
          <w:rFonts w:ascii="Times New Roman" w:hAnsi="Times New Roman" w:eastAsia="宋体" w:cs="Times New Roman"/>
          <w:b w:val="0"/>
          <w:sz w:val="21"/>
          <w:szCs w:val="21"/>
        </w:rPr>
        <w:fldChar w:fldCharType="end"/>
      </w:r>
      <w:r>
        <w:rPr>
          <w:rFonts w:ascii="Times New Roman" w:hAnsi="Times New Roman" w:eastAsia="宋体" w:cs="Times New Roman"/>
          <w:b w:val="0"/>
          <w:sz w:val="21"/>
          <w:szCs w:val="21"/>
        </w:rPr>
        <w:fldChar w:fldCharType="end"/>
      </w:r>
    </w:p>
    <w:p w14:paraId="26DE0ABE">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"_Toc996049879" </w:instrText>
      </w:r>
      <w:r>
        <w:fldChar w:fldCharType="separate"/>
      </w:r>
      <w:r>
        <w:rPr>
          <w:rFonts w:ascii="Times New Roman" w:hAnsi="Times New Roman" w:eastAsia="宋体" w:cs="Times New Roman"/>
          <w:bCs/>
          <w:sz w:val="21"/>
          <w:szCs w:val="21"/>
        </w:rPr>
        <w:t>1  范围</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_Toc996049879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F4EF397">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"_Toc975287988" </w:instrText>
      </w:r>
      <w:r>
        <w:fldChar w:fldCharType="separate"/>
      </w:r>
      <w:r>
        <w:rPr>
          <w:rFonts w:ascii="Times New Roman" w:hAnsi="Times New Roman" w:eastAsia="宋体" w:cs="Times New Roman"/>
          <w:bCs/>
          <w:sz w:val="21"/>
          <w:szCs w:val="21"/>
        </w:rPr>
        <w:t>2  规范性引用文件</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_Toc975287988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2E3B629">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"_Toc2070020412" </w:instrText>
      </w:r>
      <w:r>
        <w:fldChar w:fldCharType="separate"/>
      </w:r>
      <w:r>
        <w:rPr>
          <w:rFonts w:ascii="Times New Roman" w:hAnsi="Times New Roman" w:eastAsia="宋体" w:cs="Times New Roman"/>
          <w:bCs/>
          <w:sz w:val="21"/>
          <w:szCs w:val="21"/>
        </w:rPr>
        <w:t>3  术语和定义</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_Toc2070020412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74CFEF40">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"_Toc103149751" </w:instrText>
      </w:r>
      <w:r>
        <w:fldChar w:fldCharType="separate"/>
      </w:r>
      <w:r>
        <w:rPr>
          <w:rFonts w:ascii="Times New Roman" w:hAnsi="Times New Roman" w:eastAsia="宋体" w:cs="Times New Roman"/>
          <w:bCs/>
          <w:sz w:val="21"/>
          <w:szCs w:val="21"/>
        </w:rPr>
        <w:t>4  病因病机</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_Toc103149751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81A5878">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"_Toc618561928" </w:instrText>
      </w:r>
      <w:r>
        <w:fldChar w:fldCharType="separate"/>
      </w:r>
      <w:r>
        <w:rPr>
          <w:rFonts w:ascii="Times New Roman" w:hAnsi="Times New Roman" w:eastAsia="宋体" w:cs="Times New Roman"/>
          <w:bCs/>
          <w:sz w:val="21"/>
          <w:szCs w:val="21"/>
        </w:rPr>
        <w:t>5  诊断</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_Toc618561928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55C0EBDA">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"_Toc201988769" </w:instrText>
      </w:r>
      <w:r>
        <w:fldChar w:fldCharType="separate"/>
      </w:r>
      <w:r>
        <w:rPr>
          <w:rFonts w:ascii="Times New Roman" w:hAnsi="Times New Roman" w:eastAsia="宋体" w:cs="Times New Roman"/>
          <w:bCs/>
          <w:sz w:val="21"/>
          <w:szCs w:val="21"/>
        </w:rPr>
        <w:t>5.1  临床诊断要点</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_Toc201988769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524F87D">
      <w:pPr>
        <w:pStyle w:val="18"/>
        <w:tabs>
          <w:tab w:val="right" w:leader="dot" w:pos="8312"/>
        </w:tabs>
        <w:spacing w:line="360" w:lineRule="exact"/>
        <w:ind w:firstLine="400" w:firstLineChars="200"/>
        <w:rPr>
          <w:rFonts w:ascii="Times New Roman" w:hAnsi="Times New Roman" w:eastAsia="宋体" w:cs="Times New Roman"/>
          <w:sz w:val="21"/>
          <w:szCs w:val="21"/>
        </w:rPr>
      </w:pPr>
      <w:r>
        <w:fldChar w:fldCharType="begin"/>
      </w:r>
      <w:r>
        <w:instrText xml:space="preserve"> HYPERLINK \l "_Toc1801078323" </w:instrText>
      </w:r>
      <w:r>
        <w:fldChar w:fldCharType="separate"/>
      </w:r>
      <w:r>
        <w:rPr>
          <w:rFonts w:ascii="Times New Roman" w:hAnsi="Times New Roman" w:eastAsia="宋体" w:cs="Times New Roman"/>
          <w:bCs/>
          <w:sz w:val="21"/>
          <w:szCs w:val="21"/>
        </w:rPr>
        <w:t>5.1.1  病史</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_Toc1801078323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565DBBA2">
      <w:pPr>
        <w:pStyle w:val="18"/>
        <w:tabs>
          <w:tab w:val="right" w:leader="dot" w:pos="8312"/>
        </w:tabs>
        <w:spacing w:line="360" w:lineRule="exact"/>
        <w:ind w:firstLine="400" w:firstLineChars="200"/>
        <w:rPr>
          <w:rFonts w:ascii="Times New Roman" w:hAnsi="Times New Roman" w:eastAsia="宋体" w:cs="Times New Roman"/>
          <w:sz w:val="21"/>
          <w:szCs w:val="21"/>
        </w:rPr>
      </w:pPr>
      <w:r>
        <w:fldChar w:fldCharType="begin"/>
      </w:r>
      <w:r>
        <w:instrText xml:space="preserve"> HYPERLINK \l "_Toc1941370196" </w:instrText>
      </w:r>
      <w:r>
        <w:fldChar w:fldCharType="separate"/>
      </w:r>
      <w:r>
        <w:rPr>
          <w:rFonts w:ascii="Times New Roman" w:hAnsi="Times New Roman" w:eastAsia="宋体" w:cs="Times New Roman"/>
          <w:bCs/>
          <w:sz w:val="21"/>
          <w:szCs w:val="21"/>
        </w:rPr>
        <w:t>5.1.2  临床表现</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_Toc1941370196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4F42917">
      <w:pPr>
        <w:pStyle w:val="18"/>
        <w:tabs>
          <w:tab w:val="right" w:leader="dot" w:pos="8312"/>
        </w:tabs>
        <w:spacing w:line="360" w:lineRule="exact"/>
        <w:ind w:firstLine="400" w:firstLineChars="200"/>
        <w:rPr>
          <w:rFonts w:ascii="Times New Roman" w:hAnsi="Times New Roman" w:eastAsia="宋体" w:cs="Times New Roman"/>
          <w:sz w:val="21"/>
          <w:szCs w:val="21"/>
        </w:rPr>
      </w:pPr>
      <w:r>
        <w:fldChar w:fldCharType="begin"/>
      </w:r>
      <w:r>
        <w:instrText xml:space="preserve"> HYPERLINK \l "_Toc1178764777" </w:instrText>
      </w:r>
      <w:r>
        <w:fldChar w:fldCharType="separate"/>
      </w:r>
      <w:r>
        <w:rPr>
          <w:rFonts w:ascii="Times New Roman" w:hAnsi="Times New Roman" w:eastAsia="宋体" w:cs="Times New Roman"/>
          <w:bCs/>
          <w:sz w:val="21"/>
          <w:szCs w:val="21"/>
        </w:rPr>
        <w:t>5.1.3  辅助检查</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_Toc1178764777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5D93F23">
      <w:pPr>
        <w:pStyle w:val="18"/>
        <w:tabs>
          <w:tab w:val="right" w:leader="dot" w:pos="8312"/>
        </w:tabs>
        <w:spacing w:line="360" w:lineRule="exact"/>
        <w:ind w:firstLine="400" w:firstLineChars="200"/>
        <w:rPr>
          <w:rFonts w:ascii="Times New Roman" w:hAnsi="Times New Roman" w:eastAsia="宋体" w:cs="Times New Roman"/>
          <w:sz w:val="21"/>
          <w:szCs w:val="21"/>
        </w:rPr>
      </w:pPr>
      <w:r>
        <w:fldChar w:fldCharType="begin"/>
      </w:r>
      <w:r>
        <w:instrText xml:space="preserve"> HYPERLINK \l "_Toc1090175656" </w:instrText>
      </w:r>
      <w:r>
        <w:fldChar w:fldCharType="separate"/>
      </w:r>
      <w:r>
        <w:rPr>
          <w:rFonts w:ascii="Times New Roman" w:hAnsi="Times New Roman" w:eastAsia="宋体" w:cs="Times New Roman"/>
          <w:bCs/>
          <w:sz w:val="21"/>
          <w:szCs w:val="21"/>
        </w:rPr>
        <w:t>5.1.4  诊断标准</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_Toc1090175656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7A57C4C7">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"_Toc251774188" </w:instrText>
      </w:r>
      <w:r>
        <w:fldChar w:fldCharType="separate"/>
      </w:r>
      <w:r>
        <w:rPr>
          <w:rFonts w:ascii="Times New Roman" w:hAnsi="Times New Roman" w:eastAsia="宋体" w:cs="Times New Roman"/>
          <w:bCs/>
          <w:sz w:val="21"/>
          <w:szCs w:val="21"/>
        </w:rPr>
        <w:t>5.2  证候要素诊断</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_Toc251774188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142506CC">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"_Toc1025993126" </w:instrText>
      </w:r>
      <w:r>
        <w:fldChar w:fldCharType="separate"/>
      </w:r>
      <w:r>
        <w:rPr>
          <w:rFonts w:ascii="Times New Roman" w:hAnsi="Times New Roman" w:eastAsia="宋体" w:cs="Times New Roman"/>
          <w:bCs/>
          <w:sz w:val="21"/>
          <w:szCs w:val="21"/>
        </w:rPr>
        <w:t>5.3  鉴别诊断</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_Toc1025993126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B82875D">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"_Toc1720266919" </w:instrText>
      </w:r>
      <w:r>
        <w:fldChar w:fldCharType="separate"/>
      </w:r>
      <w:r>
        <w:rPr>
          <w:rFonts w:ascii="Times New Roman" w:hAnsi="Times New Roman" w:eastAsia="宋体" w:cs="Times New Roman"/>
          <w:bCs/>
          <w:sz w:val="21"/>
          <w:szCs w:val="21"/>
        </w:rPr>
        <w:t>6  治疗</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_Toc1720266919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98FF107">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"_Toc953768072" </w:instrText>
      </w:r>
      <w:r>
        <w:fldChar w:fldCharType="separate"/>
      </w:r>
      <w:r>
        <w:rPr>
          <w:rFonts w:ascii="Times New Roman" w:hAnsi="Times New Roman" w:eastAsia="宋体" w:cs="Times New Roman"/>
          <w:bCs/>
          <w:sz w:val="21"/>
          <w:szCs w:val="21"/>
        </w:rPr>
        <w:t>6.1中医治疗原则</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_Toc953768072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721E3EC8">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"_Toc1162044896" </w:instrText>
      </w:r>
      <w:r>
        <w:fldChar w:fldCharType="separate"/>
      </w:r>
      <w:r>
        <w:rPr>
          <w:rFonts w:ascii="Times New Roman" w:hAnsi="Times New Roman" w:eastAsia="宋体" w:cs="Times New Roman"/>
          <w:bCs/>
          <w:sz w:val="21"/>
          <w:szCs w:val="21"/>
        </w:rPr>
        <w:t>6.2 临床问题1：适用于治疗子痫前期脾虚证的方药包括哪些，疗效如何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_Toc1162044896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D5B6310">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"_Toc1272281254" </w:instrText>
      </w:r>
      <w:r>
        <w:fldChar w:fldCharType="separate"/>
      </w:r>
      <w:r>
        <w:rPr>
          <w:rFonts w:ascii="Times New Roman" w:hAnsi="Times New Roman" w:eastAsia="宋体" w:cs="Times New Roman"/>
          <w:bCs/>
          <w:sz w:val="21"/>
          <w:szCs w:val="21"/>
        </w:rPr>
        <w:t>6.3 临床问题2：适用于治疗子痫前期肾阳虚证的方药包括哪些，疗效如何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_Toc1272281254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5F41F94">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"_Toc736362799" </w:instrText>
      </w:r>
      <w:r>
        <w:fldChar w:fldCharType="separate"/>
      </w:r>
      <w:r>
        <w:rPr>
          <w:rFonts w:ascii="Times New Roman" w:hAnsi="Times New Roman" w:eastAsia="宋体" w:cs="Times New Roman"/>
          <w:bCs/>
          <w:sz w:val="21"/>
          <w:szCs w:val="21"/>
        </w:rPr>
        <w:t>6.4 临床问题3：适用于治疗子痫前期气滞证的方药包括哪些，疗效如何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_Toc736362799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16C1E2D">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"_Toc101305132" </w:instrText>
      </w:r>
      <w:r>
        <w:fldChar w:fldCharType="separate"/>
      </w:r>
      <w:r>
        <w:rPr>
          <w:rFonts w:ascii="Times New Roman" w:hAnsi="Times New Roman" w:eastAsia="宋体" w:cs="Times New Roman"/>
          <w:bCs/>
          <w:sz w:val="21"/>
          <w:szCs w:val="21"/>
        </w:rPr>
        <w:t>6.5 临床问题4：适用于治疗子痫前期肝肾阴虚证的方药包括哪些，疗效如何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_Toc101305132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BCE5AAC">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"_Toc1828305100" </w:instrText>
      </w:r>
      <w:r>
        <w:fldChar w:fldCharType="separate"/>
      </w:r>
      <w:r>
        <w:rPr>
          <w:rFonts w:ascii="Times New Roman" w:hAnsi="Times New Roman" w:eastAsia="宋体" w:cs="Times New Roman"/>
          <w:bCs/>
          <w:sz w:val="21"/>
          <w:szCs w:val="21"/>
        </w:rPr>
        <w:t>6.6 临床问题5：适用于治疗子痫前期脾虚肝旺证的方剂包括哪些，疗效如何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_Toc1828305100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679466A">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"_Toc2127794424" </w:instrText>
      </w:r>
      <w:r>
        <w:fldChar w:fldCharType="separate"/>
      </w:r>
      <w:r>
        <w:rPr>
          <w:rFonts w:ascii="Times New Roman" w:hAnsi="Times New Roman" w:eastAsia="宋体" w:cs="Times New Roman"/>
          <w:bCs/>
          <w:sz w:val="21"/>
          <w:szCs w:val="21"/>
        </w:rPr>
        <w:t>6.7 临床问题6：非药物疗法治疗子痫前期疗效如何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_Toc2127794424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158F0BE4">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"_Toc1943194324" </w:instrText>
      </w:r>
      <w:r>
        <w:fldChar w:fldCharType="separate"/>
      </w:r>
      <w:r>
        <w:rPr>
          <w:rFonts w:ascii="Times New Roman" w:hAnsi="Times New Roman" w:eastAsia="宋体" w:cs="Times New Roman"/>
          <w:bCs/>
          <w:sz w:val="21"/>
          <w:szCs w:val="21"/>
        </w:rPr>
        <w:t>6.8 临床问题7：中医疗法治疗子痫前期的安全性如何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_Toc1943194324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7</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BC7EE94">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"_Toc335699892" </w:instrText>
      </w:r>
      <w:r>
        <w:fldChar w:fldCharType="separate"/>
      </w:r>
      <w:r>
        <w:rPr>
          <w:rFonts w:ascii="Times New Roman" w:hAnsi="Times New Roman" w:eastAsia="宋体" w:cs="Times New Roman"/>
          <w:bCs/>
          <w:sz w:val="21"/>
          <w:szCs w:val="21"/>
        </w:rPr>
        <w:t>6.9 临床问题8：子痫前期的早期预警信号包括什么</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_Toc335699892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7</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30185D33">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"_Toc668544175" </w:instrText>
      </w:r>
      <w:r>
        <w:fldChar w:fldCharType="separate"/>
      </w:r>
      <w:r>
        <w:rPr>
          <w:rFonts w:ascii="Times New Roman" w:hAnsi="Times New Roman" w:eastAsia="宋体" w:cs="Times New Roman"/>
          <w:bCs/>
          <w:sz w:val="21"/>
          <w:szCs w:val="21"/>
        </w:rPr>
        <w:t>6.10 临床问题9：对于具有子痫前期危险因素的患者，预防监测措施包括哪些</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_Toc668544175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7</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31BC3CEA">
      <w:pPr>
        <w:pStyle w:val="18"/>
        <w:tabs>
          <w:tab w:val="right" w:leader="dot" w:pos="8312"/>
        </w:tabs>
        <w:spacing w:line="360" w:lineRule="exact"/>
        <w:ind w:firstLine="200" w:firstLineChars="100"/>
        <w:rPr>
          <w:rFonts w:ascii="Times New Roman" w:hAnsi="Times New Roman" w:eastAsia="宋体" w:cs="Times New Roman"/>
          <w:sz w:val="21"/>
          <w:szCs w:val="21"/>
        </w:rPr>
      </w:pPr>
      <w:r>
        <w:fldChar w:fldCharType="begin"/>
      </w:r>
      <w:r>
        <w:instrText xml:space="preserve"> HYPERLINK \l "_Toc587508121" </w:instrText>
      </w:r>
      <w:r>
        <w:fldChar w:fldCharType="separate"/>
      </w:r>
      <w:r>
        <w:rPr>
          <w:rFonts w:ascii="Times New Roman" w:hAnsi="Times New Roman" w:eastAsia="宋体" w:cs="Times New Roman"/>
          <w:bCs/>
          <w:sz w:val="21"/>
          <w:szCs w:val="21"/>
        </w:rPr>
        <w:t>6.11 临床问题10：子痫前期患者应如何管理孕期生活方式</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_Toc587508121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1D79B4DD">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"_Toc119180741" </w:instrText>
      </w:r>
      <w:r>
        <w:fldChar w:fldCharType="separate"/>
      </w:r>
      <w:r>
        <w:rPr>
          <w:rFonts w:ascii="Times New Roman" w:hAnsi="Times New Roman" w:eastAsia="宋体" w:cs="Times New Roman"/>
          <w:bCs/>
          <w:sz w:val="21"/>
          <w:szCs w:val="21"/>
        </w:rPr>
        <w:t>7  中医治疗子痫前期推荐用药汇总表</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_Toc119180741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11C47EE">
      <w:pPr>
        <w:pStyle w:val="18"/>
        <w:tabs>
          <w:tab w:val="right" w:leader="dot" w:pos="8312"/>
        </w:tabs>
        <w:spacing w:line="360" w:lineRule="exact"/>
        <w:rPr>
          <w:rFonts w:ascii="Times New Roman" w:hAnsi="Times New Roman" w:eastAsia="宋体" w:cs="Times New Roman"/>
          <w:sz w:val="21"/>
          <w:szCs w:val="21"/>
        </w:rPr>
      </w:pPr>
      <w:r>
        <w:fldChar w:fldCharType="begin"/>
      </w:r>
      <w:r>
        <w:instrText xml:space="preserve"> HYPERLINK \l "_Toc1615954983" </w:instrText>
      </w:r>
      <w:r>
        <w:fldChar w:fldCharType="separate"/>
      </w:r>
      <w:r>
        <w:rPr>
          <w:rFonts w:ascii="Times New Roman" w:hAnsi="Times New Roman" w:eastAsia="宋体" w:cs="Times New Roman"/>
          <w:bCs/>
          <w:sz w:val="21"/>
          <w:szCs w:val="21"/>
        </w:rPr>
        <w:t>8  中医诊疗流程图</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_Toc1615954983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15005C27">
      <w:pPr>
        <w:pStyle w:val="15"/>
        <w:tabs>
          <w:tab w:val="right" w:leader="dot" w:pos="8312"/>
        </w:tabs>
        <w:spacing w:line="360" w:lineRule="exact"/>
        <w:rPr>
          <w:rFonts w:ascii="Times New Roman" w:hAnsi="Times New Roman" w:eastAsia="宋体" w:cs="Times New Roman"/>
          <w:b w:val="0"/>
          <w:bCs w:val="0"/>
          <w:sz w:val="21"/>
          <w:szCs w:val="21"/>
        </w:rPr>
      </w:pPr>
      <w:r>
        <w:fldChar w:fldCharType="begin"/>
      </w:r>
      <w:r>
        <w:instrText xml:space="preserve"> HYPERLINK \l "_Toc129715672" </w:instrText>
      </w:r>
      <w:r>
        <w:fldChar w:fldCharType="separate"/>
      </w:r>
      <w:r>
        <w:rPr>
          <w:rFonts w:ascii="Times New Roman" w:hAnsi="Times New Roman" w:eastAsia="宋体" w:cs="Times New Roman"/>
          <w:b w:val="0"/>
          <w:bCs w:val="0"/>
          <w:spacing w:val="-1"/>
          <w:sz w:val="21"/>
          <w:szCs w:val="21"/>
        </w:rPr>
        <w:t>附录A</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_Toc129715672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10</w:t>
      </w:r>
      <w:r>
        <w:rPr>
          <w:rFonts w:ascii="Times New Roman" w:hAnsi="Times New Roman" w:eastAsia="宋体" w:cs="Times New Roman"/>
          <w:b w:val="0"/>
          <w:bCs w:val="0"/>
          <w:sz w:val="21"/>
          <w:szCs w:val="21"/>
        </w:rPr>
        <w:fldChar w:fldCharType="end"/>
      </w:r>
      <w:r>
        <w:rPr>
          <w:rFonts w:ascii="Times New Roman" w:hAnsi="Times New Roman" w:eastAsia="宋体" w:cs="Times New Roman"/>
          <w:b w:val="0"/>
          <w:bCs w:val="0"/>
          <w:sz w:val="21"/>
          <w:szCs w:val="21"/>
        </w:rPr>
        <w:fldChar w:fldCharType="end"/>
      </w:r>
    </w:p>
    <w:p w14:paraId="49DC0881">
      <w:pPr>
        <w:pStyle w:val="15"/>
        <w:tabs>
          <w:tab w:val="right" w:leader="dot" w:pos="8312"/>
        </w:tabs>
        <w:spacing w:line="360" w:lineRule="exact"/>
      </w:pPr>
      <w:r>
        <w:fldChar w:fldCharType="begin"/>
      </w:r>
      <w:r>
        <w:instrText xml:space="preserve"> HYPERLINK \l "_Toc129715672" </w:instrText>
      </w:r>
      <w:r>
        <w:fldChar w:fldCharType="separate"/>
      </w:r>
      <w:r>
        <w:rPr>
          <w:rFonts w:ascii="Times New Roman" w:hAnsi="Times New Roman" w:eastAsia="宋体" w:cs="Times New Roman"/>
          <w:b w:val="0"/>
          <w:bCs w:val="0"/>
          <w:spacing w:val="-1"/>
          <w:sz w:val="21"/>
          <w:szCs w:val="21"/>
        </w:rPr>
        <w:t>附录</w:t>
      </w:r>
      <w:r>
        <w:rPr>
          <w:rFonts w:hint="eastAsia" w:ascii="Times New Roman" w:hAnsi="Times New Roman" w:eastAsia="宋体" w:cs="Times New Roman"/>
          <w:b w:val="0"/>
          <w:bCs w:val="0"/>
          <w:spacing w:val="-1"/>
          <w:sz w:val="21"/>
          <w:szCs w:val="21"/>
        </w:rPr>
        <w:t>B</w:t>
      </w:r>
      <w:r>
        <w:rPr>
          <w:rFonts w:ascii="Times New Roman" w:hAnsi="Times New Roman" w:eastAsia="宋体" w:cs="Times New Roman"/>
          <w:b w:val="0"/>
          <w:bCs w:val="0"/>
          <w:sz w:val="21"/>
          <w:szCs w:val="21"/>
        </w:rPr>
        <w:tab/>
      </w:r>
      <w:r>
        <w:rPr>
          <w:rFonts w:ascii="Times New Roman" w:hAnsi="Times New Roman" w:eastAsia="宋体" w:cs="Times New Roman"/>
          <w:b w:val="0"/>
          <w:bCs w:val="0"/>
          <w:sz w:val="21"/>
          <w:szCs w:val="21"/>
        </w:rPr>
        <w:fldChar w:fldCharType="begin"/>
      </w:r>
      <w:r>
        <w:rPr>
          <w:rFonts w:ascii="Times New Roman" w:hAnsi="Times New Roman" w:eastAsia="宋体" w:cs="Times New Roman"/>
          <w:b w:val="0"/>
          <w:bCs w:val="0"/>
          <w:sz w:val="21"/>
          <w:szCs w:val="21"/>
        </w:rPr>
        <w:instrText xml:space="preserve"> PAGEREF _Toc129715672 \h </w:instrText>
      </w:r>
      <w:r>
        <w:rPr>
          <w:rFonts w:ascii="Times New Roman" w:hAnsi="Times New Roman" w:eastAsia="宋体" w:cs="Times New Roman"/>
          <w:b w:val="0"/>
          <w:bCs w:val="0"/>
          <w:sz w:val="21"/>
          <w:szCs w:val="21"/>
        </w:rPr>
        <w:fldChar w:fldCharType="separate"/>
      </w:r>
      <w:r>
        <w:rPr>
          <w:rFonts w:ascii="Times New Roman" w:hAnsi="Times New Roman" w:eastAsia="宋体" w:cs="Times New Roman"/>
          <w:b w:val="0"/>
          <w:bCs w:val="0"/>
          <w:sz w:val="21"/>
          <w:szCs w:val="21"/>
        </w:rPr>
        <w:t>1</w:t>
      </w:r>
      <w:r>
        <w:rPr>
          <w:rFonts w:hint="eastAsia" w:ascii="Times New Roman" w:hAnsi="Times New Roman" w:eastAsia="宋体" w:cs="Times New Roman"/>
          <w:b w:val="0"/>
          <w:bCs w:val="0"/>
          <w:sz w:val="21"/>
          <w:szCs w:val="21"/>
        </w:rPr>
        <w:t>1</w:t>
      </w:r>
      <w:r>
        <w:rPr>
          <w:rFonts w:ascii="Times New Roman" w:hAnsi="Times New Roman" w:eastAsia="宋体" w:cs="Times New Roman"/>
          <w:b w:val="0"/>
          <w:bCs w:val="0"/>
          <w:sz w:val="21"/>
          <w:szCs w:val="21"/>
        </w:rPr>
        <w:fldChar w:fldCharType="end"/>
      </w:r>
      <w:r>
        <w:rPr>
          <w:rFonts w:ascii="Times New Roman" w:hAnsi="Times New Roman" w:eastAsia="宋体" w:cs="Times New Roman"/>
          <w:b w:val="0"/>
          <w:bCs w:val="0"/>
          <w:sz w:val="21"/>
          <w:szCs w:val="21"/>
        </w:rPr>
        <w:fldChar w:fldCharType="end"/>
      </w:r>
    </w:p>
    <w:p w14:paraId="193F0985">
      <w:pPr>
        <w:pStyle w:val="15"/>
        <w:tabs>
          <w:tab w:val="right" w:leader="dot" w:pos="8312"/>
        </w:tabs>
        <w:spacing w:line="360" w:lineRule="exact"/>
        <w:rPr>
          <w:rFonts w:ascii="Times New Roman" w:hAnsi="Times New Roman" w:eastAsia="宋体" w:cs="Times New Roman"/>
          <w:b w:val="0"/>
          <w:bCs w:val="0"/>
          <w:color w:val="000000" w:themeColor="text1"/>
          <w:sz w:val="21"/>
          <w:szCs w:val="21"/>
          <w14:textFill>
            <w14:solidFill>
              <w14:schemeClr w14:val="tx1"/>
            </w14:solidFill>
          </w14:textFill>
        </w:rPr>
      </w:pPr>
      <w:r>
        <w:fldChar w:fldCharType="begin"/>
      </w:r>
      <w:r>
        <w:instrText xml:space="preserve"> HYPERLINK \l "_Toc435397599" </w:instrText>
      </w:r>
      <w:r>
        <w:fldChar w:fldCharType="separate"/>
      </w:r>
      <w:r>
        <w:rPr>
          <w:rFonts w:ascii="Times New Roman" w:hAnsi="Times New Roman" w:eastAsia="宋体" w:cs="Times New Roman"/>
          <w:b w:val="0"/>
          <w:bCs w:val="0"/>
          <w:sz w:val="21"/>
          <w:szCs w:val="21"/>
        </w:rPr>
        <w:t>参考文献</w:t>
      </w:r>
      <w:r>
        <w:rPr>
          <w:rFonts w:ascii="Times New Roman" w:hAnsi="Times New Roman" w:eastAsia="宋体" w:cs="Times New Roman"/>
          <w:b w:val="0"/>
          <w:bCs w:val="0"/>
          <w:sz w:val="21"/>
          <w:szCs w:val="21"/>
        </w:rPr>
        <w:tab/>
      </w:r>
      <w:r>
        <w:rPr>
          <w:rFonts w:hint="eastAsia" w:ascii="Times New Roman" w:hAnsi="Times New Roman" w:eastAsia="宋体" w:cs="Times New Roman"/>
          <w:b w:val="0"/>
          <w:bCs w:val="0"/>
          <w:sz w:val="21"/>
          <w:szCs w:val="21"/>
        </w:rPr>
        <w:t>2</w:t>
      </w:r>
      <w:r>
        <w:rPr>
          <w:rFonts w:hint="eastAsia" w:ascii="Times New Roman" w:hAnsi="Times New Roman" w:eastAsia="宋体" w:cs="Times New Roman"/>
          <w:b w:val="0"/>
          <w:bCs w:val="0"/>
          <w:sz w:val="21"/>
          <w:szCs w:val="21"/>
        </w:rPr>
        <w:fldChar w:fldCharType="end"/>
      </w:r>
      <w:r>
        <w:rPr>
          <w:rFonts w:hint="eastAsia" w:ascii="Times New Roman" w:hAnsi="Times New Roman" w:eastAsia="宋体" w:cs="Times New Roman"/>
          <w:b w:val="0"/>
          <w:bCs w:val="0"/>
          <w:sz w:val="21"/>
          <w:szCs w:val="21"/>
        </w:rPr>
        <w:t>5</w:t>
      </w:r>
    </w:p>
    <w:p w14:paraId="6AC70F7B">
      <w:pPr>
        <w:spacing w:line="360" w:lineRule="exact"/>
        <w:rPr>
          <w:rFonts w:ascii="Times New Roman" w:hAnsi="Times New Roman"/>
          <w:color w:val="000000" w:themeColor="text1"/>
          <w:szCs w:val="24"/>
          <w14:textFill>
            <w14:solidFill>
              <w14:schemeClr w14:val="tx1"/>
            </w14:solidFill>
          </w14:textFill>
        </w:rPr>
        <w:sectPr>
          <w:footerReference r:id="rId5" w:type="default"/>
          <w:pgSz w:w="11906" w:h="16838"/>
          <w:pgMar w:top="1440" w:right="1797" w:bottom="1440" w:left="1797" w:header="1418" w:footer="1134" w:gutter="0"/>
          <w:pgNumType w:fmt="upperRoman" w:start="1"/>
          <w:cols w:space="720" w:num="1"/>
          <w:formProt w:val="0"/>
          <w:docGrid w:linePitch="312" w:charSpace="0"/>
        </w:sectPr>
      </w:pPr>
      <w:r>
        <w:rPr>
          <w:rFonts w:ascii="Times New Roman Regular" w:hAnsi="Times New Roman Regular" w:cs="Times New Roman Regular"/>
          <w:color w:val="000000" w:themeColor="text1"/>
          <w14:textFill>
            <w14:solidFill>
              <w14:schemeClr w14:val="tx1"/>
            </w14:solidFill>
          </w14:textFill>
        </w:rPr>
        <w:fldChar w:fldCharType="end"/>
      </w:r>
    </w:p>
    <w:tbl>
      <w:tblPr>
        <w:tblStyle w:val="22"/>
        <w:tblW w:w="9356" w:type="dxa"/>
        <w:tblInd w:w="-180" w:type="dxa"/>
        <w:tblLayout w:type="fixed"/>
        <w:tblCellMar>
          <w:top w:w="0" w:type="dxa"/>
          <w:left w:w="0" w:type="dxa"/>
          <w:bottom w:w="0" w:type="dxa"/>
          <w:right w:w="0" w:type="dxa"/>
        </w:tblCellMar>
      </w:tblPr>
      <w:tblGrid>
        <w:gridCol w:w="9356"/>
      </w:tblGrid>
      <w:tr w14:paraId="000A296F">
        <w:tblPrEx>
          <w:tblCellMar>
            <w:top w:w="0" w:type="dxa"/>
            <w:left w:w="0" w:type="dxa"/>
            <w:bottom w:w="0" w:type="dxa"/>
            <w:right w:w="0" w:type="dxa"/>
          </w:tblCellMar>
        </w:tblPrEx>
        <w:trPr>
          <w:trHeight w:val="360" w:hRule="exact"/>
        </w:trPr>
        <w:tc>
          <w:tcPr>
            <w:tcW w:w="9356" w:type="dxa"/>
            <w:vAlign w:val="center"/>
          </w:tcPr>
          <w:p w14:paraId="60037772">
            <w:pPr>
              <w:spacing w:line="360" w:lineRule="exact"/>
              <w:jc w:val="center"/>
              <w:rPr>
                <w:rFonts w:ascii="Times New Roman" w:hAnsi="Times New Roman"/>
                <w:color w:val="000000" w:themeColor="text1"/>
                <w:sz w:val="24"/>
                <w:szCs w:val="24"/>
                <w14:textFill>
                  <w14:solidFill>
                    <w14:schemeClr w14:val="tx1"/>
                  </w14:solidFill>
                </w14:textFill>
              </w:rPr>
            </w:pPr>
            <w:r>
              <w:rPr>
                <w:rFonts w:hint="eastAsia" w:ascii="黑体" w:eastAsia="黑体"/>
                <w:color w:val="000000" w:themeColor="text1"/>
                <w:sz w:val="32"/>
                <w14:textFill>
                  <w14:solidFill>
                    <w14:schemeClr w14:val="tx1"/>
                  </w14:solidFill>
                </w14:textFill>
              </w:rPr>
              <w:t>前  言</w:t>
            </w:r>
          </w:p>
        </w:tc>
      </w:tr>
      <w:tr w14:paraId="6D7A2A1C">
        <w:tblPrEx>
          <w:tblCellMar>
            <w:top w:w="0" w:type="dxa"/>
            <w:left w:w="0" w:type="dxa"/>
            <w:bottom w:w="0" w:type="dxa"/>
            <w:right w:w="0" w:type="dxa"/>
          </w:tblCellMar>
        </w:tblPrEx>
        <w:trPr>
          <w:trHeight w:val="519" w:hRule="exact"/>
        </w:trPr>
        <w:tc>
          <w:tcPr>
            <w:tcW w:w="9356" w:type="dxa"/>
            <w:vAlign w:val="center"/>
          </w:tcPr>
          <w:p w14:paraId="20E432B6">
            <w:pPr>
              <w:rPr>
                <w:rFonts w:ascii="Times New Roman" w:hAnsi="Times New Roman"/>
                <w:color w:val="000000" w:themeColor="text1"/>
                <w:sz w:val="24"/>
                <w:szCs w:val="24"/>
                <w14:textFill>
                  <w14:solidFill>
                    <w14:schemeClr w14:val="tx1"/>
                  </w14:solidFill>
                </w14:textFill>
              </w:rPr>
            </w:pPr>
          </w:p>
        </w:tc>
      </w:tr>
    </w:tbl>
    <w:p w14:paraId="02AE7248">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本文件参照</w:t>
      </w:r>
      <w:r>
        <w:rPr>
          <w:rFonts w:ascii="Times New Roman" w:hAnsi="Times New Roman" w:cs="Times New Roman" w:eastAsiaTheme="majorEastAsia"/>
          <w:color w:val="000000" w:themeColor="text1"/>
          <w:sz w:val="21"/>
          <w:szCs w:val="21"/>
          <w14:textFill>
            <w14:solidFill>
              <w14:schemeClr w14:val="tx1"/>
            </w14:solidFill>
          </w14:textFill>
        </w:rPr>
        <w:t>GB/T1.1—2020</w:t>
      </w:r>
      <w:r>
        <w:rPr>
          <w:rFonts w:hint="eastAsia" w:ascii="Times New Roman" w:hAnsi="Times New Roman" w:cs="Times New Roman" w:eastAsiaTheme="majorEastAsia"/>
          <w:color w:val="000000" w:themeColor="text1"/>
          <w:sz w:val="21"/>
          <w:szCs w:val="21"/>
          <w14:textFill>
            <w14:solidFill>
              <w14:schemeClr w14:val="tx1"/>
            </w14:solidFill>
          </w14:textFill>
        </w:rPr>
        <w:t>《标准化工作导则</w:t>
      </w:r>
      <w:r>
        <w:rPr>
          <w:rFonts w:ascii="Times New Roman" w:hAnsi="Times New Roman" w:cs="Times New Roman" w:eastAsiaTheme="majorEastAsia"/>
          <w:color w:val="000000" w:themeColor="text1"/>
          <w:sz w:val="21"/>
          <w:szCs w:val="21"/>
          <w14:textFill>
            <w14:solidFill>
              <w14:schemeClr w14:val="tx1"/>
            </w14:solidFill>
          </w14:textFill>
        </w:rPr>
        <w:t xml:space="preserve"> </w:t>
      </w:r>
      <w:r>
        <w:rPr>
          <w:rFonts w:hint="eastAsia" w:ascii="Times New Roman" w:hAnsi="Times New Roman" w:cs="Times New Roman" w:eastAsiaTheme="majorEastAsia"/>
          <w:color w:val="000000" w:themeColor="text1"/>
          <w:sz w:val="21"/>
          <w:szCs w:val="21"/>
          <w14:textFill>
            <w14:solidFill>
              <w14:schemeClr w14:val="tx1"/>
            </w14:solidFill>
          </w14:textFill>
        </w:rPr>
        <w:t>第</w:t>
      </w:r>
      <w:r>
        <w:rPr>
          <w:rFonts w:ascii="Times New Roman" w:hAnsi="Times New Roman" w:cs="Times New Roman" w:eastAsiaTheme="majorEastAsia"/>
          <w:color w:val="000000" w:themeColor="text1"/>
          <w:sz w:val="21"/>
          <w:szCs w:val="21"/>
          <w14:textFill>
            <w14:solidFill>
              <w14:schemeClr w14:val="tx1"/>
            </w14:solidFill>
          </w14:textFill>
        </w:rPr>
        <w:t>1</w:t>
      </w:r>
      <w:r>
        <w:rPr>
          <w:rFonts w:hint="eastAsia" w:ascii="Times New Roman" w:hAnsi="Times New Roman" w:cs="Times New Roman" w:eastAsiaTheme="majorEastAsia"/>
          <w:color w:val="000000" w:themeColor="text1"/>
          <w:sz w:val="21"/>
          <w:szCs w:val="21"/>
          <w14:textFill>
            <w14:solidFill>
              <w14:schemeClr w14:val="tx1"/>
            </w14:solidFill>
          </w14:textFill>
        </w:rPr>
        <w:t>部分</w:t>
      </w:r>
      <w:r>
        <w:rPr>
          <w:rFonts w:ascii="Times New Roman" w:hAnsi="Times New Roman" w:cs="Times New Roman" w:eastAsiaTheme="majorEastAsia"/>
          <w:color w:val="000000" w:themeColor="text1"/>
          <w:sz w:val="21"/>
          <w:szCs w:val="21"/>
          <w14:textFill>
            <w14:solidFill>
              <w14:schemeClr w14:val="tx1"/>
            </w14:solidFill>
          </w14:textFill>
        </w:rPr>
        <w:t>:</w:t>
      </w:r>
      <w:r>
        <w:rPr>
          <w:rFonts w:hint="eastAsia" w:ascii="Times New Roman" w:hAnsi="Times New Roman" w:cs="Times New Roman" w:eastAsiaTheme="majorEastAsia"/>
          <w:color w:val="000000" w:themeColor="text1"/>
          <w:sz w:val="21"/>
          <w:szCs w:val="21"/>
          <w14:textFill>
            <w14:solidFill>
              <w14:schemeClr w14:val="tx1"/>
            </w14:solidFill>
          </w14:textFill>
        </w:rPr>
        <w:t>标准化文件的结构和起草规则》的规定起草。</w:t>
      </w:r>
    </w:p>
    <w:p w14:paraId="7962DC3D">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请注意本文件的某些内容可能涉及专利。本文件的发布机构不承担识别专利的责任。</w:t>
      </w:r>
    </w:p>
    <w:p w14:paraId="60A8172E">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本文件由黑龙江中医药大学附属第一医院提出。</w:t>
      </w:r>
    </w:p>
    <w:p w14:paraId="2B8E3C9E">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本文件由中华中医药学会归口。</w:t>
      </w:r>
    </w:p>
    <w:p w14:paraId="0AB84B60">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起草单位：黑龙江中医药大学附属第一医院、黑龙江中医药大学附属第二医院、徐州医科大学附属徐州妇幼保健院、浙江中医药大学附属杭州市中医院、南京中医药大学附属苏州市中医医院、上海中医药大学附属龙华医院、安徽中医药大学第一附属医院、贵州中医药大学第一附属医院、山西中医药大学附属医院、浙江省中医药大学附属第三医院、唐山市中医医院、湖南中医药大学第一附属医院、哈尔滨医科大学附属第二医院、哈尔滨医科大学附属第一医院、哈尔滨医科大学附属肿瘤医院、哈尔滨市道里区人民医院、深圳市宝安区妇幼保健院、中国中医科学院西苑医院。</w:t>
      </w:r>
    </w:p>
    <w:p w14:paraId="5B304A69">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本文件主要起草人：韩延华、朱小琳、张跃辉、朱锦明、章勤。</w:t>
      </w:r>
    </w:p>
    <w:p w14:paraId="66A3823F">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hint="eastAsia" w:ascii="Times New Roman" w:hAnsi="Times New Roman" w:cs="Times New Roman" w:eastAsiaTheme="majorEastAsia"/>
          <w:color w:val="000000" w:themeColor="text1"/>
          <w:sz w:val="21"/>
          <w:szCs w:val="21"/>
          <w14:textFill>
            <w14:solidFill>
              <w14:schemeClr w14:val="tx1"/>
            </w14:solidFill>
          </w14:textFill>
        </w:rPr>
        <w:t>本文件其他起草人：许小凤、付金荣、李伟莉、丁丽仙、刘宏奇、陈学奇、韩亚光、刘丽、刘淑君、胥风华、匡洪影、沈文娟、乔江、刘兆兰、林静、张丹丹、刘天伯、董丽娜、袁晶、郝凤霞、于津澜、刘格、辛雪艳、常惠、韩亚鹏、韩晗、韩梅、姜玥。</w:t>
      </w:r>
    </w:p>
    <w:p w14:paraId="29C89E81">
      <w:r>
        <w:br w:type="page"/>
      </w:r>
    </w:p>
    <w:tbl>
      <w:tblPr>
        <w:tblStyle w:val="22"/>
        <w:tblW w:w="9356" w:type="dxa"/>
        <w:tblInd w:w="-180" w:type="dxa"/>
        <w:tblLayout w:type="fixed"/>
        <w:tblCellMar>
          <w:top w:w="0" w:type="dxa"/>
          <w:left w:w="0" w:type="dxa"/>
          <w:bottom w:w="0" w:type="dxa"/>
          <w:right w:w="0" w:type="dxa"/>
        </w:tblCellMar>
      </w:tblPr>
      <w:tblGrid>
        <w:gridCol w:w="9356"/>
      </w:tblGrid>
      <w:tr w14:paraId="05A65F4E">
        <w:tblPrEx>
          <w:tblCellMar>
            <w:top w:w="0" w:type="dxa"/>
            <w:left w:w="0" w:type="dxa"/>
            <w:bottom w:w="0" w:type="dxa"/>
            <w:right w:w="0" w:type="dxa"/>
          </w:tblCellMar>
        </w:tblPrEx>
        <w:trPr>
          <w:trHeight w:val="360" w:hRule="exact"/>
        </w:trPr>
        <w:tc>
          <w:tcPr>
            <w:tcW w:w="9356" w:type="dxa"/>
            <w:vAlign w:val="center"/>
          </w:tcPr>
          <w:p w14:paraId="107578C2">
            <w:pPr>
              <w:spacing w:line="360" w:lineRule="exact"/>
              <w:jc w:val="center"/>
              <w:rPr>
                <w:rFonts w:ascii="Times New Roman" w:hAnsi="Times New Roman" w:eastAsia="黑体"/>
                <w:color w:val="000000" w:themeColor="text1"/>
                <w:sz w:val="24"/>
                <w:szCs w:val="24"/>
                <w14:textFill>
                  <w14:solidFill>
                    <w14:schemeClr w14:val="tx1"/>
                  </w14:solidFill>
                </w14:textFill>
              </w:rPr>
            </w:pPr>
            <w:r>
              <w:rPr>
                <w:rFonts w:hint="eastAsia" w:ascii="黑体" w:eastAsia="黑体"/>
                <w:color w:val="000000" w:themeColor="text1"/>
                <w:sz w:val="32"/>
                <w14:textFill>
                  <w14:solidFill>
                    <w14:schemeClr w14:val="tx1"/>
                  </w14:solidFill>
                </w14:textFill>
              </w:rPr>
              <w:t>引  言</w:t>
            </w:r>
          </w:p>
        </w:tc>
      </w:tr>
      <w:tr w14:paraId="36D0E77C">
        <w:tblPrEx>
          <w:tblCellMar>
            <w:top w:w="0" w:type="dxa"/>
            <w:left w:w="0" w:type="dxa"/>
            <w:bottom w:w="0" w:type="dxa"/>
            <w:right w:w="0" w:type="dxa"/>
          </w:tblCellMar>
        </w:tblPrEx>
        <w:trPr>
          <w:trHeight w:val="519" w:hRule="exact"/>
        </w:trPr>
        <w:tc>
          <w:tcPr>
            <w:tcW w:w="9356" w:type="dxa"/>
            <w:vAlign w:val="center"/>
          </w:tcPr>
          <w:p w14:paraId="5AA2E8FC">
            <w:pPr>
              <w:rPr>
                <w:rFonts w:ascii="Times New Roman" w:hAnsi="Times New Roman"/>
                <w:color w:val="000000" w:themeColor="text1"/>
                <w:sz w:val="24"/>
                <w:szCs w:val="24"/>
                <w14:textFill>
                  <w14:solidFill>
                    <w14:schemeClr w14:val="tx1"/>
                  </w14:solidFill>
                </w14:textFill>
              </w:rPr>
            </w:pPr>
          </w:p>
        </w:tc>
      </w:tr>
    </w:tbl>
    <w:p w14:paraId="074D5505">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子痫前期（Preeclampsia, PE）是造成孕妇严重妊娠期合并症和不良妊娠结局的重要原因之一，常在孕20周后出现新发高血压和蛋白尿，或在无蛋白尿时合并血小板减少、肝肾功能不全等其他相关症状及体征</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。流行病学数据表明，我国的子痫前期发生率为2.28％，其中重度子痫前期占68.10％，胎儿死胎率为4.60％，低出生体质量新生儿发生率为27.90％，不良妊娠结局发生率远高于正常孕妇</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w:t>
      </w:r>
      <w:r>
        <w:rPr>
          <w:rFonts w:ascii="Times New Roman" w:hAnsi="Times New Roman" w:cs="Times New Roman" w:eastAsiaTheme="majorEastAsia"/>
          <w:color w:val="000000" w:themeColor="text1"/>
          <w:sz w:val="21"/>
          <w:szCs w:val="21"/>
          <w14:textFill>
            <w14:solidFill>
              <w14:schemeClr w14:val="tx1"/>
            </w14:solidFill>
          </w14:textFill>
        </w:rPr>
        <w:t>。PE具有病情危急，进展迅速的特点，不仅给患者及其家庭带来严重的经济负担，而且严重威胁着患者的身心健康。由于PE病因复杂多样且异质性强，已引起广大医务工作者的高度重视和广泛关注，故PE的规范性诊治已成为生殖健康领域亟待解决的重要问题。中医学对PE的认知有着悠久的历史，根据临床症状的不同，归属于</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子肿</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子晕</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等范畴，运用四诊合参，辨证论治，临床疗效较好，早期识别与防范能力较强。</w:t>
      </w:r>
    </w:p>
    <w:p w14:paraId="3CC3538B">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本文件以中西医临床关键问题为导向，开展PE中医诊治的循证研究，遵循</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循证为举，共识为主，经验为鉴</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的原则，基于现有的最佳证据，经专家讨论，广泛征求中医妇科、中西医结合妇产科、西医妇产科及方法学专家意见后形成中医诊疗推荐意见，以保证指南的科学性、实用性、临床可操作性，指导临床医师规范化诊疗PE，提高PE治疗的临床疗效，并重视PE的早期预警信息，防患于未然，预防重度子痫前期及子痫的发生，节约医疗卫生资源、缓解疾病负担，提高患者生活质量。</w:t>
      </w:r>
    </w:p>
    <w:p w14:paraId="2C68D436">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本诊疗方案无资金资助。</w:t>
      </w:r>
    </w:p>
    <w:p w14:paraId="4CA1F7DA">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本诊疗方案项目组成员在项目正式启动前均签署了</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利益冲突声明</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，且已存档。本诊疗方案制定过程中</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无利益冲突</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，为此不会成为本诊疗方案制定的偏倚来源，无需进一步处理，已在正式工作开始前公开了利益声明和评价结果，即所有参与本诊疗方案制定的成员均和药品生产企业没有任何经济利益往来。</w:t>
      </w:r>
    </w:p>
    <w:p w14:paraId="11B8CEE1">
      <w:pPr>
        <w:tabs>
          <w:tab w:val="left" w:pos="5166"/>
        </w:tabs>
        <w:spacing w:line="360" w:lineRule="exact"/>
        <w:rPr>
          <w:rFonts w:ascii="Times New Roman" w:hAnsi="Times New Roman"/>
          <w:color w:val="000000" w:themeColor="text1"/>
          <w:sz w:val="24"/>
          <w:szCs w:val="24"/>
          <w14:textFill>
            <w14:solidFill>
              <w14:schemeClr w14:val="tx1"/>
            </w14:solidFill>
          </w14:textFill>
        </w:rPr>
        <w:sectPr>
          <w:footerReference r:id="rId6" w:type="default"/>
          <w:pgSz w:w="11906" w:h="16838"/>
          <w:pgMar w:top="1440" w:right="1797" w:bottom="1440" w:left="1797" w:header="1418" w:footer="1134" w:gutter="0"/>
          <w:pgNumType w:fmt="upperRoman" w:start="1"/>
          <w:cols w:space="720" w:num="1"/>
          <w:formProt w:val="0"/>
          <w:docGrid w:linePitch="312" w:charSpace="0"/>
        </w:sectPr>
      </w:pPr>
      <w:r>
        <w:rPr>
          <w:rFonts w:ascii="Times New Roman" w:hAnsi="Times New Roman" w:eastAsiaTheme="majorEastAsia"/>
          <w:color w:val="000000" w:themeColor="text1"/>
          <w14:textFill>
            <w14:solidFill>
              <w14:schemeClr w14:val="tx1"/>
            </w14:solidFill>
          </w14:textFill>
        </w:rPr>
        <w:tab/>
      </w:r>
    </w:p>
    <w:tbl>
      <w:tblPr>
        <w:tblStyle w:val="22"/>
        <w:tblW w:w="8107" w:type="dxa"/>
        <w:tblInd w:w="0" w:type="dxa"/>
        <w:tblLayout w:type="fixed"/>
        <w:tblCellMar>
          <w:top w:w="0" w:type="dxa"/>
          <w:left w:w="0" w:type="dxa"/>
          <w:bottom w:w="0" w:type="dxa"/>
          <w:right w:w="0" w:type="dxa"/>
        </w:tblCellMar>
      </w:tblPr>
      <w:tblGrid>
        <w:gridCol w:w="8107"/>
      </w:tblGrid>
      <w:tr w14:paraId="5DDB2441">
        <w:tblPrEx>
          <w:tblCellMar>
            <w:top w:w="0" w:type="dxa"/>
            <w:left w:w="0" w:type="dxa"/>
            <w:bottom w:w="0" w:type="dxa"/>
            <w:right w:w="0" w:type="dxa"/>
          </w:tblCellMar>
        </w:tblPrEx>
        <w:trPr>
          <w:trHeight w:val="360" w:hRule="exact"/>
        </w:trPr>
        <w:tc>
          <w:tcPr>
            <w:tcW w:w="8107" w:type="dxa"/>
            <w:vAlign w:val="center"/>
          </w:tcPr>
          <w:p w14:paraId="474DE33D">
            <w:pPr>
              <w:pStyle w:val="38"/>
              <w:rPr>
                <w:color w:val="000000" w:themeColor="text1"/>
                <w:szCs w:val="32"/>
                <w14:textFill>
                  <w14:solidFill>
                    <w14:schemeClr w14:val="tx1"/>
                  </w14:solidFill>
                </w14:textFill>
              </w:rPr>
            </w:pPr>
            <w:bookmarkStart w:id="2" w:name="_Toc312432013"/>
            <w:bookmarkStart w:id="3" w:name="_Toc565769553"/>
            <w:bookmarkStart w:id="4" w:name="_Toc2086583652"/>
            <w:bookmarkStart w:id="5" w:name="_Toc1295777119"/>
            <w:bookmarkStart w:id="6" w:name="_Toc473331081"/>
            <w:r>
              <w:rPr>
                <w:rFonts w:hint="eastAsia"/>
                <w:color w:val="000000" w:themeColor="text1"/>
                <w14:textFill>
                  <w14:solidFill>
                    <w14:schemeClr w14:val="tx1"/>
                  </w14:solidFill>
                </w14:textFill>
              </w:rPr>
              <w:t>子痫前期中医诊疗指南</w:t>
            </w:r>
            <w:bookmarkEnd w:id="2"/>
            <w:bookmarkEnd w:id="3"/>
            <w:bookmarkEnd w:id="4"/>
            <w:bookmarkEnd w:id="5"/>
            <w:bookmarkEnd w:id="6"/>
          </w:p>
          <w:p w14:paraId="12137574">
            <w:pPr>
              <w:rPr>
                <w:rFonts w:ascii="Times New Roman" w:hAnsi="Times New Roman"/>
                <w:color w:val="000000" w:themeColor="text1"/>
                <w:sz w:val="24"/>
                <w:szCs w:val="24"/>
                <w14:textFill>
                  <w14:solidFill>
                    <w14:schemeClr w14:val="tx1"/>
                  </w14:solidFill>
                </w14:textFill>
              </w:rPr>
            </w:pPr>
          </w:p>
          <w:p w14:paraId="0F8D91E6">
            <w:pPr>
              <w:rPr>
                <w:rFonts w:ascii="Times New Roman" w:hAnsi="Times New Roman"/>
                <w:color w:val="000000" w:themeColor="text1"/>
                <w:sz w:val="24"/>
                <w:szCs w:val="24"/>
                <w14:textFill>
                  <w14:solidFill>
                    <w14:schemeClr w14:val="tx1"/>
                  </w14:solidFill>
                </w14:textFill>
              </w:rPr>
            </w:pPr>
          </w:p>
          <w:p w14:paraId="4522E538">
            <w:pPr>
              <w:rPr>
                <w:rFonts w:ascii="Times New Roman" w:hAnsi="Times New Roman"/>
                <w:color w:val="000000" w:themeColor="text1"/>
                <w:sz w:val="24"/>
                <w:szCs w:val="24"/>
                <w14:textFill>
                  <w14:solidFill>
                    <w14:schemeClr w14:val="tx1"/>
                  </w14:solidFill>
                </w14:textFill>
              </w:rPr>
            </w:pPr>
          </w:p>
          <w:p w14:paraId="66C065D1">
            <w:pPr>
              <w:rPr>
                <w:rFonts w:ascii="Times New Roman" w:hAnsi="Times New Roman"/>
                <w:color w:val="000000" w:themeColor="text1"/>
                <w:sz w:val="24"/>
                <w:szCs w:val="24"/>
                <w14:textFill>
                  <w14:solidFill>
                    <w14:schemeClr w14:val="tx1"/>
                  </w14:solidFill>
                </w14:textFill>
              </w:rPr>
            </w:pPr>
          </w:p>
          <w:p w14:paraId="7E0EDFE9">
            <w:pPr>
              <w:rPr>
                <w:rFonts w:ascii="Times New Roman" w:hAnsi="Times New Roman"/>
                <w:color w:val="000000" w:themeColor="text1"/>
                <w:sz w:val="24"/>
                <w:szCs w:val="24"/>
                <w14:textFill>
                  <w14:solidFill>
                    <w14:schemeClr w14:val="tx1"/>
                  </w14:solidFill>
                </w14:textFill>
              </w:rPr>
            </w:pPr>
          </w:p>
          <w:p w14:paraId="1BB0D772">
            <w:pPr>
              <w:rPr>
                <w:rFonts w:ascii="Times New Roman" w:hAnsi="Times New Roman"/>
                <w:color w:val="000000" w:themeColor="text1"/>
                <w:sz w:val="24"/>
                <w:szCs w:val="24"/>
                <w14:textFill>
                  <w14:solidFill>
                    <w14:schemeClr w14:val="tx1"/>
                  </w14:solidFill>
                </w14:textFill>
              </w:rPr>
            </w:pPr>
          </w:p>
          <w:p w14:paraId="6A45F62C">
            <w:pPr>
              <w:rPr>
                <w:rFonts w:ascii="Times New Roman" w:hAnsi="Times New Roman"/>
                <w:color w:val="000000" w:themeColor="text1"/>
                <w:sz w:val="24"/>
                <w:szCs w:val="24"/>
                <w14:textFill>
                  <w14:solidFill>
                    <w14:schemeClr w14:val="tx1"/>
                  </w14:solidFill>
                </w14:textFill>
              </w:rPr>
            </w:pPr>
          </w:p>
          <w:p w14:paraId="1901D3F2">
            <w:pPr>
              <w:rPr>
                <w:rFonts w:ascii="Times New Roman" w:hAnsi="Times New Roman"/>
                <w:color w:val="000000" w:themeColor="text1"/>
                <w:sz w:val="24"/>
                <w:szCs w:val="24"/>
                <w14:textFill>
                  <w14:solidFill>
                    <w14:schemeClr w14:val="tx1"/>
                  </w14:solidFill>
                </w14:textFill>
              </w:rPr>
            </w:pPr>
          </w:p>
          <w:p w14:paraId="762CBC35">
            <w:pPr>
              <w:rPr>
                <w:rFonts w:ascii="Times New Roman" w:hAnsi="Times New Roman"/>
                <w:color w:val="000000" w:themeColor="text1"/>
                <w:sz w:val="24"/>
                <w:szCs w:val="24"/>
                <w14:textFill>
                  <w14:solidFill>
                    <w14:schemeClr w14:val="tx1"/>
                  </w14:solidFill>
                </w14:textFill>
              </w:rPr>
            </w:pPr>
          </w:p>
          <w:p w14:paraId="2D3D4088">
            <w:pPr>
              <w:rPr>
                <w:rFonts w:ascii="Times New Roman" w:hAnsi="Times New Roman"/>
                <w:color w:val="000000" w:themeColor="text1"/>
                <w:sz w:val="24"/>
                <w:szCs w:val="24"/>
                <w14:textFill>
                  <w14:solidFill>
                    <w14:schemeClr w14:val="tx1"/>
                  </w14:solidFill>
                </w14:textFill>
              </w:rPr>
            </w:pPr>
          </w:p>
          <w:p w14:paraId="21E15DE0">
            <w:pPr>
              <w:spacing w:line="360" w:lineRule="exact"/>
              <w:rPr>
                <w:rFonts w:ascii="Times New Roman" w:hAnsi="Times New Roman"/>
                <w:color w:val="000000" w:themeColor="text1"/>
                <w:sz w:val="24"/>
                <w:szCs w:val="24"/>
                <w14:textFill>
                  <w14:solidFill>
                    <w14:schemeClr w14:val="tx1"/>
                  </w14:solidFill>
                </w14:textFill>
              </w:rPr>
            </w:pPr>
          </w:p>
        </w:tc>
      </w:tr>
      <w:tr w14:paraId="23F00C59">
        <w:tblPrEx>
          <w:tblCellMar>
            <w:top w:w="0" w:type="dxa"/>
            <w:left w:w="0" w:type="dxa"/>
            <w:bottom w:w="0" w:type="dxa"/>
            <w:right w:w="0" w:type="dxa"/>
          </w:tblCellMar>
        </w:tblPrEx>
        <w:trPr>
          <w:trHeight w:val="316" w:hRule="exact"/>
        </w:trPr>
        <w:tc>
          <w:tcPr>
            <w:tcW w:w="8107" w:type="dxa"/>
          </w:tcPr>
          <w:p w14:paraId="3B0AAF33">
            <w:pPr>
              <w:rPr>
                <w:rFonts w:ascii="Times New Roman" w:hAnsi="Times New Roman"/>
                <w:color w:val="000000" w:themeColor="text1"/>
                <w:sz w:val="24"/>
                <w:szCs w:val="24"/>
                <w14:textFill>
                  <w14:solidFill>
                    <w14:schemeClr w14:val="tx1"/>
                  </w14:solidFill>
                </w14:textFill>
              </w:rPr>
            </w:pPr>
          </w:p>
        </w:tc>
      </w:tr>
    </w:tbl>
    <w:p w14:paraId="4B167D7C">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7" w:name="_Toc996049879"/>
      <w:bookmarkStart w:id="8" w:name="_Toc509933849"/>
      <w:bookmarkStart w:id="9" w:name="_Toc510534528"/>
      <w:bookmarkStart w:id="10" w:name="_Toc459704603"/>
      <w:bookmarkStart w:id="11" w:name="_Toc803483654"/>
      <w:bookmarkStart w:id="12" w:name="_Toc459720143"/>
      <w:bookmarkStart w:id="13" w:name="_Toc459724774"/>
      <w:r>
        <w:rPr>
          <w:rFonts w:ascii="Times New Roman" w:hAnsi="Times New Roman" w:cs="Times New Roman" w:eastAsiaTheme="minorEastAsia"/>
          <w:b/>
          <w:bCs/>
          <w:color w:val="000000" w:themeColor="text1"/>
          <w:sz w:val="24"/>
          <w:szCs w:val="24"/>
          <w14:textFill>
            <w14:solidFill>
              <w14:schemeClr w14:val="tx1"/>
            </w14:solidFill>
          </w14:textFill>
        </w:rPr>
        <w:t xml:space="preserve">1  </w:t>
      </w:r>
      <w:r>
        <w:rPr>
          <w:rFonts w:ascii="Times New Roman" w:hAnsi="Times New Roman" w:cs="Times New Roman" w:eastAsiaTheme="majorEastAsia"/>
          <w:b/>
          <w:bCs/>
          <w:color w:val="000000" w:themeColor="text1"/>
          <w:szCs w:val="21"/>
          <w14:textFill>
            <w14:solidFill>
              <w14:schemeClr w14:val="tx1"/>
            </w14:solidFill>
          </w14:textFill>
        </w:rPr>
        <w:t>范围</w:t>
      </w:r>
      <w:bookmarkEnd w:id="7"/>
      <w:bookmarkEnd w:id="8"/>
      <w:bookmarkEnd w:id="9"/>
      <w:bookmarkEnd w:id="10"/>
      <w:bookmarkEnd w:id="11"/>
      <w:bookmarkEnd w:id="12"/>
      <w:bookmarkEnd w:id="13"/>
      <w:bookmarkStart w:id="14" w:name="_Toc459704604"/>
      <w:bookmarkStart w:id="15" w:name="_Toc459724775"/>
      <w:bookmarkStart w:id="16" w:name="_Toc459720144"/>
    </w:p>
    <w:p w14:paraId="38D8DF01">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本文件界定了子痫前期的术语和定义，明确了诊断、中医辨证、治疗、疗效评价和预防调摄。</w:t>
      </w:r>
    </w:p>
    <w:p w14:paraId="72F004D9">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本文件适用于子痫前期患者的中医临床诊疗</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适用于各级医疗机构的中医妇科、妇产科、中医科等相关科室临床医护人员使用。</w:t>
      </w:r>
    </w:p>
    <w:p w14:paraId="7CF6F0B7">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17" w:name="_Toc509933850"/>
      <w:bookmarkStart w:id="18" w:name="_Toc975287988"/>
      <w:bookmarkStart w:id="19" w:name="_Toc772600442"/>
      <w:bookmarkStart w:id="20" w:name="_Toc510534529"/>
      <w:r>
        <w:rPr>
          <w:rFonts w:ascii="Times New Roman" w:hAnsi="Times New Roman" w:cs="Times New Roman" w:eastAsiaTheme="majorEastAsia"/>
          <w:b/>
          <w:bCs/>
          <w:color w:val="000000" w:themeColor="text1"/>
          <w:szCs w:val="21"/>
          <w14:textFill>
            <w14:solidFill>
              <w14:schemeClr w14:val="tx1"/>
            </w14:solidFill>
          </w14:textFill>
        </w:rPr>
        <w:t>2  规范性引用文件</w:t>
      </w:r>
      <w:bookmarkEnd w:id="14"/>
      <w:bookmarkEnd w:id="15"/>
      <w:bookmarkEnd w:id="16"/>
      <w:bookmarkEnd w:id="17"/>
      <w:bookmarkEnd w:id="18"/>
      <w:bookmarkEnd w:id="19"/>
      <w:bookmarkEnd w:id="20"/>
    </w:p>
    <w:p w14:paraId="287D8E4C">
      <w:pPr>
        <w:pStyle w:val="34"/>
        <w:spacing w:line="360" w:lineRule="exact"/>
        <w:ind w:firstLine="420"/>
        <w:rPr>
          <w:rFonts w:ascii="Times New Roman" w:hAnsi="Times New Roman" w:cs="Times New Roman" w:eastAsiaTheme="majorEastAsia"/>
          <w:color w:val="000000" w:themeColor="text1"/>
          <w:sz w:val="21"/>
          <w:szCs w:val="21"/>
          <w:shd w:val="clear" w:color="auto" w:fill="FFFFFF"/>
          <w14:textFill>
            <w14:solidFill>
              <w14:schemeClr w14:val="tx1"/>
            </w14:solidFill>
          </w14:textFill>
        </w:rPr>
      </w:pPr>
      <w:bookmarkStart w:id="21" w:name="_Toc459704605"/>
      <w:bookmarkEnd w:id="21"/>
      <w:bookmarkStart w:id="22" w:name="_Toc459724776"/>
      <w:bookmarkStart w:id="23" w:name="_Toc459720145"/>
      <w:r>
        <w:rPr>
          <w:rFonts w:ascii="Times New Roman" w:hAnsi="Times New Roman" w:cs="Times New Roman" w:eastAsiaTheme="majorEastAsia"/>
          <w:color w:val="000000" w:themeColor="text1"/>
          <w:sz w:val="21"/>
          <w:szCs w:val="21"/>
          <w14:textFill>
            <w14:solidFill>
              <w14:schemeClr w14:val="tx1"/>
            </w14:solidFill>
          </w14:textFill>
        </w:rPr>
        <w:t>下列文件中的内容通过文中的规范性引用</w:t>
      </w:r>
      <w:r>
        <w:rPr>
          <w:rFonts w:ascii="Times New Roman" w:hAnsi="Times New Roman" w:cs="Times New Roman" w:eastAsiaTheme="majorEastAsia"/>
          <w:color w:val="000000" w:themeColor="text1"/>
          <w:sz w:val="21"/>
          <w:szCs w:val="21"/>
          <w:shd w:val="clear" w:color="auto" w:fill="FFFFFF"/>
          <w14:textFill>
            <w14:solidFill>
              <w14:schemeClr w14:val="tx1"/>
            </w14:solidFill>
          </w14:textFill>
        </w:rPr>
        <w:t>而构成本文件必不可少的条款。其中，注日期的引用文件，仅该日期对应的版本适用于本文件；不注日期的引用文件，其最新版本（包括所有的修改单）适用于本文件。</w:t>
      </w:r>
    </w:p>
    <w:p w14:paraId="73C8D026">
      <w:pPr>
        <w:pStyle w:val="34"/>
        <w:spacing w:line="360" w:lineRule="exact"/>
        <w:ind w:firstLine="420"/>
        <w:rPr>
          <w:rFonts w:ascii="Times New Roman" w:hAnsi="Times New Roman" w:cs="Times New Roman" w:eastAsiaTheme="majorEastAsia"/>
          <w:color w:val="000000" w:themeColor="text1"/>
          <w:sz w:val="21"/>
          <w:szCs w:val="21"/>
          <w:shd w:val="clear" w:color="auto" w:fill="FFFFFF"/>
          <w14:textFill>
            <w14:solidFill>
              <w14:schemeClr w14:val="tx1"/>
            </w14:solidFill>
          </w14:textFill>
        </w:rPr>
      </w:pPr>
      <w:r>
        <w:rPr>
          <w:rFonts w:ascii="Times New Roman" w:hAnsi="Times New Roman" w:cs="Times New Roman" w:eastAsiaTheme="majorEastAsia"/>
          <w:color w:val="000000" w:themeColor="text1"/>
          <w:sz w:val="21"/>
          <w:szCs w:val="21"/>
          <w:shd w:val="clear" w:color="auto" w:fill="FFFFFF"/>
          <w14:textFill>
            <w14:solidFill>
              <w14:schemeClr w14:val="tx1"/>
            </w14:solidFill>
          </w14:textFill>
        </w:rPr>
        <w:t>GB/T 15657-2021 中医病证分类与代码</w:t>
      </w:r>
      <w:r>
        <w:rPr>
          <w:rFonts w:ascii="Times New Roman" w:hAnsi="Times New Roman" w:cs="Times New Roman" w:eastAsiaTheme="majorEastAsia"/>
          <w:color w:val="000000" w:themeColor="text1"/>
          <w:sz w:val="21"/>
          <w:szCs w:val="21"/>
          <w:shd w:val="clear" w:color="auto" w:fill="FFFFFF"/>
          <w:vertAlign w:val="superscript"/>
          <w14:textFill>
            <w14:solidFill>
              <w14:schemeClr w14:val="tx1"/>
            </w14:solidFill>
          </w14:textFill>
        </w:rPr>
        <w:t>[3]</w:t>
      </w:r>
    </w:p>
    <w:p w14:paraId="79E63A2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2023年美国预防服务工作组《妊娠高血压疾病的筛查》</w:t>
      </w:r>
      <w:r>
        <w:rPr>
          <w:rFonts w:ascii="Times New Roman" w:hAnsi="Times New Roman" w:cs="Times New Roman" w:eastAsiaTheme="majorEastAsia"/>
          <w:color w:val="000000" w:themeColor="text1"/>
          <w:sz w:val="21"/>
          <w:szCs w:val="21"/>
          <w:vertAlign w:val="superscript"/>
          <w14:textFill>
            <w14:solidFill>
              <w14:schemeClr w14:val="tx1"/>
            </w14:solidFill>
          </w14:textFill>
        </w:rPr>
        <w:t>[4]</w:t>
      </w:r>
    </w:p>
    <w:p w14:paraId="105145FB">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2019年国际妇产科联合会《孕早期子痫前期的筛查与预防》</w:t>
      </w:r>
      <w:r>
        <w:rPr>
          <w:rFonts w:ascii="Times New Roman" w:hAnsi="Times New Roman" w:cs="Times New Roman" w:eastAsiaTheme="majorEastAsia"/>
          <w:color w:val="000000" w:themeColor="text1"/>
          <w:sz w:val="21"/>
          <w:szCs w:val="21"/>
          <w:vertAlign w:val="superscript"/>
          <w14:textFill>
            <w14:solidFill>
              <w14:schemeClr w14:val="tx1"/>
            </w14:solidFill>
          </w14:textFill>
        </w:rPr>
        <w:t>[5]</w:t>
      </w:r>
    </w:p>
    <w:p w14:paraId="18F66C01">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20</w:t>
      </w:r>
      <w:r>
        <w:rPr>
          <w:rFonts w:ascii="Times New Roman" w:hAnsi="Times New Roman" w:eastAsiaTheme="majorEastAsia"/>
          <w:color w:val="000000" w:themeColor="text1"/>
          <w:kern w:val="0"/>
          <w14:textFill>
            <w14:solidFill>
              <w14:schemeClr w14:val="tx1"/>
            </w14:solidFill>
          </w14:textFill>
        </w:rPr>
        <w:t>20年中华医学会妇产科学分会《妊娠期高血压疾病诊治指南》</w:t>
      </w:r>
      <w:r>
        <w:rPr>
          <w:rFonts w:ascii="Times New Roman" w:hAnsi="Times New Roman" w:eastAsiaTheme="majorEastAsia"/>
          <w:color w:val="000000" w:themeColor="text1"/>
          <w:vertAlign w:val="superscript"/>
          <w14:textFill>
            <w14:solidFill>
              <w14:schemeClr w14:val="tx1"/>
            </w14:solidFill>
          </w14:textFill>
        </w:rPr>
        <w:t>[1]</w:t>
      </w:r>
    </w:p>
    <w:p w14:paraId="409A1038">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24" w:name="_Toc510534530"/>
      <w:bookmarkStart w:id="25" w:name="_Toc2070020412"/>
      <w:bookmarkStart w:id="26" w:name="_Toc509933851"/>
      <w:bookmarkStart w:id="27" w:name="_Toc1409498932"/>
      <w:bookmarkStart w:id="28" w:name="_Toc436205037"/>
      <w:r>
        <w:rPr>
          <w:rFonts w:ascii="Times New Roman" w:hAnsi="Times New Roman" w:cs="Times New Roman" w:eastAsiaTheme="majorEastAsia"/>
          <w:b/>
          <w:bCs/>
          <w:color w:val="000000" w:themeColor="text1"/>
          <w:szCs w:val="21"/>
          <w14:textFill>
            <w14:solidFill>
              <w14:schemeClr w14:val="tx1"/>
            </w14:solidFill>
          </w14:textFill>
        </w:rPr>
        <w:t>3  术语和定义</w:t>
      </w:r>
      <w:bookmarkEnd w:id="24"/>
      <w:bookmarkEnd w:id="25"/>
      <w:bookmarkEnd w:id="26"/>
      <w:bookmarkEnd w:id="27"/>
      <w:bookmarkEnd w:id="28"/>
    </w:p>
    <w:p w14:paraId="716D1479">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下列术语和定义适用于本文件。</w:t>
      </w:r>
    </w:p>
    <w:p w14:paraId="00B767E3">
      <w:pPr>
        <w:pStyle w:val="33"/>
        <w:numPr>
          <w:ilvl w:val="1"/>
          <w:numId w:val="0"/>
        </w:numPr>
        <w:spacing w:before="240" w:beforeLines="100" w:after="240" w:afterLines="100" w:line="360" w:lineRule="exact"/>
        <w:ind w:firstLine="420" w:firstLineChars="200"/>
        <w:rPr>
          <w:rFonts w:ascii="Times New Roman" w:hAnsi="Times New Roman" w:cs="Times New Roman" w:eastAsiaTheme="majorEastAsia"/>
          <w:color w:val="000000" w:themeColor="text1"/>
          <w:szCs w:val="21"/>
          <w14:textFill>
            <w14:solidFill>
              <w14:schemeClr w14:val="tx1"/>
            </w14:solidFill>
          </w14:textFill>
        </w:rPr>
      </w:pPr>
      <w:bookmarkStart w:id="29" w:name="_Toc1597983084"/>
      <w:bookmarkStart w:id="30" w:name="_Toc1229943440"/>
      <w:bookmarkStart w:id="31" w:name="_Toc261393714"/>
      <w:bookmarkStart w:id="32" w:name="_Toc2103586553"/>
      <w:r>
        <w:rPr>
          <w:rFonts w:ascii="Times New Roman" w:hAnsi="Times New Roman" w:cs="Times New Roman" w:eastAsiaTheme="majorEastAsia"/>
          <w:color w:val="000000" w:themeColor="text1"/>
          <w:kern w:val="0"/>
          <w:szCs w:val="21"/>
          <w14:textFill>
            <w14:solidFill>
              <w14:schemeClr w14:val="tx1"/>
            </w14:solidFill>
          </w14:textFill>
        </w:rPr>
        <w:t>子痫前期  Preeclampsia, PE</w:t>
      </w:r>
      <w:bookmarkEnd w:id="29"/>
      <w:bookmarkEnd w:id="30"/>
      <w:bookmarkEnd w:id="31"/>
      <w:bookmarkEnd w:id="32"/>
    </w:p>
    <w:p w14:paraId="17192198">
      <w:pPr>
        <w:spacing w:line="360" w:lineRule="exact"/>
        <w:ind w:firstLine="420" w:firstLineChars="200"/>
        <w:rPr>
          <w:rFonts w:ascii="Times New Roman" w:hAnsi="Times New Roman" w:eastAsiaTheme="majorEastAsia"/>
          <w:color w:val="000000" w:themeColor="text1"/>
          <w:kern w:val="0"/>
          <w14:textFill>
            <w14:solidFill>
              <w14:schemeClr w14:val="tx1"/>
            </w14:solidFill>
          </w14:textFill>
        </w:rPr>
      </w:pPr>
      <w:r>
        <w:rPr>
          <w:rFonts w:ascii="Times New Roman" w:hAnsi="Times New Roman" w:eastAsiaTheme="majorEastAsia"/>
          <w:color w:val="000000" w:themeColor="text1"/>
          <w:kern w:val="0"/>
          <w14:textFill>
            <w14:solidFill>
              <w14:schemeClr w14:val="tx1"/>
            </w14:solidFill>
          </w14:textFill>
        </w:rPr>
        <w:t>子痫前期是妊娠期特有的疾病，指妊娠20周后首次出现高血压，伴有蛋白尿或以下任何体征或症状：血小板减少，肝功能受损，肾功能不全，肺水肿，新发中枢神经系统异常，或视力障碍</w:t>
      </w:r>
      <w:r>
        <w:rPr>
          <w:rFonts w:ascii="Times New Roman" w:hAnsi="Times New Roman" w:eastAsiaTheme="majorEastAsia"/>
          <w:color w:val="000000" w:themeColor="text1"/>
          <w:kern w:val="0"/>
          <w:vertAlign w:val="superscript"/>
          <w:lang w:bidi="ar"/>
          <w14:textFill>
            <w14:solidFill>
              <w14:schemeClr w14:val="tx1"/>
            </w14:solidFill>
          </w14:textFill>
        </w:rPr>
        <w:t>[4-6]</w:t>
      </w:r>
      <w:r>
        <w:rPr>
          <w:rFonts w:ascii="Times New Roman" w:hAnsi="Times New Roman" w:eastAsiaTheme="majorEastAsia"/>
          <w:color w:val="000000" w:themeColor="text1"/>
          <w:kern w:val="0"/>
          <w14:textFill>
            <w14:solidFill>
              <w14:schemeClr w14:val="tx1"/>
            </w14:solidFill>
          </w14:textFill>
        </w:rPr>
        <w:t>。中医学的子肿、子晕与本病类同，可互参。</w:t>
      </w:r>
    </w:p>
    <w:p w14:paraId="3A2A8B8D">
      <w:pPr>
        <w:pStyle w:val="33"/>
        <w:numPr>
          <w:ilvl w:val="1"/>
          <w:numId w:val="0"/>
        </w:numPr>
        <w:spacing w:before="240" w:beforeLines="100" w:after="240" w:afterLines="100" w:line="360" w:lineRule="exact"/>
        <w:ind w:firstLine="420" w:firstLineChars="200"/>
        <w:rPr>
          <w:rFonts w:ascii="Times New Roman" w:hAnsi="Times New Roman" w:cs="Times New Roman" w:eastAsiaTheme="majorEastAsia"/>
          <w:color w:val="000000" w:themeColor="text1"/>
          <w:kern w:val="0"/>
          <w:szCs w:val="21"/>
          <w14:textFill>
            <w14:solidFill>
              <w14:schemeClr w14:val="tx1"/>
            </w14:solidFill>
          </w14:textFill>
        </w:rPr>
      </w:pPr>
      <w:bookmarkStart w:id="33" w:name="_Toc955915710"/>
      <w:bookmarkStart w:id="34" w:name="_Toc871203406"/>
      <w:bookmarkStart w:id="35" w:name="_Toc1640093083"/>
      <w:bookmarkStart w:id="36" w:name="_Toc2129293705"/>
      <w:r>
        <w:rPr>
          <w:rFonts w:ascii="Times New Roman" w:hAnsi="Times New Roman" w:cs="Times New Roman" w:eastAsiaTheme="majorEastAsia"/>
          <w:color w:val="000000" w:themeColor="text1"/>
          <w:kern w:val="0"/>
          <w:szCs w:val="21"/>
          <w14:textFill>
            <w14:solidFill>
              <w14:schemeClr w14:val="tx1"/>
            </w14:solidFill>
          </w14:textFill>
        </w:rPr>
        <w:t xml:space="preserve">子肿  </w:t>
      </w:r>
      <w:r>
        <w:rPr>
          <w:rFonts w:hint="eastAsia" w:ascii="Times New Roman" w:hAnsi="Times New Roman" w:cs="Times New Roman" w:eastAsiaTheme="majorEastAsia"/>
          <w:color w:val="000000" w:themeColor="text1"/>
          <w:kern w:val="0"/>
          <w:szCs w:val="21"/>
          <w14:textFill>
            <w14:solidFill>
              <w14:schemeClr w14:val="tx1"/>
            </w14:solidFill>
          </w14:textFill>
        </w:rPr>
        <w:t>C</w:t>
      </w:r>
      <w:r>
        <w:rPr>
          <w:rFonts w:ascii="Times New Roman" w:hAnsi="Times New Roman" w:cs="Times New Roman" w:eastAsiaTheme="majorEastAsia"/>
          <w:color w:val="000000" w:themeColor="text1"/>
          <w:kern w:val="0"/>
          <w:szCs w:val="21"/>
          <w14:textFill>
            <w14:solidFill>
              <w14:schemeClr w14:val="tx1"/>
            </w14:solidFill>
          </w14:textFill>
        </w:rPr>
        <w:t>yesedema</w:t>
      </w:r>
      <w:bookmarkEnd w:id="33"/>
      <w:bookmarkEnd w:id="34"/>
      <w:bookmarkEnd w:id="35"/>
      <w:bookmarkEnd w:id="36"/>
    </w:p>
    <w:p w14:paraId="0D388292">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子肿指妊娠中晚期，孕妇肢体面目发生肿胀者</w:t>
      </w:r>
      <w:r>
        <w:rPr>
          <w:rFonts w:ascii="Times New Roman" w:hAnsi="Times New Roman" w:eastAsiaTheme="majorEastAsia"/>
          <w:color w:val="000000" w:themeColor="text1"/>
          <w:vertAlign w:val="superscript"/>
          <w14:textFill>
            <w14:solidFill>
              <w14:schemeClr w14:val="tx1"/>
            </w14:solidFill>
          </w14:textFill>
        </w:rPr>
        <w:t>[7]</w:t>
      </w:r>
      <w:r>
        <w:rPr>
          <w:rFonts w:ascii="Times New Roman" w:hAnsi="Times New Roman" w:eastAsiaTheme="majorEastAsia"/>
          <w:color w:val="000000" w:themeColor="text1"/>
          <w14:textFill>
            <w14:solidFill>
              <w14:schemeClr w14:val="tx1"/>
            </w14:solidFill>
          </w14:textFill>
        </w:rPr>
        <w:t>。依据肿胀部位、性质及程度不同，分别有</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子气</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皱脚</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脆脚</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等名称，如《医宗金鉴·妇科心法要诀》云：</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头面遍身浮肿，小水短少者，属水气为病，名曰子肿；自膝至足肿，小水长者，属湿气为病，故名曰子气……但两脚肿而肤厚者，属湿，名曰皱脚；皮薄者，属水，名曰脆脚。</w:t>
      </w:r>
      <w:r>
        <w:rPr>
          <w:rFonts w:hint="eastAsia" w:ascii="Times New Roman" w:hAnsi="Times New Roman" w:eastAsiaTheme="majorEastAsia"/>
          <w:color w:val="000000" w:themeColor="text1"/>
          <w14:textFill>
            <w14:solidFill>
              <w14:schemeClr w14:val="tx1"/>
            </w14:solidFill>
          </w14:textFill>
        </w:rPr>
        <w:t>”</w:t>
      </w:r>
    </w:p>
    <w:p w14:paraId="4BF5CAD8">
      <w:pPr>
        <w:pStyle w:val="33"/>
        <w:numPr>
          <w:ilvl w:val="1"/>
          <w:numId w:val="0"/>
        </w:numPr>
        <w:spacing w:before="240" w:beforeLines="100" w:after="240" w:afterLines="100" w:line="360" w:lineRule="exact"/>
        <w:ind w:firstLine="420" w:firstLineChars="200"/>
        <w:rPr>
          <w:rFonts w:ascii="Times New Roman" w:hAnsi="Times New Roman" w:cs="Times New Roman" w:eastAsiaTheme="majorEastAsia"/>
          <w:color w:val="000000" w:themeColor="text1"/>
          <w:kern w:val="0"/>
          <w:szCs w:val="21"/>
          <w14:textFill>
            <w14:solidFill>
              <w14:schemeClr w14:val="tx1"/>
            </w14:solidFill>
          </w14:textFill>
        </w:rPr>
      </w:pPr>
      <w:bookmarkStart w:id="37" w:name="_Toc772139396"/>
      <w:bookmarkStart w:id="38" w:name="_Toc750174763"/>
      <w:bookmarkStart w:id="39" w:name="_Toc1371806327"/>
      <w:bookmarkStart w:id="40" w:name="_Toc2091836736"/>
      <w:r>
        <w:rPr>
          <w:rFonts w:ascii="Times New Roman" w:hAnsi="Times New Roman" w:cs="Times New Roman" w:eastAsiaTheme="majorEastAsia"/>
          <w:color w:val="000000" w:themeColor="text1"/>
          <w:kern w:val="0"/>
          <w:szCs w:val="21"/>
          <w14:textFill>
            <w14:solidFill>
              <w14:schemeClr w14:val="tx1"/>
            </w14:solidFill>
          </w14:textFill>
        </w:rPr>
        <w:t xml:space="preserve">子晕  </w:t>
      </w:r>
      <w:r>
        <w:rPr>
          <w:rFonts w:hint="eastAsia" w:ascii="Times New Roman" w:hAnsi="Times New Roman" w:cs="Times New Roman" w:eastAsiaTheme="majorEastAsia"/>
          <w:color w:val="000000" w:themeColor="text1"/>
          <w:kern w:val="0"/>
          <w:szCs w:val="21"/>
          <w14:textFill>
            <w14:solidFill>
              <w14:schemeClr w14:val="tx1"/>
            </w14:solidFill>
          </w14:textFill>
        </w:rPr>
        <w:t>P</w:t>
      </w:r>
      <w:r>
        <w:rPr>
          <w:rFonts w:ascii="Times New Roman" w:hAnsi="Times New Roman" w:cs="Times New Roman" w:eastAsiaTheme="majorEastAsia"/>
          <w:color w:val="000000" w:themeColor="text1"/>
          <w:kern w:val="0"/>
          <w:szCs w:val="21"/>
          <w14:textFill>
            <w14:solidFill>
              <w14:schemeClr w14:val="tx1"/>
            </w14:solidFill>
          </w14:textFill>
        </w:rPr>
        <w:t>regnancy vertigo</w:t>
      </w:r>
      <w:bookmarkEnd w:id="37"/>
      <w:bookmarkEnd w:id="38"/>
      <w:bookmarkEnd w:id="39"/>
      <w:bookmarkEnd w:id="40"/>
    </w:p>
    <w:p w14:paraId="2F7395F7">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子晕，亦称为子眩。常发生在妊娠中晚期，以眩晕为主症。轻者，除血压升高外无明显自觉症状。重者，血压升高的同时伴有头晕目眩、面浮肢肿等症</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14:textFill>
            <w14:solidFill>
              <w14:schemeClr w14:val="tx1"/>
            </w14:solidFill>
          </w14:textFill>
        </w:rPr>
        <w:t>。</w:t>
      </w:r>
    </w:p>
    <w:p w14:paraId="004CE1E0">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41" w:name="_Toc103149751"/>
      <w:bookmarkStart w:id="42" w:name="_Toc556440067"/>
      <w:r>
        <w:rPr>
          <w:rFonts w:ascii="Times New Roman" w:hAnsi="Times New Roman" w:cs="Times New Roman" w:eastAsiaTheme="majorEastAsia"/>
          <w:b/>
          <w:bCs/>
          <w:color w:val="000000" w:themeColor="text1"/>
          <w:szCs w:val="21"/>
          <w14:textFill>
            <w14:solidFill>
              <w14:schemeClr w14:val="tx1"/>
            </w14:solidFill>
          </w14:textFill>
        </w:rPr>
        <w:t>4  病因病机</w:t>
      </w:r>
      <w:bookmarkEnd w:id="41"/>
      <w:bookmarkEnd w:id="42"/>
    </w:p>
    <w:p w14:paraId="20820A3F">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PE主要以脏腑虚损，阴血不足为本，风、火、湿、痰为标。中医认为，本病多因脾虚、肾虚或气滞，导致水湿痰聚发为子肿；素体阴虚，肝阳偏亢，或痰浊上扰，发为子晕；若子肿、子晕进一步发展，出现肝风内动，痰火上扰，发为子痫</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14:textFill>
            <w14:solidFill>
              <w14:schemeClr w14:val="tx1"/>
            </w14:solidFill>
          </w14:textFill>
        </w:rPr>
        <w:t>。</w:t>
      </w:r>
    </w:p>
    <w:p w14:paraId="37CFCB6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脾虚：脾气素弱，或劳倦忧思，或过食生冷，脾阳受损，运化失职，水湿停滞，溢于四肢肌肤，发为子肿；水湿停聚，精血传输受阻；脾虚化源不足，营血亏虚；孕后阴血养胎，精血愈虚，肝失濡养，脾虚肝旺，发为子晕。</w:t>
      </w:r>
    </w:p>
    <w:p w14:paraId="39BA552E">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肾虚：素体肾虚，孕后阴血下聚养胎，有碍肾阳敷布，不能化气行水，且肾为胃之关，肾阳不布，则关门不利，聚水而从其类，水湿泛溢四肢、肌肤而为子肿；或素体肝肾阴虚，加之孕后血聚养胎，阴血益亏，肝失所养，肝阳上亢，上扰清窍，发为子晕。</w:t>
      </w:r>
    </w:p>
    <w:p w14:paraId="3C6292BD">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气滞：素多抑郁，肝失疏泄，气机不畅，孕后胎体渐长，阻碍气机，升降失司，气滞湿郁，泛溢肌肤，遂致子肿；气滞湿停，痰浊中阻，清阳不升，则发为子晕。</w:t>
      </w:r>
    </w:p>
    <w:p w14:paraId="2CA42C0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PE的西医发病机制尚未十分明确，目前认为可能与以下因素有关：</w:t>
      </w:r>
      <w:r>
        <w:rPr>
          <w:rFonts w:ascii="Cambria Math" w:hAnsi="Cambria Math" w:cs="Cambria Math" w:eastAsiaTheme="majorEastAsia"/>
          <w:color w:val="000000" w:themeColor="text1"/>
          <w:sz w:val="21"/>
          <w:szCs w:val="21"/>
          <w14:textFill>
            <w14:solidFill>
              <w14:schemeClr w14:val="tx1"/>
            </w14:solidFill>
          </w14:textFill>
        </w:rPr>
        <w:t>①</w:t>
      </w:r>
      <w:r>
        <w:rPr>
          <w:rFonts w:ascii="Times New Roman" w:hAnsi="Times New Roman" w:cs="Times New Roman" w:eastAsiaTheme="majorEastAsia"/>
          <w:color w:val="000000" w:themeColor="text1"/>
          <w:sz w:val="21"/>
          <w:szCs w:val="21"/>
          <w14:textFill>
            <w14:solidFill>
              <w14:schemeClr w14:val="tx1"/>
            </w14:solidFill>
          </w14:textFill>
        </w:rPr>
        <w:t>子宫螺旋小动脉重铸不足。</w:t>
      </w:r>
      <w:r>
        <w:rPr>
          <w:rFonts w:ascii="Cambria Math" w:hAnsi="Cambria Math" w:cs="Cambria Math" w:eastAsiaTheme="majorEastAsia"/>
          <w:color w:val="000000" w:themeColor="text1"/>
          <w:sz w:val="21"/>
          <w:szCs w:val="21"/>
          <w14:textFill>
            <w14:solidFill>
              <w14:schemeClr w14:val="tx1"/>
            </w14:solidFill>
          </w14:textFill>
        </w:rPr>
        <w:t>②</w:t>
      </w:r>
      <w:r>
        <w:rPr>
          <w:rFonts w:ascii="Times New Roman" w:hAnsi="Times New Roman" w:cs="Times New Roman" w:eastAsiaTheme="majorEastAsia"/>
          <w:color w:val="000000" w:themeColor="text1"/>
          <w:sz w:val="21"/>
          <w:szCs w:val="21"/>
          <w14:textFill>
            <w14:solidFill>
              <w14:schemeClr w14:val="tx1"/>
            </w14:solidFill>
          </w14:textFill>
        </w:rPr>
        <w:t>炎症免疫过度激活。</w:t>
      </w:r>
      <w:r>
        <w:rPr>
          <w:rFonts w:ascii="Cambria Math" w:hAnsi="Cambria Math" w:cs="Cambria Math" w:eastAsiaTheme="majorEastAsia"/>
          <w:color w:val="000000" w:themeColor="text1"/>
          <w:sz w:val="21"/>
          <w:szCs w:val="21"/>
          <w14:textFill>
            <w14:solidFill>
              <w14:schemeClr w14:val="tx1"/>
            </w14:solidFill>
          </w14:textFill>
        </w:rPr>
        <w:t>③</w:t>
      </w:r>
      <w:r>
        <w:rPr>
          <w:rFonts w:ascii="Times New Roman" w:hAnsi="Times New Roman" w:cs="Times New Roman" w:eastAsiaTheme="majorEastAsia"/>
          <w:color w:val="000000" w:themeColor="text1"/>
          <w:sz w:val="21"/>
          <w:szCs w:val="21"/>
          <w14:textFill>
            <w14:solidFill>
              <w14:schemeClr w14:val="tx1"/>
            </w14:solidFill>
          </w14:textFill>
        </w:rPr>
        <w:t>血管内皮细胞受损。</w:t>
      </w:r>
      <w:r>
        <w:rPr>
          <w:rFonts w:ascii="Cambria Math" w:hAnsi="Cambria Math" w:cs="Cambria Math" w:eastAsiaTheme="majorEastAsia"/>
          <w:color w:val="000000" w:themeColor="text1"/>
          <w:sz w:val="21"/>
          <w:szCs w:val="21"/>
          <w14:textFill>
            <w14:solidFill>
              <w14:schemeClr w14:val="tx1"/>
            </w14:solidFill>
          </w14:textFill>
        </w:rPr>
        <w:t>④</w:t>
      </w:r>
      <w:r>
        <w:rPr>
          <w:rFonts w:ascii="Times New Roman" w:hAnsi="Times New Roman" w:cs="Times New Roman" w:eastAsiaTheme="majorEastAsia"/>
          <w:color w:val="000000" w:themeColor="text1"/>
          <w:sz w:val="21"/>
          <w:szCs w:val="21"/>
          <w14:textFill>
            <w14:solidFill>
              <w14:schemeClr w14:val="tx1"/>
            </w14:solidFill>
          </w14:textFill>
        </w:rPr>
        <w:t>遗传因素。</w:t>
      </w:r>
      <w:r>
        <w:rPr>
          <w:rFonts w:ascii="Cambria Math" w:hAnsi="Cambria Math" w:cs="Cambria Math" w:eastAsiaTheme="majorEastAsia"/>
          <w:color w:val="000000" w:themeColor="text1"/>
          <w:sz w:val="21"/>
          <w:szCs w:val="21"/>
          <w14:textFill>
            <w14:solidFill>
              <w14:schemeClr w14:val="tx1"/>
            </w14:solidFill>
          </w14:textFill>
        </w:rPr>
        <w:t>⑤</w:t>
      </w:r>
      <w:r>
        <w:rPr>
          <w:rFonts w:ascii="Times New Roman" w:hAnsi="Times New Roman" w:cs="Times New Roman" w:eastAsiaTheme="majorEastAsia"/>
          <w:color w:val="000000" w:themeColor="text1"/>
          <w:sz w:val="21"/>
          <w:szCs w:val="21"/>
          <w14:textFill>
            <w14:solidFill>
              <w14:schemeClr w14:val="tx1"/>
            </w14:solidFill>
          </w14:textFill>
        </w:rPr>
        <w:t>营养缺乏。目前的理论认为PE的发病过程分为两个阶段。第一阶段是由滋养细胞的浅侵引起的，导致螺旋动脉重构不足，从而导致第二阶段，第二阶段涉及母体对内皮功能障碍的反应以及血管生成因子和抗血管生成因子之间的失衡，最终导致该病的发生</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[5,6]</w:t>
      </w:r>
      <w:r>
        <w:rPr>
          <w:rFonts w:ascii="Times New Roman" w:hAnsi="Times New Roman" w:cs="Times New Roman" w:eastAsiaTheme="majorEastAsia"/>
          <w:color w:val="000000" w:themeColor="text1"/>
          <w:sz w:val="21"/>
          <w:szCs w:val="21"/>
          <w14:textFill>
            <w14:solidFill>
              <w14:schemeClr w14:val="tx1"/>
            </w14:solidFill>
          </w14:textFill>
        </w:rPr>
        <w:t>。</w:t>
      </w:r>
    </w:p>
    <w:p w14:paraId="31393047">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43" w:name="_Toc1944407031"/>
      <w:bookmarkStart w:id="44" w:name="_Toc618561928"/>
      <w:r>
        <w:rPr>
          <w:rFonts w:ascii="Times New Roman" w:hAnsi="Times New Roman" w:cs="Times New Roman" w:eastAsiaTheme="majorEastAsia"/>
          <w:b/>
          <w:bCs/>
          <w:color w:val="000000" w:themeColor="text1"/>
          <w:szCs w:val="21"/>
          <w14:textFill>
            <w14:solidFill>
              <w14:schemeClr w14:val="tx1"/>
            </w14:solidFill>
          </w14:textFill>
        </w:rPr>
        <w:t>5  诊断</w:t>
      </w:r>
      <w:bookmarkEnd w:id="43"/>
      <w:bookmarkEnd w:id="44"/>
    </w:p>
    <w:p w14:paraId="79FDEEAE">
      <w:pPr>
        <w:spacing w:line="360" w:lineRule="exact"/>
        <w:outlineLvl w:val="1"/>
        <w:rPr>
          <w:rFonts w:ascii="Times New Roman" w:hAnsi="Times New Roman" w:eastAsiaTheme="majorEastAsia"/>
          <w:color w:val="000000" w:themeColor="text1"/>
          <w14:textFill>
            <w14:solidFill>
              <w14:schemeClr w14:val="tx1"/>
            </w14:solidFill>
          </w14:textFill>
        </w:rPr>
      </w:pPr>
      <w:bookmarkStart w:id="45" w:name="_Toc201988769"/>
      <w:r>
        <w:rPr>
          <w:rFonts w:ascii="Times New Roman" w:hAnsi="Times New Roman" w:eastAsiaTheme="majorEastAsia"/>
          <w:b/>
          <w:bCs/>
          <w:color w:val="000000" w:themeColor="text1"/>
          <w14:textFill>
            <w14:solidFill>
              <w14:schemeClr w14:val="tx1"/>
            </w14:solidFill>
          </w14:textFill>
        </w:rPr>
        <w:t>5.1  临床诊断要点</w:t>
      </w:r>
      <w:bookmarkEnd w:id="45"/>
    </w:p>
    <w:p w14:paraId="1DBA6FB7">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46" w:name="_Toc1801078323"/>
      <w:bookmarkStart w:id="47" w:name="_Toc1829596822"/>
      <w:bookmarkStart w:id="48" w:name="_Toc33484216"/>
      <w:r>
        <w:rPr>
          <w:rFonts w:ascii="Times New Roman" w:hAnsi="Times New Roman" w:cs="Times New Roman" w:eastAsiaTheme="majorEastAsia"/>
          <w:b/>
          <w:bCs/>
          <w:color w:val="000000" w:themeColor="text1"/>
          <w:szCs w:val="21"/>
          <w14:textFill>
            <w14:solidFill>
              <w14:schemeClr w14:val="tx1"/>
            </w14:solidFill>
          </w14:textFill>
        </w:rPr>
        <w:t>5.1.1  病史</w:t>
      </w:r>
      <w:bookmarkEnd w:id="46"/>
      <w:bookmarkEnd w:id="47"/>
      <w:bookmarkEnd w:id="48"/>
    </w:p>
    <w:p w14:paraId="145C858B">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注意询问妊娠前有无高血压、肾病、糖尿病、系统性红斑狼疮、血栓性疾病等病史，有无妊娠期高血压疾病家族史，了解患者此次妊娠后高血压、蛋白尿、头痛、视力模糊、上腹疼痛、少尿、抽搐等症状出现的时间和严重程度</w:t>
      </w:r>
      <w:r>
        <w:rPr>
          <w:rFonts w:ascii="Times New Roman" w:hAnsi="Times New Roman" w:eastAsiaTheme="majorEastAsia"/>
          <w:color w:val="000000" w:themeColor="text1"/>
          <w:vertAlign w:val="superscript"/>
          <w14:textFill>
            <w14:solidFill>
              <w14:schemeClr w14:val="tx1"/>
            </w14:solidFill>
          </w14:textFill>
        </w:rPr>
        <w:t>[6]</w:t>
      </w:r>
      <w:r>
        <w:rPr>
          <w:rFonts w:ascii="Times New Roman" w:hAnsi="Times New Roman" w:eastAsiaTheme="majorEastAsia"/>
          <w:color w:val="000000" w:themeColor="text1"/>
          <w14:textFill>
            <w14:solidFill>
              <w14:schemeClr w14:val="tx1"/>
            </w14:solidFill>
          </w14:textFill>
        </w:rPr>
        <w:t>。</w:t>
      </w:r>
    </w:p>
    <w:p w14:paraId="3C7BD29A">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49" w:name="_Toc128502798"/>
      <w:bookmarkStart w:id="50" w:name="_Toc215445961"/>
      <w:bookmarkStart w:id="51" w:name="_Toc1941370196"/>
      <w:r>
        <w:rPr>
          <w:rFonts w:ascii="Times New Roman" w:hAnsi="Times New Roman" w:cs="Times New Roman" w:eastAsiaTheme="majorEastAsia"/>
          <w:b/>
          <w:bCs/>
          <w:color w:val="000000" w:themeColor="text1"/>
          <w:szCs w:val="21"/>
          <w14:textFill>
            <w14:solidFill>
              <w14:schemeClr w14:val="tx1"/>
            </w14:solidFill>
          </w14:textFill>
        </w:rPr>
        <w:t>5.1.2  临床表现</w:t>
      </w:r>
      <w:bookmarkEnd w:id="49"/>
      <w:bookmarkEnd w:id="50"/>
      <w:bookmarkEnd w:id="51"/>
    </w:p>
    <w:p w14:paraId="754B451E">
      <w:pPr>
        <w:pStyle w:val="33"/>
        <w:numPr>
          <w:ilvl w:val="1"/>
          <w:numId w:val="0"/>
        </w:numPr>
        <w:spacing w:before="240" w:beforeLines="100" w:after="240" w:afterLines="100" w:line="360" w:lineRule="exact"/>
        <w:ind w:firstLine="420" w:firstLineChars="200"/>
        <w:rPr>
          <w:rFonts w:ascii="Times New Roman" w:hAnsi="Times New Roman" w:cs="Times New Roman" w:eastAsiaTheme="majorEastAsia"/>
          <w:color w:val="000000" w:themeColor="text1"/>
          <w:szCs w:val="21"/>
          <w14:textFill>
            <w14:solidFill>
              <w14:schemeClr w14:val="tx1"/>
            </w14:solidFill>
          </w14:textFill>
        </w:rPr>
      </w:pPr>
      <w:bookmarkStart w:id="52" w:name="_Toc342837685"/>
      <w:bookmarkStart w:id="53" w:name="_Toc1889835301"/>
      <w:bookmarkStart w:id="54" w:name="_Toc1386776949"/>
      <w:bookmarkStart w:id="55" w:name="_Toc1525460751"/>
      <w:r>
        <w:rPr>
          <w:rFonts w:ascii="Times New Roman" w:hAnsi="Times New Roman" w:cs="Times New Roman" w:eastAsiaTheme="majorEastAsia"/>
          <w:color w:val="000000" w:themeColor="text1"/>
          <w:szCs w:val="21"/>
          <w14:textFill>
            <w14:solidFill>
              <w14:schemeClr w14:val="tx1"/>
            </w14:solidFill>
          </w14:textFill>
        </w:rPr>
        <w:t>高血压：同一手臂至少2次测量，收缩压</w:t>
      </w:r>
      <w:r>
        <w:rPr>
          <w:rFonts w:hint="eastAsia" w:ascii="Times New Roman" w:hAnsi="Times New Roman" w:cs="Times New Roman" w:eastAsiaTheme="majorEastAsia"/>
          <w:color w:val="000000" w:themeColor="text1"/>
          <w:szCs w:val="21"/>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140mmHg和（或）舒张压</w:t>
      </w:r>
      <w:r>
        <w:rPr>
          <w:rFonts w:hint="eastAsia" w:ascii="Times New Roman" w:hAnsi="Times New Roman" w:cs="Times New Roman" w:eastAsiaTheme="majorEastAsia"/>
          <w:color w:val="000000" w:themeColor="text1"/>
          <w:szCs w:val="21"/>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90mmHg定义为高血压。尿蛋白：尿蛋白</w:t>
      </w:r>
      <w:r>
        <w:rPr>
          <w:rFonts w:hint="eastAsia" w:ascii="Times New Roman" w:hAnsi="Times New Roman" w:cs="Times New Roman" w:eastAsiaTheme="majorEastAsia"/>
          <w:color w:val="000000" w:themeColor="text1"/>
          <w:szCs w:val="21"/>
          <w14:textFill>
            <w14:solidFill>
              <w14:schemeClr w14:val="tx1"/>
            </w14:solidFill>
          </w14:textFill>
        </w:rPr>
        <w:t>≥</w:t>
      </w:r>
      <w:r>
        <w:rPr>
          <w:rFonts w:ascii="Times New Roman" w:hAnsi="Times New Roman" w:cs="Times New Roman" w:eastAsiaTheme="majorEastAsia"/>
          <w:color w:val="000000" w:themeColor="text1"/>
          <w:szCs w:val="21"/>
          <w14:textFill>
            <w14:solidFill>
              <w14:schemeClr w14:val="tx1"/>
            </w14:solidFill>
          </w14:textFill>
        </w:rPr>
        <w:t>0.3g/24h，或随机尿蛋白（+）</w:t>
      </w:r>
      <w:r>
        <w:rPr>
          <w:rFonts w:ascii="Times New Roman" w:hAnsi="Times New Roman" w:cs="Times New Roman" w:eastAsiaTheme="majorEastAsia"/>
          <w:color w:val="000000" w:themeColor="text1"/>
          <w:szCs w:val="21"/>
          <w:vertAlign w:val="superscript"/>
          <w14:textFill>
            <w14:solidFill>
              <w14:schemeClr w14:val="tx1"/>
            </w14:solidFill>
          </w14:textFill>
        </w:rPr>
        <w:t>[6]</w:t>
      </w:r>
      <w:r>
        <w:rPr>
          <w:rFonts w:ascii="Times New Roman" w:hAnsi="Times New Roman" w:cs="Times New Roman" w:eastAsiaTheme="majorEastAsia"/>
          <w:color w:val="000000" w:themeColor="text1"/>
          <w:szCs w:val="21"/>
          <w14:textFill>
            <w14:solidFill>
              <w14:schemeClr w14:val="tx1"/>
            </w14:solidFill>
          </w14:textFill>
        </w:rPr>
        <w:t>。</w:t>
      </w:r>
      <w:bookmarkEnd w:id="52"/>
      <w:bookmarkEnd w:id="53"/>
      <w:bookmarkEnd w:id="54"/>
      <w:bookmarkEnd w:id="55"/>
    </w:p>
    <w:p w14:paraId="63A794AB">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56" w:name="_Toc374346894"/>
      <w:bookmarkStart w:id="57" w:name="_Toc1178764777"/>
      <w:bookmarkStart w:id="58" w:name="_Toc1759064171"/>
      <w:r>
        <w:rPr>
          <w:rFonts w:ascii="Times New Roman" w:hAnsi="Times New Roman" w:cs="Times New Roman" w:eastAsiaTheme="majorEastAsia"/>
          <w:b/>
          <w:bCs/>
          <w:color w:val="000000" w:themeColor="text1"/>
          <w:szCs w:val="21"/>
          <w14:textFill>
            <w14:solidFill>
              <w14:schemeClr w14:val="tx1"/>
            </w14:solidFill>
          </w14:textFill>
        </w:rPr>
        <w:t>5.1.3  辅助检查</w:t>
      </w:r>
      <w:bookmarkEnd w:id="56"/>
      <w:bookmarkEnd w:id="57"/>
      <w:bookmarkEnd w:id="58"/>
    </w:p>
    <w:p w14:paraId="2EFF5F3B">
      <w:pPr>
        <w:pStyle w:val="33"/>
        <w:numPr>
          <w:ilvl w:val="1"/>
          <w:numId w:val="0"/>
        </w:numPr>
        <w:spacing w:before="240" w:beforeLines="100" w:after="240" w:afterLines="100" w:line="360" w:lineRule="exact"/>
        <w:ind w:firstLine="420" w:firstLineChars="200"/>
        <w:rPr>
          <w:rFonts w:ascii="Times New Roman" w:hAnsi="Times New Roman" w:cs="Times New Roman" w:eastAsiaTheme="majorEastAsia"/>
          <w:color w:val="000000" w:themeColor="text1"/>
          <w:szCs w:val="21"/>
          <w14:textFill>
            <w14:solidFill>
              <w14:schemeClr w14:val="tx1"/>
            </w14:solidFill>
          </w14:textFill>
        </w:rPr>
      </w:pPr>
      <w:bookmarkStart w:id="59" w:name="_Toc184153748"/>
      <w:bookmarkStart w:id="60" w:name="_Toc1115378217"/>
      <w:bookmarkStart w:id="61" w:name="_Toc1668645395"/>
      <w:bookmarkStart w:id="62" w:name="_Toc962963464"/>
      <w:r>
        <w:rPr>
          <w:rFonts w:ascii="Times New Roman" w:hAnsi="Times New Roman" w:cs="Times New Roman" w:eastAsiaTheme="majorEastAsia"/>
          <w:color w:val="000000" w:themeColor="text1"/>
          <w:szCs w:val="21"/>
          <w14:textFill>
            <w14:solidFill>
              <w14:schemeClr w14:val="tx1"/>
            </w14:solidFill>
          </w14:textFill>
        </w:rPr>
        <w:t>血常规；尿常规；肝功能；肾功能；尿酸；凝血功能；心电图；电子胎心监护；超声检查胎儿、胎盘和羊水等。视病情发展、诊治需要应酌情增加以下有关检查项目：眼底检查；超声等影像学检查肝、胆、胰、脾、肾等脏器；电解质；动脉血气分析；心脏彩超及心功能检查；脐动脉血流、子宫动脉等多普勒血流监测；头颅CT或磁共振检查；有条件的单位可检查自身免疫性疾病相关指标</w:t>
      </w:r>
      <w:r>
        <w:rPr>
          <w:rFonts w:ascii="Times New Roman" w:hAnsi="Times New Roman" w:cs="Times New Roman" w:eastAsiaTheme="majorEastAsia"/>
          <w:color w:val="000000" w:themeColor="text1"/>
          <w:szCs w:val="21"/>
          <w:vertAlign w:val="superscript"/>
          <w14:textFill>
            <w14:solidFill>
              <w14:schemeClr w14:val="tx1"/>
            </w14:solidFill>
          </w14:textFill>
        </w:rPr>
        <w:t>[6]</w:t>
      </w:r>
      <w:r>
        <w:rPr>
          <w:rFonts w:ascii="Times New Roman" w:hAnsi="Times New Roman" w:cs="Times New Roman" w:eastAsiaTheme="majorEastAsia"/>
          <w:color w:val="000000" w:themeColor="text1"/>
          <w:szCs w:val="21"/>
          <w14:textFill>
            <w14:solidFill>
              <w14:schemeClr w14:val="tx1"/>
            </w14:solidFill>
          </w14:textFill>
        </w:rPr>
        <w:t>。</w:t>
      </w:r>
      <w:bookmarkEnd w:id="59"/>
      <w:bookmarkEnd w:id="60"/>
      <w:bookmarkEnd w:id="61"/>
      <w:bookmarkEnd w:id="62"/>
    </w:p>
    <w:p w14:paraId="15F51E9F">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63" w:name="_Toc548107309"/>
      <w:bookmarkStart w:id="64" w:name="_Toc934207592"/>
      <w:bookmarkStart w:id="65" w:name="_Toc1090175656"/>
      <w:r>
        <w:rPr>
          <w:rFonts w:ascii="Times New Roman" w:hAnsi="Times New Roman" w:cs="Times New Roman" w:eastAsiaTheme="majorEastAsia"/>
          <w:b/>
          <w:bCs/>
          <w:color w:val="000000" w:themeColor="text1"/>
          <w:szCs w:val="21"/>
          <w14:textFill>
            <w14:solidFill>
              <w14:schemeClr w14:val="tx1"/>
            </w14:solidFill>
          </w14:textFill>
        </w:rPr>
        <w:t>5.1.4  诊断标准</w:t>
      </w:r>
      <w:bookmarkEnd w:id="63"/>
      <w:bookmarkEnd w:id="64"/>
      <w:bookmarkEnd w:id="65"/>
    </w:p>
    <w:p w14:paraId="77A47879">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妊娠20周后出现收缩压</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140mmHg和（或）舒张压</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90mmHg，伴有尿蛋白</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0.3g/24h，或随机尿蛋白（+）</w:t>
      </w:r>
    </w:p>
    <w:p w14:paraId="7BAEBB6E">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或虽无蛋白尿，但合并下列任何一项者：</w:t>
      </w:r>
    </w:p>
    <w:p w14:paraId="7959665D">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血小板减少（血小板＜100</w:t>
      </w:r>
      <w:r>
        <w:rPr>
          <w:rFonts w:ascii="Times New Roman" w:hAnsi="Times New Roman" w:eastAsiaTheme="majorEastAsia"/>
          <w:color w:val="000000" w:themeColor="text1"/>
          <w:kern w:val="0"/>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10</w:t>
      </w:r>
      <w:r>
        <w:rPr>
          <w:rFonts w:ascii="Times New Roman" w:hAnsi="Times New Roman" w:eastAsiaTheme="majorEastAsia"/>
          <w:color w:val="000000" w:themeColor="text1"/>
          <w:vertAlign w:val="superscript"/>
          <w14:textFill>
            <w14:solidFill>
              <w14:schemeClr w14:val="tx1"/>
            </w14:solidFill>
          </w14:textFill>
        </w:rPr>
        <w:t>9</w:t>
      </w:r>
      <w:r>
        <w:rPr>
          <w:rFonts w:ascii="Times New Roman" w:hAnsi="Times New Roman" w:eastAsiaTheme="majorEastAsia"/>
          <w:color w:val="000000" w:themeColor="text1"/>
          <w14:textFill>
            <w14:solidFill>
              <w14:schemeClr w14:val="tx1"/>
            </w14:solidFill>
          </w14:textFill>
        </w:rPr>
        <w:t>/L）</w:t>
      </w:r>
    </w:p>
    <w:p w14:paraId="75B90447">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肝功能损害（血清转氨酶水平为正常值2倍以上）</w:t>
      </w:r>
    </w:p>
    <w:p w14:paraId="55E619CB">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肾功能损害（血肌酐水平大于1.1mg/dl或为正常值2倍以上）</w:t>
      </w:r>
    </w:p>
    <w:p w14:paraId="77786047">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肺水肿</w:t>
      </w:r>
    </w:p>
    <w:p w14:paraId="60127455">
      <w:pPr>
        <w:spacing w:line="360" w:lineRule="exact"/>
        <w:ind w:firstLine="420" w:firstLineChars="200"/>
        <w:rPr>
          <w:rFonts w:ascii="Times New Roman" w:hAnsi="Times New Roman" w:eastAsiaTheme="majorEastAsia"/>
          <w:color w:val="000000" w:themeColor="text1"/>
          <w:vertAlign w:val="superscript"/>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新发生的中枢神经系统异常或视觉障碍</w:t>
      </w:r>
      <w:r>
        <w:rPr>
          <w:rFonts w:ascii="Times New Roman" w:hAnsi="Times New Roman" w:eastAsiaTheme="majorEastAsia"/>
          <w:color w:val="000000" w:themeColor="text1"/>
          <w:vertAlign w:val="superscript"/>
          <w14:textFill>
            <w14:solidFill>
              <w14:schemeClr w14:val="tx1"/>
            </w14:solidFill>
          </w14:textFill>
        </w:rPr>
        <w:t>[6]</w:t>
      </w:r>
    </w:p>
    <w:p w14:paraId="3F05DA57">
      <w:pPr>
        <w:spacing w:line="360" w:lineRule="exact"/>
        <w:ind w:firstLine="422" w:firstLineChars="200"/>
        <w:rPr>
          <w:rFonts w:ascii="Times New Roman" w:hAnsi="Times New Roman" w:eastAsiaTheme="majorEastAsia"/>
          <w:b/>
          <w:bCs/>
          <w:color w:val="000000" w:themeColor="text1"/>
          <w14:textFill>
            <w14:solidFill>
              <w14:schemeClr w14:val="tx1"/>
            </w14:solidFill>
          </w14:textFill>
        </w:rPr>
      </w:pPr>
      <w:r>
        <w:rPr>
          <w:rFonts w:ascii="Times New Roman" w:hAnsi="Times New Roman" w:eastAsiaTheme="majorEastAsia"/>
          <w:b/>
          <w:bCs/>
          <w:color w:val="000000" w:themeColor="text1"/>
          <w14:textFill>
            <w14:solidFill>
              <w14:schemeClr w14:val="tx1"/>
            </w14:solidFill>
          </w14:textFill>
        </w:rPr>
        <w:t>重度子痫前期：</w:t>
      </w:r>
    </w:p>
    <w:p w14:paraId="5E95FFF0">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子痫前期伴有下面任何一种表现：</w:t>
      </w:r>
    </w:p>
    <w:p w14:paraId="3B888D34">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收缩压</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160mmHg，（或）舒张压</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110mmHg（卧床休息，两次测量间隔至少4小时）</w:t>
      </w:r>
    </w:p>
    <w:p w14:paraId="009DD6C4">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尿蛋白</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5.0g/24h，或随机尿蛋白（+++）</w:t>
      </w:r>
    </w:p>
    <w:p w14:paraId="4244CCA2">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血小板减少（血小板＜100</w:t>
      </w:r>
      <w:r>
        <w:rPr>
          <w:rFonts w:ascii="Times New Roman" w:hAnsi="Times New Roman" w:eastAsiaTheme="majorEastAsia"/>
          <w:color w:val="000000" w:themeColor="text1"/>
          <w:kern w:val="0"/>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10</w:t>
      </w:r>
      <w:r>
        <w:rPr>
          <w:rFonts w:ascii="Times New Roman" w:hAnsi="Times New Roman" w:eastAsiaTheme="majorEastAsia"/>
          <w:color w:val="000000" w:themeColor="text1"/>
          <w:vertAlign w:val="superscript"/>
          <w14:textFill>
            <w14:solidFill>
              <w14:schemeClr w14:val="tx1"/>
            </w14:solidFill>
          </w14:textFill>
        </w:rPr>
        <w:t>9</w:t>
      </w:r>
      <w:r>
        <w:rPr>
          <w:rFonts w:ascii="Times New Roman" w:hAnsi="Times New Roman" w:eastAsiaTheme="majorEastAsia"/>
          <w:color w:val="000000" w:themeColor="text1"/>
          <w14:textFill>
            <w14:solidFill>
              <w14:schemeClr w14:val="tx1"/>
            </w14:solidFill>
          </w14:textFill>
        </w:rPr>
        <w:t>/L）</w:t>
      </w:r>
    </w:p>
    <w:p w14:paraId="646B3BDE">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肝功能损害（血清转氨酶水平为正常值2倍以上），严重持续右上腹或上腹疼痛，不能用其他疾病解释，或二者均存在</w:t>
      </w:r>
    </w:p>
    <w:p w14:paraId="00E490DD">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肾功能损害（血肌酐水平大于1.1mg/dl或无其他肾脏疾病时肌酐浓度为正常值2倍以上）</w:t>
      </w:r>
    </w:p>
    <w:p w14:paraId="5B962043">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肺水肿</w:t>
      </w:r>
    </w:p>
    <w:p w14:paraId="29608A1A">
      <w:pPr>
        <w:spacing w:line="360" w:lineRule="exact"/>
        <w:ind w:firstLine="420" w:firstLineChars="200"/>
        <w:rPr>
          <w:rFonts w:ascii="Times New Roman" w:hAnsi="Times New Roman" w:eastAsiaTheme="majorEastAsia"/>
          <w:color w:val="000000" w:themeColor="text1"/>
          <w:vertAlign w:val="superscript"/>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新发生的中枢神经系统异常或视觉障碍</w:t>
      </w:r>
      <w:r>
        <w:rPr>
          <w:rFonts w:ascii="Times New Roman" w:hAnsi="Times New Roman" w:eastAsiaTheme="majorEastAsia"/>
          <w:color w:val="000000" w:themeColor="text1"/>
          <w:vertAlign w:val="superscript"/>
          <w14:textFill>
            <w14:solidFill>
              <w14:schemeClr w14:val="tx1"/>
            </w14:solidFill>
          </w14:textFill>
        </w:rPr>
        <w:t xml:space="preserve">[6] </w:t>
      </w:r>
    </w:p>
    <w:p w14:paraId="779ECBA1">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66" w:name="_Toc251774188"/>
      <w:r>
        <w:rPr>
          <w:rFonts w:ascii="Times New Roman" w:hAnsi="Times New Roman" w:cs="Times New Roman" w:eastAsiaTheme="majorEastAsia"/>
          <w:b/>
          <w:bCs/>
          <w:color w:val="000000" w:themeColor="text1"/>
          <w:szCs w:val="21"/>
          <w14:textFill>
            <w14:solidFill>
              <w14:schemeClr w14:val="tx1"/>
            </w14:solidFill>
          </w14:textFill>
        </w:rPr>
        <w:t>5.2  证候要素诊断</w:t>
      </w:r>
      <w:bookmarkEnd w:id="66"/>
    </w:p>
    <w:p w14:paraId="21F6C492">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脾虚证：妊娠数月，面浮肢肿，甚则遍身俱肿，皮薄光亮，按之凹陷；脘腹胀满，气短懒言，口中淡腻，食欲不振，小便短少，大便溏薄；舌体胖嫩，边有齿痕，苔白润，脉沉缓。</w:t>
      </w:r>
    </w:p>
    <w:p w14:paraId="12DFC9DE">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肾阳虚证：妊娠数月，面浮肢肿，下肢尤甚，按之没指；头晕耳鸣，腰酸无力，下肢逆冷，心悸气短，小便不利，面色灰暗；舌淡，苔白润，脉沉迟。</w:t>
      </w:r>
    </w:p>
    <w:p w14:paraId="2E4FFF4C">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气滞证：</w:t>
      </w:r>
      <w:bookmarkStart w:id="67" w:name="OLE_LINK13"/>
      <w:r>
        <w:rPr>
          <w:rFonts w:ascii="Times New Roman" w:hAnsi="Times New Roman" w:eastAsiaTheme="majorEastAsia"/>
          <w:color w:val="000000" w:themeColor="text1"/>
          <w14:textFill>
            <w14:solidFill>
              <w14:schemeClr w14:val="tx1"/>
            </w14:solidFill>
          </w14:textFill>
        </w:rPr>
        <w:t>妊娠数月，</w:t>
      </w:r>
      <w:bookmarkEnd w:id="67"/>
      <w:r>
        <w:rPr>
          <w:rFonts w:ascii="Times New Roman" w:hAnsi="Times New Roman" w:eastAsiaTheme="majorEastAsia"/>
          <w:color w:val="000000" w:themeColor="text1"/>
          <w14:textFill>
            <w14:solidFill>
              <w14:schemeClr w14:val="tx1"/>
            </w14:solidFill>
          </w14:textFill>
        </w:rPr>
        <w:t>肢体肿胀，始肿于足，渐及于腿，皮色不变，压痕不显；头晕胀痛，胸胁胀满，饮食减少；舌暗红，苔白滑或腻，脉弦或滑。</w:t>
      </w:r>
    </w:p>
    <w:p w14:paraId="4E01E28C">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肝肾阴虚证：妊娠中晚期，头晕目眩，视物模糊；心中烦闷，颧赤唇红，口燥咽干，手足心热，甚则猝然昏倒；舌红，苔少，脉弦细数。</w:t>
      </w:r>
    </w:p>
    <w:p w14:paraId="395CE9D4">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脾虚肝旺证：妊娠中晚期，头晕眼花；头胀而重，面浮肢肿，胸闷欲呕，胸胁胀满，纳差便溏；舌红，苔白腻，脉弦滑。</w:t>
      </w:r>
    </w:p>
    <w:p w14:paraId="3C83431B">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68" w:name="_Toc1025993126"/>
      <w:r>
        <w:rPr>
          <w:rFonts w:ascii="Times New Roman" w:hAnsi="Times New Roman" w:cs="Times New Roman" w:eastAsiaTheme="majorEastAsia"/>
          <w:b/>
          <w:bCs/>
          <w:color w:val="000000" w:themeColor="text1"/>
          <w:szCs w:val="21"/>
          <w14:textFill>
            <w14:solidFill>
              <w14:schemeClr w14:val="tx1"/>
            </w14:solidFill>
          </w14:textFill>
        </w:rPr>
        <w:t>5.3  鉴别诊断</w:t>
      </w:r>
      <w:bookmarkEnd w:id="68"/>
    </w:p>
    <w:p w14:paraId="12B23B87">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除了病史、症状、体征及以上各项检查，诊断PE还应注意与慢性肾炎、隐匿型肾炎、妊娠合并慢性高血压、妊娠合并心脏病、营养不良性水肿、妊娠贫血、自身免疫性疾病、血栓性血小板减少性</w:t>
      </w:r>
      <w:r>
        <w:rPr>
          <w:rFonts w:hint="eastAsia" w:ascii="Times New Roman" w:hAnsi="Times New Roman" w:cs="Times New Roman" w:eastAsiaTheme="majorEastAsia"/>
          <w:color w:val="000000" w:themeColor="text1"/>
          <w:sz w:val="21"/>
          <w:szCs w:val="21"/>
          <w14:textFill>
            <w14:solidFill>
              <w14:schemeClr w14:val="tx1"/>
            </w14:solidFill>
          </w14:textFill>
        </w:rPr>
        <w:t>紫癜</w:t>
      </w:r>
      <w:r>
        <w:rPr>
          <w:rFonts w:ascii="Times New Roman" w:hAnsi="Times New Roman" w:cs="Times New Roman" w:eastAsiaTheme="majorEastAsia"/>
          <w:color w:val="000000" w:themeColor="text1"/>
          <w:sz w:val="21"/>
          <w:szCs w:val="21"/>
          <w14:textFill>
            <w14:solidFill>
              <w14:schemeClr w14:val="tx1"/>
            </w14:solidFill>
          </w14:textFill>
        </w:rPr>
        <w:t>、滋养细胞疾病等多种疾病相鉴别。如产后病情不缓解，应注意是否有溶血性尿毒症综合征，注意子痫及后部可逆性脑病综合征与癫痫、其他原因的脑动脉缺血或梗死、颅内出血等情况的鉴别</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[1,6]</w:t>
      </w:r>
      <w:r>
        <w:rPr>
          <w:rFonts w:ascii="Times New Roman" w:hAnsi="Times New Roman" w:cs="Times New Roman" w:eastAsiaTheme="majorEastAsia"/>
          <w:color w:val="000000" w:themeColor="text1"/>
          <w:sz w:val="21"/>
          <w:szCs w:val="21"/>
          <w14:textFill>
            <w14:solidFill>
              <w14:schemeClr w14:val="tx1"/>
            </w14:solidFill>
          </w14:textFill>
        </w:rPr>
        <w:t>。</w:t>
      </w:r>
    </w:p>
    <w:p w14:paraId="5AA25FEA">
      <w:pPr>
        <w:pStyle w:val="33"/>
        <w:numPr>
          <w:ilvl w:val="1"/>
          <w:numId w:val="0"/>
        </w:numPr>
        <w:spacing w:before="240" w:beforeLines="100" w:after="240" w:afterLines="100" w:line="360" w:lineRule="exact"/>
        <w:outlineLvl w:val="0"/>
        <w:rPr>
          <w:rFonts w:ascii="Times New Roman" w:hAnsi="Times New Roman" w:cs="Times New Roman" w:eastAsiaTheme="majorEastAsia"/>
          <w:b/>
          <w:bCs/>
          <w:color w:val="000000" w:themeColor="text1"/>
          <w:szCs w:val="21"/>
          <w14:textFill>
            <w14:solidFill>
              <w14:schemeClr w14:val="tx1"/>
            </w14:solidFill>
          </w14:textFill>
        </w:rPr>
      </w:pPr>
      <w:bookmarkStart w:id="69" w:name="_Toc1390313618"/>
      <w:bookmarkStart w:id="70" w:name="_Toc1720266919"/>
      <w:r>
        <w:rPr>
          <w:rFonts w:ascii="Times New Roman" w:hAnsi="Times New Roman" w:cs="Times New Roman" w:eastAsiaTheme="majorEastAsia"/>
          <w:b/>
          <w:bCs/>
          <w:color w:val="000000" w:themeColor="text1"/>
          <w:szCs w:val="21"/>
          <w14:textFill>
            <w14:solidFill>
              <w14:schemeClr w14:val="tx1"/>
            </w14:solidFill>
          </w14:textFill>
        </w:rPr>
        <w:t>6  治疗</w:t>
      </w:r>
      <w:bookmarkEnd w:id="69"/>
      <w:bookmarkEnd w:id="70"/>
    </w:p>
    <w:p w14:paraId="224684DA">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1" w:name="_Toc953768072"/>
      <w:r>
        <w:rPr>
          <w:rFonts w:ascii="Times New Roman" w:hAnsi="Times New Roman" w:cs="Times New Roman" w:eastAsiaTheme="majorEastAsia"/>
          <w:b/>
          <w:bCs/>
          <w:color w:val="000000" w:themeColor="text1"/>
          <w:szCs w:val="21"/>
          <w14:textFill>
            <w14:solidFill>
              <w14:schemeClr w14:val="tx1"/>
            </w14:solidFill>
          </w14:textFill>
        </w:rPr>
        <w:t>6.1中医治疗原则</w:t>
      </w:r>
      <w:bookmarkEnd w:id="71"/>
    </w:p>
    <w:p w14:paraId="066367CE">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子痫前期主要以脏腑虚损，阴血不足为本，风、火、湿、痰为标。因此在中医辨证论治的过程中以补其不足，泻其有余为主要治则，并注重</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治病与安胎并举</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的原则。若发为子肿，以肢体面目肿胀发生为主，治疗应利水化湿，脾虚者健脾利水，肾虚者温肾利水，气滞者理气化湿；若发为子晕，以眩晕为主症，则治以平肝潜阳，或佐以滋阴潜阳，或健脾利湿等法。妊娠高血压疾病进展迅速，在治疗子痫前期的过程中，以中医子肿、子晕为切入点，发挥中医既病防变的优势，在疾病早期进行防治，对于延缓病情的发展，防止其向产科危急重症子痫的转化有重要的意义</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14:textFill>
            <w14:solidFill>
              <w14:schemeClr w14:val="tx1"/>
            </w14:solidFill>
          </w14:textFill>
        </w:rPr>
        <w:t>。</w:t>
      </w:r>
    </w:p>
    <w:p w14:paraId="2E91FDB0">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2" w:name="_Toc1162044896"/>
      <w:r>
        <w:rPr>
          <w:rFonts w:ascii="Times New Roman" w:hAnsi="Times New Roman" w:cs="Times New Roman" w:eastAsiaTheme="majorEastAsia"/>
          <w:b/>
          <w:bCs/>
          <w:color w:val="000000" w:themeColor="text1"/>
          <w:szCs w:val="21"/>
          <w14:textFill>
            <w14:solidFill>
              <w14:schemeClr w14:val="tx1"/>
            </w14:solidFill>
          </w14:textFill>
        </w:rPr>
        <w:t>6.2 临床问题1：适用于治疗子痫前期脾虚证的方药包括哪些，疗效如何</w:t>
      </w:r>
      <w:bookmarkEnd w:id="72"/>
      <w:r>
        <w:rPr>
          <w:rFonts w:hint="eastAsia" w:ascii="Times New Roman" w:hAnsi="Times New Roman" w:cs="Times New Roman" w:eastAsiaTheme="majorEastAsia"/>
          <w:b/>
          <w:bCs/>
          <w:color w:val="000000" w:themeColor="text1"/>
          <w:szCs w:val="21"/>
          <w14:textFill>
            <w14:solidFill>
              <w14:schemeClr w14:val="tx1"/>
            </w14:solidFill>
          </w14:textFill>
        </w:rPr>
        <w:t>。</w:t>
      </w:r>
    </w:p>
    <w:p w14:paraId="31BE1717">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治法：</w:t>
      </w:r>
      <w:r>
        <w:rPr>
          <w:rFonts w:ascii="Times New Roman" w:hAnsi="Times New Roman" w:cs="Times New Roman" w:eastAsiaTheme="majorEastAsia"/>
          <w:color w:val="000000" w:themeColor="text1"/>
          <w:sz w:val="21"/>
          <w:szCs w:val="21"/>
          <w14:textFill>
            <w14:solidFill>
              <w14:schemeClr w14:val="tx1"/>
            </w14:solidFill>
          </w14:textFill>
        </w:rPr>
        <w:t>健脾除湿，行水消肿</w:t>
      </w:r>
    </w:p>
    <w:p w14:paraId="64889223">
      <w:pPr>
        <w:pStyle w:val="34"/>
        <w:spacing w:line="360" w:lineRule="exact"/>
        <w:ind w:firstLine="428"/>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推荐用药：</w:t>
      </w:r>
      <w:r>
        <w:rPr>
          <w:rFonts w:ascii="Times New Roman" w:hAnsi="Times New Roman" w:cs="Times New Roman" w:eastAsiaTheme="majorEastAsia"/>
          <w:color w:val="000000" w:themeColor="text1"/>
          <w:sz w:val="21"/>
          <w:szCs w:val="21"/>
          <w14:textFill>
            <w14:solidFill>
              <w14:schemeClr w14:val="tx1"/>
            </w14:solidFill>
          </w14:textFill>
        </w:rPr>
        <w:t>白术散（《全生指迷方》）（证据等级：Ⅳa，强推荐）</w:t>
      </w:r>
      <w:r>
        <w:rPr>
          <w:rFonts w:hint="eastAsia" w:ascii="Times New Roman" w:hAnsi="Times New Roman" w:cs="Times New Roman" w:eastAsiaTheme="majorEastAsia"/>
          <w:color w:val="000000" w:themeColor="text1"/>
          <w:sz w:val="21"/>
          <w:szCs w:val="21"/>
          <w14:textFill>
            <w14:solidFill>
              <w14:schemeClr w14:val="tx1"/>
            </w14:solidFill>
          </w14:textFill>
        </w:rPr>
        <w:t>可有效治疗子痫前期脾虚证，</w:t>
      </w:r>
      <w:r>
        <w:rPr>
          <w:rFonts w:ascii="Times New Roman" w:hAnsi="Times New Roman" w:cs="Times New Roman" w:eastAsiaTheme="majorEastAsia"/>
          <w:color w:val="000000" w:themeColor="text1"/>
          <w:sz w:val="21"/>
          <w:szCs w:val="21"/>
          <w14:textFill>
            <w14:solidFill>
              <w14:schemeClr w14:val="tx1"/>
            </w14:solidFill>
          </w14:textFill>
        </w:rPr>
        <w:t>基本用药：白术、茯苓、大腹皮、生姜皮、陈皮</w:t>
      </w:r>
      <w:r>
        <w:rPr>
          <w:rFonts w:hint="eastAsia" w:ascii="Times New Roman" w:hAnsi="Times New Roman" w:cs="Times New Roman" w:eastAsiaTheme="majorEastAsia"/>
          <w:color w:val="000000" w:themeColor="text1"/>
          <w:sz w:val="21"/>
          <w:szCs w:val="21"/>
          <w14:textFill>
            <w14:solidFill>
              <w14:schemeClr w14:val="tx1"/>
            </w14:solidFill>
          </w14:textFill>
        </w:rPr>
        <w:t>。</w:t>
      </w:r>
    </w:p>
    <w:p w14:paraId="665B3F2D">
      <w:pPr>
        <w:pStyle w:val="34"/>
        <w:spacing w:line="360" w:lineRule="exact"/>
        <w:ind w:firstLine="428"/>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 xml:space="preserve"> 2021年全国中医药行业高等教育</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十四五</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规划教材《中医妇科学》</w:t>
      </w:r>
      <w:r>
        <w:rPr>
          <w:rFonts w:hint="eastAsia" w:ascii="Times New Roman" w:hAnsi="Times New Roman" w:cs="Times New Roman" w:eastAsiaTheme="majorEastAsia"/>
          <w:color w:val="000000" w:themeColor="text1"/>
          <w:sz w:val="21"/>
          <w:szCs w:val="21"/>
          <w14:textFill>
            <w14:solidFill>
              <w14:schemeClr w14:val="tx1"/>
            </w14:solidFill>
          </w14:textFill>
        </w:rPr>
        <w:t>子肿</w:t>
      </w:r>
      <w:r>
        <w:rPr>
          <w:rFonts w:ascii="Times New Roman" w:hAnsi="Times New Roman" w:cs="Times New Roman" w:eastAsiaTheme="majorEastAsia"/>
          <w:color w:val="000000" w:themeColor="text1"/>
          <w:sz w:val="21"/>
          <w:szCs w:val="21"/>
          <w14:textFill>
            <w14:solidFill>
              <w14:schemeClr w14:val="tx1"/>
            </w14:solidFill>
          </w14:textFill>
        </w:rPr>
        <w:t>一病中关于脾虚证推荐方剂为白术散</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vertAlign w:val="superscript"/>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w:t>
      </w:r>
    </w:p>
    <w:p w14:paraId="559381DB">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3" w:name="_Toc1272281254"/>
      <w:r>
        <w:rPr>
          <w:rFonts w:ascii="Times New Roman" w:hAnsi="Times New Roman" w:cs="Times New Roman" w:eastAsiaTheme="majorEastAsia"/>
          <w:b/>
          <w:bCs/>
          <w:color w:val="000000" w:themeColor="text1"/>
          <w:szCs w:val="21"/>
          <w14:textFill>
            <w14:solidFill>
              <w14:schemeClr w14:val="tx1"/>
            </w14:solidFill>
          </w14:textFill>
        </w:rPr>
        <w:t>6.3 临床问题2：适用于治疗子痫前期肾阳虚证的方药包括哪些，疗效如何</w:t>
      </w:r>
      <w:bookmarkEnd w:id="73"/>
      <w:r>
        <w:rPr>
          <w:rFonts w:hint="eastAsia" w:ascii="Times New Roman" w:hAnsi="Times New Roman" w:cs="Times New Roman" w:eastAsiaTheme="majorEastAsia"/>
          <w:b/>
          <w:bCs/>
          <w:color w:val="000000" w:themeColor="text1"/>
          <w:szCs w:val="21"/>
          <w14:textFill>
            <w14:solidFill>
              <w14:schemeClr w14:val="tx1"/>
            </w14:solidFill>
          </w14:textFill>
        </w:rPr>
        <w:t>。</w:t>
      </w:r>
    </w:p>
    <w:p w14:paraId="16E9869A">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治法：</w:t>
      </w:r>
      <w:r>
        <w:rPr>
          <w:rFonts w:ascii="Times New Roman" w:hAnsi="Times New Roman" w:cs="Times New Roman" w:eastAsiaTheme="majorEastAsia"/>
          <w:color w:val="000000" w:themeColor="text1"/>
          <w:sz w:val="21"/>
          <w:szCs w:val="21"/>
          <w14:textFill>
            <w14:solidFill>
              <w14:schemeClr w14:val="tx1"/>
            </w14:solidFill>
          </w14:textFill>
        </w:rPr>
        <w:t>补肾温阳，化气行水</w:t>
      </w:r>
    </w:p>
    <w:p w14:paraId="17DD85D5">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推荐用药：</w:t>
      </w:r>
      <w:r>
        <w:rPr>
          <w:rFonts w:ascii="Times New Roman" w:hAnsi="Times New Roman" w:cs="Times New Roman" w:eastAsiaTheme="majorEastAsia"/>
          <w:color w:val="000000" w:themeColor="text1"/>
          <w:sz w:val="21"/>
          <w:szCs w:val="21"/>
          <w14:textFill>
            <w14:solidFill>
              <w14:schemeClr w14:val="tx1"/>
            </w14:solidFill>
          </w14:textFill>
        </w:rPr>
        <w:t>济生肾气丸（《济生方》）（证据等级：Ⅳa，强推荐）</w:t>
      </w:r>
      <w:r>
        <w:rPr>
          <w:rFonts w:hint="eastAsia" w:ascii="Times New Roman" w:hAnsi="Times New Roman" w:cs="Times New Roman" w:eastAsiaTheme="majorEastAsia"/>
          <w:color w:val="000000" w:themeColor="text1"/>
          <w:sz w:val="21"/>
          <w:szCs w:val="21"/>
          <w14:textFill>
            <w14:solidFill>
              <w14:schemeClr w14:val="tx1"/>
            </w14:solidFill>
          </w14:textFill>
        </w:rPr>
        <w:t>可有效治疗子痫前期肾阳虚证，</w:t>
      </w:r>
      <w:r>
        <w:rPr>
          <w:rFonts w:ascii="Times New Roman" w:hAnsi="Times New Roman" w:cs="Times New Roman" w:eastAsiaTheme="majorEastAsia"/>
          <w:color w:val="000000" w:themeColor="text1"/>
          <w:sz w:val="21"/>
          <w:szCs w:val="21"/>
          <w14:textFill>
            <w14:solidFill>
              <w14:schemeClr w14:val="tx1"/>
            </w14:solidFill>
          </w14:textFill>
        </w:rPr>
        <w:t>基本用药：熟地黄、山药、山茱萸、牡丹皮、茯苓、泽泻、桂枝、附子、车前子、</w:t>
      </w:r>
      <w:r>
        <w:rPr>
          <w:rFonts w:hint="eastAsia" w:ascii="Times New Roman" w:hAnsi="Times New Roman" w:cs="Times New Roman" w:eastAsiaTheme="majorEastAsia"/>
          <w:color w:val="000000" w:themeColor="text1"/>
          <w:sz w:val="21"/>
          <w:szCs w:val="21"/>
          <w14:textFill>
            <w14:solidFill>
              <w14:schemeClr w14:val="tx1"/>
            </w14:solidFill>
          </w14:textFill>
        </w:rPr>
        <w:t>怀</w:t>
      </w:r>
      <w:r>
        <w:rPr>
          <w:rFonts w:ascii="Times New Roman" w:hAnsi="Times New Roman" w:cs="Times New Roman" w:eastAsiaTheme="majorEastAsia"/>
          <w:color w:val="000000" w:themeColor="text1"/>
          <w:sz w:val="21"/>
          <w:szCs w:val="21"/>
          <w14:textFill>
            <w14:solidFill>
              <w14:schemeClr w14:val="tx1"/>
            </w14:solidFill>
          </w14:textFill>
        </w:rPr>
        <w:t>牛膝</w:t>
      </w:r>
      <w:r>
        <w:rPr>
          <w:rFonts w:hint="eastAsia" w:ascii="Times New Roman" w:hAnsi="Times New Roman" w:cs="Times New Roman" w:eastAsiaTheme="majorEastAsia"/>
          <w:color w:val="000000" w:themeColor="text1"/>
          <w:sz w:val="21"/>
          <w:szCs w:val="21"/>
          <w14:textFill>
            <w14:solidFill>
              <w14:schemeClr w14:val="tx1"/>
            </w14:solidFill>
          </w14:textFill>
        </w:rPr>
        <w:t>。</w:t>
      </w:r>
    </w:p>
    <w:p w14:paraId="28640596">
      <w:pPr>
        <w:pStyle w:val="34"/>
        <w:spacing w:line="360" w:lineRule="exact"/>
        <w:ind w:firstLine="428"/>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2021年全国中医药行业高等教育</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十四五</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规划教材《中医妇科学》子</w:t>
      </w:r>
      <w:r>
        <w:rPr>
          <w:rFonts w:hint="eastAsia" w:ascii="Times New Roman" w:hAnsi="Times New Roman" w:cs="Times New Roman" w:eastAsiaTheme="majorEastAsia"/>
          <w:color w:val="000000" w:themeColor="text1"/>
          <w:sz w:val="21"/>
          <w:szCs w:val="21"/>
          <w14:textFill>
            <w14:solidFill>
              <w14:schemeClr w14:val="tx1"/>
            </w14:solidFill>
          </w14:textFill>
        </w:rPr>
        <w:t>肿</w:t>
      </w:r>
      <w:r>
        <w:rPr>
          <w:rFonts w:ascii="Times New Roman" w:hAnsi="Times New Roman" w:cs="Times New Roman" w:eastAsiaTheme="majorEastAsia"/>
          <w:color w:val="000000" w:themeColor="text1"/>
          <w:sz w:val="21"/>
          <w:szCs w:val="21"/>
          <w14:textFill>
            <w14:solidFill>
              <w14:schemeClr w14:val="tx1"/>
            </w14:solidFill>
          </w14:textFill>
        </w:rPr>
        <w:t>一病中关于肾阳虚证推荐方剂为济生肾气丸</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vertAlign w:val="superscript"/>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w:t>
      </w:r>
    </w:p>
    <w:p w14:paraId="203710BA">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4" w:name="_Toc736362799"/>
      <w:r>
        <w:rPr>
          <w:rFonts w:ascii="Times New Roman" w:hAnsi="Times New Roman" w:cs="Times New Roman" w:eastAsiaTheme="majorEastAsia"/>
          <w:b/>
          <w:bCs/>
          <w:color w:val="000000" w:themeColor="text1"/>
          <w:szCs w:val="21"/>
          <w14:textFill>
            <w14:solidFill>
              <w14:schemeClr w14:val="tx1"/>
            </w14:solidFill>
          </w14:textFill>
        </w:rPr>
        <w:t>6.4 临床问题3：适用于治疗子痫前期气滞证的方药包括哪些，疗效如何</w:t>
      </w:r>
      <w:bookmarkEnd w:id="74"/>
      <w:r>
        <w:rPr>
          <w:rFonts w:hint="eastAsia" w:ascii="Times New Roman" w:hAnsi="Times New Roman" w:cs="Times New Roman" w:eastAsiaTheme="majorEastAsia"/>
          <w:b/>
          <w:bCs/>
          <w:color w:val="000000" w:themeColor="text1"/>
          <w:szCs w:val="21"/>
          <w14:textFill>
            <w14:solidFill>
              <w14:schemeClr w14:val="tx1"/>
            </w14:solidFill>
          </w14:textFill>
        </w:rPr>
        <w:t>。</w:t>
      </w:r>
    </w:p>
    <w:p w14:paraId="7B89831D">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治则治法：</w:t>
      </w:r>
      <w:r>
        <w:rPr>
          <w:rFonts w:ascii="Times New Roman" w:hAnsi="Times New Roman" w:cs="Times New Roman" w:eastAsiaTheme="majorEastAsia"/>
          <w:color w:val="000000" w:themeColor="text1"/>
          <w:sz w:val="21"/>
          <w:szCs w:val="21"/>
          <w14:textFill>
            <w14:solidFill>
              <w14:schemeClr w14:val="tx1"/>
            </w14:solidFill>
          </w14:textFill>
        </w:rPr>
        <w:t>理气行滞，化湿消肿</w:t>
      </w:r>
    </w:p>
    <w:p w14:paraId="6577DDAE">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推荐用药：</w:t>
      </w:r>
      <w:r>
        <w:rPr>
          <w:rFonts w:ascii="Times New Roman" w:hAnsi="Times New Roman" w:cs="Times New Roman" w:eastAsiaTheme="majorEastAsia"/>
          <w:color w:val="000000" w:themeColor="text1"/>
          <w:sz w:val="21"/>
          <w:szCs w:val="21"/>
          <w14:textFill>
            <w14:solidFill>
              <w14:schemeClr w14:val="tx1"/>
            </w14:solidFill>
          </w14:textFill>
        </w:rPr>
        <w:t>正气天香散加减（《证治准绳》）（证据等级：Ⅳa，强推荐）</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基本用药：香附、陈皮、乌药、甘草、干姜、紫苏</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若兼血瘀证者推荐丹参注射液</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结合西医常规治疗（请参照西医诊疗指南，下同）</w:t>
      </w:r>
      <w:r>
        <w:rPr>
          <w:rFonts w:ascii="Times New Roman" w:hAnsi="Times New Roman" w:cs="Times New Roman" w:eastAsiaTheme="majorEastAsia"/>
          <w:color w:val="000000" w:themeColor="text1"/>
          <w:sz w:val="21"/>
          <w:szCs w:val="21"/>
          <w14:textFill>
            <w14:solidFill>
              <w14:schemeClr w14:val="tx1"/>
            </w14:solidFill>
          </w14:textFill>
        </w:rPr>
        <w:t>（证据级别：</w:t>
      </w:r>
      <w:r>
        <w:rPr>
          <w:rFonts w:hint="eastAsia" w:ascii="Times New Roman" w:hAnsi="Times New Roman" w:cs="Times New Roman" w:eastAsiaTheme="majorEastAsia"/>
          <w:color w:val="000000" w:themeColor="text1"/>
          <w:sz w:val="21"/>
          <w:szCs w:val="21"/>
          <w14:textFill>
            <w14:solidFill>
              <w14:schemeClr w14:val="tx1"/>
            </w14:solidFill>
          </w14:textFill>
        </w:rPr>
        <w:t>C</w:t>
      </w:r>
      <w:r>
        <w:rPr>
          <w:rFonts w:ascii="Times New Roman" w:hAnsi="Times New Roman" w:cs="Times New Roman" w:eastAsiaTheme="majorEastAsia"/>
          <w:color w:val="000000" w:themeColor="text1"/>
          <w:sz w:val="21"/>
          <w:szCs w:val="21"/>
          <w14:textFill>
            <w14:solidFill>
              <w14:schemeClr w14:val="tx1"/>
            </w14:solidFill>
          </w14:textFill>
        </w:rPr>
        <w:t>，</w:t>
      </w:r>
      <w:r>
        <w:rPr>
          <w:rFonts w:hint="eastAsia" w:ascii="Times New Roman" w:hAnsi="Times New Roman" w:cs="Times New Roman" w:eastAsiaTheme="majorEastAsia"/>
          <w:color w:val="000000" w:themeColor="text1"/>
          <w:sz w:val="21"/>
          <w:szCs w:val="21"/>
          <w14:textFill>
            <w14:solidFill>
              <w14:schemeClr w14:val="tx1"/>
            </w14:solidFill>
          </w14:textFill>
        </w:rPr>
        <w:t>弱</w:t>
      </w:r>
      <w:r>
        <w:rPr>
          <w:rFonts w:ascii="Times New Roman" w:hAnsi="Times New Roman" w:cs="Times New Roman" w:eastAsiaTheme="majorEastAsia"/>
          <w:color w:val="000000" w:themeColor="text1"/>
          <w:sz w:val="21"/>
          <w:szCs w:val="21"/>
          <w14:textFill>
            <w14:solidFill>
              <w14:schemeClr w14:val="tx1"/>
            </w14:solidFill>
          </w14:textFill>
        </w:rPr>
        <w:t>推荐）</w:t>
      </w:r>
      <w:r>
        <w:rPr>
          <w:rFonts w:hint="eastAsia" w:ascii="Times New Roman" w:hAnsi="Times New Roman" w:cs="Times New Roman" w:eastAsiaTheme="majorEastAsia"/>
          <w:color w:val="000000" w:themeColor="text1"/>
          <w:sz w:val="21"/>
          <w:szCs w:val="21"/>
          <w14:textFill>
            <w14:solidFill>
              <w14:schemeClr w14:val="tx1"/>
            </w14:solidFill>
          </w14:textFill>
        </w:rPr>
        <w:t>。以上两种中药均可有效治疗子痫前期气滞证。</w:t>
      </w:r>
    </w:p>
    <w:p w14:paraId="42803680">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2021年全国中医药行业高等教育</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十四五</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规划教材《中医妇科学》子</w:t>
      </w:r>
      <w:r>
        <w:rPr>
          <w:rFonts w:hint="eastAsia" w:ascii="Times New Roman" w:hAnsi="Times New Roman" w:cs="Times New Roman" w:eastAsiaTheme="majorEastAsia"/>
          <w:color w:val="000000" w:themeColor="text1"/>
          <w:sz w:val="21"/>
          <w:szCs w:val="21"/>
          <w14:textFill>
            <w14:solidFill>
              <w14:schemeClr w14:val="tx1"/>
            </w14:solidFill>
          </w14:textFill>
        </w:rPr>
        <w:t>肿</w:t>
      </w:r>
      <w:r>
        <w:rPr>
          <w:rFonts w:ascii="Times New Roman" w:hAnsi="Times New Roman" w:cs="Times New Roman" w:eastAsiaTheme="majorEastAsia"/>
          <w:color w:val="000000" w:themeColor="text1"/>
          <w:sz w:val="21"/>
          <w:szCs w:val="21"/>
          <w14:textFill>
            <w14:solidFill>
              <w14:schemeClr w14:val="tx1"/>
            </w14:solidFill>
          </w14:textFill>
        </w:rPr>
        <w:t>一病中关于气滞证推荐方剂为正气天香散加减</w:t>
      </w:r>
      <w:r>
        <w:rPr>
          <w:rFonts w:ascii="Times New Roman" w:hAnsi="Times New Roman" w:cs="Times New Roman" w:eastAsiaTheme="majorEastAsia"/>
          <w:color w:val="000000" w:themeColor="text1"/>
          <w:sz w:val="21"/>
          <w:szCs w:val="21"/>
          <w:vertAlign w:val="superscript"/>
          <w:lang w:bidi="ar"/>
          <w14:textFill>
            <w14:solidFill>
              <w14:schemeClr w14:val="tx1"/>
            </w14:solidFill>
          </w14:textFill>
        </w:rPr>
        <w:t>[7]</w:t>
      </w:r>
      <w:r>
        <w:rPr>
          <w:rFonts w:ascii="Times New Roman" w:hAnsi="Times New Roman" w:cs="Times New Roman" w:eastAsiaTheme="majorEastAsia"/>
          <w:color w:val="000000" w:themeColor="text1"/>
          <w:sz w:val="21"/>
          <w:szCs w:val="21"/>
          <w:vertAlign w:val="superscript"/>
          <w14:textFill>
            <w14:solidFill>
              <w14:schemeClr w14:val="tx1"/>
            </w14:solidFill>
          </w14:textFill>
        </w:rPr>
        <w:t xml:space="preserve"> </w:t>
      </w:r>
      <w:r>
        <w:rPr>
          <w:rFonts w:ascii="Times New Roman" w:hAnsi="Times New Roman" w:cs="Times New Roman" w:eastAsiaTheme="majorEastAsia"/>
          <w:color w:val="000000" w:themeColor="text1"/>
          <w:sz w:val="21"/>
          <w:szCs w:val="21"/>
          <w14:textFill>
            <w14:solidFill>
              <w14:schemeClr w14:val="tx1"/>
            </w14:solidFill>
          </w14:textFill>
        </w:rPr>
        <w:t>。Meta分析结果显示，丹参注射液结合西医常规治疗（包括：降压、解痉、镇静，临床根据患者病情单独或联合使用，下同）在降低子痫前期患者平均动脉压、尿蛋白水平方面优于西医常规治疗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[8]</w:t>
      </w:r>
      <w:r>
        <w:rPr>
          <w:rFonts w:ascii="Times New Roman" w:hAnsi="Times New Roman" w:cs="Times New Roman" w:eastAsiaTheme="majorEastAsia"/>
          <w:color w:val="000000" w:themeColor="text1"/>
          <w:sz w:val="21"/>
          <w:szCs w:val="21"/>
          <w14:textFill>
            <w14:solidFill>
              <w14:schemeClr w14:val="tx1"/>
            </w14:solidFill>
          </w14:textFill>
        </w:rPr>
        <w:t>（MD -14.11[95%CI:-21.56,-1.24]，</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=0.03；MD -6.82[95%CI:-8.01,-5.64]，</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01）。两组中医证候积分</w:t>
      </w:r>
      <w:r>
        <w:rPr>
          <w:rFonts w:ascii="Times New Roman" w:hAnsi="Times New Roman" w:cs="Times New Roman" w:eastAsiaTheme="majorEastAsia"/>
          <w:color w:val="000000" w:themeColor="text1"/>
          <w:sz w:val="21"/>
          <w:szCs w:val="21"/>
          <w:vertAlign w:val="superscript"/>
          <w14:textFill>
            <w14:solidFill>
              <w14:schemeClr w14:val="tx1"/>
            </w14:solidFill>
          </w14:textFill>
        </w:rPr>
        <w:t>[9]</w:t>
      </w:r>
      <w:r>
        <w:rPr>
          <w:rFonts w:ascii="Times New Roman" w:hAnsi="Times New Roman" w:cs="Times New Roman" w:eastAsiaTheme="majorEastAsia"/>
          <w:color w:val="000000" w:themeColor="text1"/>
          <w:sz w:val="21"/>
          <w:szCs w:val="21"/>
          <w14:textFill>
            <w14:solidFill>
              <w14:schemeClr w14:val="tx1"/>
            </w14:solidFill>
          </w14:textFill>
        </w:rPr>
        <w:t>、不良反应发生率</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[10]</w:t>
      </w:r>
      <w:r>
        <w:rPr>
          <w:rFonts w:ascii="Times New Roman" w:hAnsi="Times New Roman" w:cs="Times New Roman" w:eastAsiaTheme="majorEastAsia"/>
          <w:color w:val="000000" w:themeColor="text1"/>
          <w:sz w:val="21"/>
          <w:szCs w:val="21"/>
          <w14:textFill>
            <w14:solidFill>
              <w14:schemeClr w14:val="tx1"/>
            </w14:solidFill>
          </w14:textFill>
        </w:rPr>
        <w:t>方面差异无统计学意义（MD -1.38[95%CI:-3.44,0.68]，</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=0.19；RR 0.32[95%CI:0.08,1.32]，P=0.12）。丹参注射液结合西医常规治疗在提升重度子痫前期患者治疗总有效率</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[10-12]</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改善尿蛋白水平</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[13]</w:t>
      </w:r>
      <w:r>
        <w:rPr>
          <w:rFonts w:ascii="Times New Roman" w:hAnsi="Times New Roman" w:cs="Times New Roman" w:eastAsiaTheme="majorEastAsia"/>
          <w:color w:val="000000" w:themeColor="text1"/>
          <w:sz w:val="21"/>
          <w:szCs w:val="21"/>
          <w14:textFill>
            <w14:solidFill>
              <w14:schemeClr w14:val="tx1"/>
            </w14:solidFill>
          </w14:textFill>
        </w:rPr>
        <w:t>方面优于西医常规治疗（RR 1.17[95%CI:1.09,1.25]，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-1.59[95%CI:-2.95,-0.23]，</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=0.02）</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两组不良反应、妊娠并发症（胎心异常、新生儿窒息）及产后出血发生率差异无统计学意义</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[13]</w:t>
      </w:r>
      <w:r>
        <w:rPr>
          <w:rFonts w:ascii="Times New Roman" w:hAnsi="Times New Roman" w:cs="Times New Roman" w:eastAsiaTheme="majorEastAsia"/>
          <w:color w:val="000000" w:themeColor="text1"/>
          <w:sz w:val="21"/>
          <w:szCs w:val="21"/>
          <w14:textFill>
            <w14:solidFill>
              <w14:schemeClr w14:val="tx1"/>
            </w14:solidFill>
          </w14:textFill>
        </w:rPr>
        <w:t>（RR 0.30[95%CI:0.03,3.15]，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=0.31；RR 0.33[95%CI:0.07,1.52]，</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=0.15；RR 0.30[95%CI:0.03,3.15]，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=0.31）</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丹参注射液在降低子痫前期患者舒张压、临床症状（头痛、上腹部不适、视觉异常、水肿）积分方面优于西医常规治疗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14</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（MD -2.11[95%CI:-4.17,-0.05]，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=0.04；MD -0.48[95%CI:-0.57,-0.39]，</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01）。在改善收缩压、尿蛋白水平、治疗总有效率、重度子痫及子痫发生率方面，丹参注射液与西医常规治疗疗效相当</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14</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（MD -1.79[95%CI:-5.04,1.46]，</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=0.28；MD -0.20[95%CI:-0.46,0.05]，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=0.11；RR 1.05[95%CI:0.95,1.17]，</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=0.36；RR 0.36[95%CI:0.12,1.11]，</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=0.08）。</w:t>
      </w:r>
    </w:p>
    <w:p w14:paraId="4BB7A19E">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5" w:name="_Toc101305132"/>
      <w:r>
        <w:rPr>
          <w:rFonts w:ascii="Times New Roman" w:hAnsi="Times New Roman" w:cs="Times New Roman" w:eastAsiaTheme="majorEastAsia"/>
          <w:b/>
          <w:bCs/>
          <w:color w:val="000000" w:themeColor="text1"/>
          <w:szCs w:val="21"/>
          <w14:textFill>
            <w14:solidFill>
              <w14:schemeClr w14:val="tx1"/>
            </w14:solidFill>
          </w14:textFill>
        </w:rPr>
        <w:t>6.5 临床问题4：适用于治疗子痫前期肝肾阴虚证的方药包括哪些，疗效如何</w:t>
      </w:r>
      <w:bookmarkEnd w:id="75"/>
      <w:r>
        <w:rPr>
          <w:rFonts w:hint="eastAsia" w:ascii="Times New Roman" w:hAnsi="Times New Roman" w:cs="Times New Roman" w:eastAsiaTheme="majorEastAsia"/>
          <w:b/>
          <w:bCs/>
          <w:color w:val="000000" w:themeColor="text1"/>
          <w:szCs w:val="21"/>
          <w14:textFill>
            <w14:solidFill>
              <w14:schemeClr w14:val="tx1"/>
            </w14:solidFill>
          </w14:textFill>
        </w:rPr>
        <w:t>。</w:t>
      </w:r>
    </w:p>
    <w:p w14:paraId="5EC0116C">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治法：</w:t>
      </w:r>
      <w:r>
        <w:rPr>
          <w:rFonts w:ascii="Times New Roman" w:hAnsi="Times New Roman" w:cs="Times New Roman" w:eastAsiaTheme="majorEastAsia"/>
          <w:color w:val="000000" w:themeColor="text1"/>
          <w:sz w:val="21"/>
          <w:szCs w:val="21"/>
          <w14:textFill>
            <w14:solidFill>
              <w14:schemeClr w14:val="tx1"/>
            </w14:solidFill>
          </w14:textFill>
        </w:rPr>
        <w:t>滋阴补肾，平肝潜阳</w:t>
      </w:r>
    </w:p>
    <w:p w14:paraId="09695313">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推荐用药：</w:t>
      </w:r>
      <w:r>
        <w:rPr>
          <w:rFonts w:ascii="Times New Roman" w:hAnsi="Times New Roman" w:cs="Times New Roman" w:eastAsiaTheme="majorEastAsia"/>
          <w:color w:val="000000" w:themeColor="text1"/>
          <w:sz w:val="21"/>
          <w:szCs w:val="21"/>
          <w14:textFill>
            <w14:solidFill>
              <w14:schemeClr w14:val="tx1"/>
            </w14:solidFill>
          </w14:textFill>
        </w:rPr>
        <w:t>杞菊地黄</w:t>
      </w:r>
      <w:bookmarkStart w:id="76" w:name="OLE_LINK29"/>
      <w:r>
        <w:rPr>
          <w:rFonts w:ascii="Times New Roman" w:hAnsi="Times New Roman" w:cs="Times New Roman" w:eastAsiaTheme="majorEastAsia"/>
          <w:color w:val="000000" w:themeColor="text1"/>
          <w:sz w:val="21"/>
          <w:szCs w:val="21"/>
          <w14:textFill>
            <w14:solidFill>
              <w14:schemeClr w14:val="tx1"/>
            </w14:solidFill>
          </w14:textFill>
        </w:rPr>
        <w:t>丸（《医级》）</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w:t>
      </w:r>
      <w:r>
        <w:rPr>
          <w:rFonts w:ascii="Times New Roman" w:hAnsi="Times New Roman" w:cs="Times New Roman" w:eastAsiaTheme="majorEastAsia"/>
          <w:color w:val="000000" w:themeColor="text1"/>
          <w:sz w:val="21"/>
          <w:szCs w:val="21"/>
          <w14:textFill>
            <w14:solidFill>
              <w14:schemeClr w14:val="tx1"/>
            </w14:solidFill>
          </w14:textFill>
        </w:rPr>
        <w:t>（证据级别：</w:t>
      </w:r>
      <w:r>
        <w:rPr>
          <w:rFonts w:hint="eastAsia" w:ascii="Times New Roman" w:hAnsi="Times New Roman" w:cs="Times New Roman" w:eastAsiaTheme="majorEastAsia"/>
          <w:color w:val="000000" w:themeColor="text1"/>
          <w:sz w:val="21"/>
          <w:szCs w:val="21"/>
          <w14:textFill>
            <w14:solidFill>
              <w14:schemeClr w14:val="tx1"/>
            </w14:solidFill>
          </w14:textFill>
        </w:rPr>
        <w:t>C</w:t>
      </w:r>
      <w:r>
        <w:rPr>
          <w:rFonts w:ascii="Times New Roman" w:hAnsi="Times New Roman" w:cs="Times New Roman" w:eastAsiaTheme="majorEastAsia"/>
          <w:color w:val="000000" w:themeColor="text1"/>
          <w:sz w:val="21"/>
          <w:szCs w:val="21"/>
          <w14:textFill>
            <w14:solidFill>
              <w14:schemeClr w14:val="tx1"/>
            </w14:solidFill>
          </w14:textFill>
        </w:rPr>
        <w:t>，强推荐）</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基本用药：枸杞子、菊花、熟地黄、山萸肉、丹皮、山药、茯苓、泽泻</w:t>
      </w:r>
      <w:bookmarkEnd w:id="76"/>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若病情发展进入重度子痫前期阶段，偏肝阳上亢者推荐天麻钩藤饮（《杂病证治新义》）</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w:t>
      </w:r>
      <w:r>
        <w:rPr>
          <w:rFonts w:ascii="Times New Roman" w:hAnsi="Times New Roman" w:cs="Times New Roman" w:eastAsiaTheme="majorEastAsia"/>
          <w:color w:val="000000" w:themeColor="text1"/>
          <w:sz w:val="21"/>
          <w:szCs w:val="21"/>
          <w14:textFill>
            <w14:solidFill>
              <w14:schemeClr w14:val="tx1"/>
            </w14:solidFill>
          </w14:textFill>
        </w:rPr>
        <w:t>（证据级别：C，强推荐）</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hint="eastAsia" w:ascii="Times New Roman" w:hAnsi="Times New Roman" w:eastAsiaTheme="majorEastAsia"/>
          <w:color w:val="000000" w:themeColor="text1"/>
          <w:sz w:val="21"/>
          <w:szCs w:val="21"/>
          <w14:textFill>
            <w14:solidFill>
              <w14:schemeClr w14:val="tx1"/>
            </w14:solidFill>
          </w14:textFill>
        </w:rPr>
        <w:t>基本用药：天麻、钩藤、栀子、黄芩、杜仲、生石决明、怀牛膝、桑寄生、夜交藤、茯神</w:t>
      </w:r>
      <w:r>
        <w:rPr>
          <w:rFonts w:ascii="Times New Roman" w:hAnsi="Times New Roman" w:cs="Times New Roman" w:eastAsiaTheme="majorEastAsia"/>
          <w:color w:val="000000" w:themeColor="text1"/>
          <w:sz w:val="21"/>
          <w:szCs w:val="21"/>
          <w14:textFill>
            <w14:solidFill>
              <w14:schemeClr w14:val="tx1"/>
            </w14:solidFill>
          </w14:textFill>
        </w:rPr>
        <w:t>；若肝经热盛导致热极生风者推荐羚角钩藤汤（《重订通俗伤寒论》）</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w:t>
      </w:r>
      <w:r>
        <w:rPr>
          <w:rFonts w:ascii="Times New Roman" w:hAnsi="Times New Roman" w:cs="Times New Roman" w:eastAsiaTheme="majorEastAsia"/>
          <w:color w:val="000000" w:themeColor="text1"/>
          <w:sz w:val="21"/>
          <w:szCs w:val="21"/>
          <w14:textFill>
            <w14:solidFill>
              <w14:schemeClr w14:val="tx1"/>
            </w14:solidFill>
          </w14:textFill>
        </w:rPr>
        <w:t>（证据级别：C，强推荐）</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基本用药：水牛角、钩藤、桑叶、菊花、贝母、竹茹、生地黄、白芍、茯神、甘草</w:t>
      </w:r>
      <w:r>
        <w:rPr>
          <w:rFonts w:hint="eastAsia" w:ascii="Times New Roman" w:hAnsi="Times New Roman" w:cs="Times New Roman" w:eastAsiaTheme="majorEastAsia"/>
          <w:color w:val="000000" w:themeColor="text1"/>
          <w:sz w:val="21"/>
          <w:szCs w:val="21"/>
          <w14:textFill>
            <w14:solidFill>
              <w14:schemeClr w14:val="tx1"/>
            </w14:solidFill>
          </w14:textFill>
        </w:rPr>
        <w:t>。以上三种中药均可有效治疗子痫前期肝肾阴虚证。</w:t>
      </w:r>
    </w:p>
    <w:p w14:paraId="28A4B687">
      <w:pPr>
        <w:pStyle w:val="34"/>
        <w:spacing w:line="360" w:lineRule="exact"/>
        <w:ind w:firstLine="428"/>
        <w:rPr>
          <w:rFonts w:ascii="Times New Roman" w:hAnsi="Times New Roman" w:cs="Times New Roman" w:eastAsiaTheme="majorEastAsia"/>
          <w:b/>
          <w:bCs/>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p>
    <w:p w14:paraId="51FB1C7A">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2021年全国中医药行业高等教育</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十四五</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规划教材《中医妇科学》子晕一病中关于</w:t>
      </w:r>
      <w:r>
        <w:rPr>
          <w:rFonts w:hint="eastAsia" w:ascii="Times New Roman" w:hAnsi="Times New Roman" w:cs="Times New Roman" w:eastAsiaTheme="majorEastAsia"/>
          <w:color w:val="000000" w:themeColor="text1"/>
          <w:sz w:val="21"/>
          <w:szCs w:val="21"/>
          <w14:textFill>
            <w14:solidFill>
              <w14:schemeClr w14:val="tx1"/>
            </w14:solidFill>
          </w14:textFill>
        </w:rPr>
        <w:t>阴虚肝旺</w:t>
      </w:r>
      <w:r>
        <w:rPr>
          <w:rFonts w:ascii="Times New Roman" w:hAnsi="Times New Roman" w:cs="Times New Roman" w:eastAsiaTheme="majorEastAsia"/>
          <w:color w:val="000000" w:themeColor="text1"/>
          <w:sz w:val="21"/>
          <w:szCs w:val="21"/>
          <w14:textFill>
            <w14:solidFill>
              <w14:schemeClr w14:val="tx1"/>
            </w14:solidFill>
          </w14:textFill>
        </w:rPr>
        <w:t>证推荐方剂为</w:t>
      </w:r>
      <w:r>
        <w:rPr>
          <w:rFonts w:hint="eastAsia" w:ascii="Times New Roman" w:hAnsi="Times New Roman" w:cs="Times New Roman" w:eastAsiaTheme="majorEastAsia"/>
          <w:color w:val="000000" w:themeColor="text1"/>
          <w:sz w:val="21"/>
          <w:szCs w:val="21"/>
          <w14:textFill>
            <w14:solidFill>
              <w14:schemeClr w14:val="tx1"/>
            </w14:solidFill>
          </w14:textFill>
        </w:rPr>
        <w:t>杞菊地黄</w:t>
      </w:r>
      <w:r>
        <w:rPr>
          <w:rFonts w:ascii="Times New Roman" w:hAnsi="Times New Roman" w:cs="Times New Roman" w:eastAsiaTheme="majorEastAsia"/>
          <w:color w:val="000000" w:themeColor="text1"/>
          <w:sz w:val="21"/>
          <w:szCs w:val="21"/>
          <w14:textFill>
            <w14:solidFill>
              <w14:schemeClr w14:val="tx1"/>
            </w14:solidFill>
          </w14:textFill>
        </w:rPr>
        <w:t>丸</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7</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。Meta分析结果显示，杞菊地黄丸结合西医常规治疗在提高子痫前期患者临床总有效率方面优于西医常规治疗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[15,16]</w:t>
      </w:r>
      <w:r>
        <w:rPr>
          <w:rFonts w:ascii="Times New Roman" w:hAnsi="Times New Roman" w:cs="Times New Roman" w:eastAsiaTheme="majorEastAsia"/>
          <w:color w:val="000000" w:themeColor="text1"/>
          <w:sz w:val="21"/>
          <w:szCs w:val="21"/>
          <w14:textFill>
            <w14:solidFill>
              <w14:schemeClr w14:val="tx1"/>
            </w14:solidFill>
          </w14:textFill>
        </w:rPr>
        <w:t>（RR 4.51[95%CI:2.11,9.66]，</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=0.000 1），降低收缩压、舒张压、中医证候积分方面优于西医常规治疗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[15]</w:t>
      </w:r>
      <w:r>
        <w:rPr>
          <w:rFonts w:ascii="Times New Roman" w:hAnsi="Times New Roman" w:cs="Times New Roman" w:eastAsiaTheme="majorEastAsia"/>
          <w:color w:val="000000" w:themeColor="text1"/>
          <w:sz w:val="21"/>
          <w:szCs w:val="21"/>
          <w14:textFill>
            <w14:solidFill>
              <w14:schemeClr w14:val="tx1"/>
            </w14:solidFill>
          </w14:textFill>
        </w:rPr>
        <w:t>（MD -11.78[95%CI:-15.74,-7.82]，</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-10.35[95%CI:-12.00,-8.70]，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-0.68[95%CI:-0.83,-0.53]，</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01）。降低平均动脉压、延长妊娠周数方面优于西医常规治</w:t>
      </w:r>
      <w:r>
        <w:rPr>
          <w:rFonts w:hint="eastAsia" w:ascii="Times New Roman" w:hAnsi="Times New Roman" w:cs="Times New Roman" w:eastAsiaTheme="majorEastAsia"/>
          <w:color w:val="000000" w:themeColor="text1"/>
          <w:sz w:val="21"/>
          <w:szCs w:val="21"/>
          <w14:textFill>
            <w14:solidFill>
              <w14:schemeClr w14:val="tx1"/>
            </w14:solidFill>
          </w14:textFill>
        </w:rPr>
        <w:t>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[17]</w:t>
      </w:r>
      <w:r>
        <w:rPr>
          <w:rFonts w:ascii="Times New Roman" w:hAnsi="Times New Roman" w:cs="Times New Roman" w:eastAsiaTheme="majorEastAsia"/>
          <w:color w:val="000000" w:themeColor="text1"/>
          <w:sz w:val="21"/>
          <w:szCs w:val="21"/>
          <w14:textFill>
            <w14:solidFill>
              <w14:schemeClr w14:val="tx1"/>
            </w14:solidFill>
          </w14:textFill>
        </w:rPr>
        <w:t>（MD -9.16[95%CI:-12.69,-5.63]，</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8.24[95%CI:6.29,10.19]，</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01）。两组妊娠并发症（胎盘早剥、胎儿窘迫、胎儿生长受限、羊水过少等</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[15,17]</w:t>
      </w:r>
      <w:r>
        <w:rPr>
          <w:rFonts w:ascii="Times New Roman" w:hAnsi="Times New Roman" w:cs="Times New Roman" w:eastAsiaTheme="majorEastAsia"/>
          <w:color w:val="000000" w:themeColor="text1"/>
          <w:sz w:val="21"/>
          <w:szCs w:val="21"/>
          <w14:textFill>
            <w14:solidFill>
              <w14:schemeClr w14:val="tx1"/>
            </w14:solidFill>
          </w14:textFill>
        </w:rPr>
        <w:t>、不良反应</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[15]</w:t>
      </w:r>
      <w:r>
        <w:rPr>
          <w:rFonts w:ascii="Times New Roman" w:hAnsi="Times New Roman" w:cs="Times New Roman" w:eastAsiaTheme="majorEastAsia"/>
          <w:color w:val="000000" w:themeColor="text1"/>
          <w:sz w:val="21"/>
          <w:szCs w:val="21"/>
          <w14:textFill>
            <w14:solidFill>
              <w14:schemeClr w14:val="tx1"/>
            </w14:solidFill>
          </w14:textFill>
        </w:rPr>
        <w:t>及子痫发生</w:t>
      </w:r>
      <w:r>
        <w:rPr>
          <w:rFonts w:hint="eastAsia" w:ascii="Times New Roman" w:hAnsi="Times New Roman" w:cs="Times New Roman" w:eastAsiaTheme="majorEastAsia"/>
          <w:color w:val="000000" w:themeColor="text1"/>
          <w:sz w:val="21"/>
          <w:szCs w:val="21"/>
          <w14:textFill>
            <w14:solidFill>
              <w14:schemeClr w14:val="tx1"/>
            </w14:solidFill>
          </w14:textFill>
        </w:rPr>
        <w:t>率</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[17]</w:t>
      </w:r>
      <w:r>
        <w:rPr>
          <w:rFonts w:ascii="Times New Roman" w:hAnsi="Times New Roman" w:cs="Times New Roman" w:eastAsiaTheme="majorEastAsia"/>
          <w:color w:val="000000" w:themeColor="text1"/>
          <w:sz w:val="21"/>
          <w:szCs w:val="21"/>
          <w14:textFill>
            <w14:solidFill>
              <w14:schemeClr w14:val="tx1"/>
            </w14:solidFill>
          </w14:textFill>
        </w:rPr>
        <w:t>差异无统计学意义（RR 0.76[95%CI:0.49,1.18]，</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=0.22；RR 0.65[95%CI:0.10,4.10]，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=0.65；RR 0.97[95%CI:0.06,16.14]，</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=0.99）。杞菊地黄丸在提高子痫前期患者临床总有效率方面与口服地西泮片/硝苯地平缓释片疗效相当</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[18]</w:t>
      </w:r>
      <w:r>
        <w:rPr>
          <w:rFonts w:ascii="Times New Roman" w:hAnsi="Times New Roman" w:cs="Times New Roman" w:eastAsiaTheme="majorEastAsia"/>
          <w:color w:val="000000" w:themeColor="text1"/>
          <w:sz w:val="21"/>
          <w:szCs w:val="21"/>
          <w14:textFill>
            <w14:solidFill>
              <w14:schemeClr w14:val="tx1"/>
            </w14:solidFill>
          </w14:textFill>
        </w:rPr>
        <w:t>（RR 2.71[95%CI:0.49,14.90]，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=0.25），且两组不良反应发生率差异无统计学意义</w:t>
      </w:r>
      <w:r>
        <w:rPr>
          <w:rFonts w:ascii="Times New Roman" w:hAnsi="Times New Roman" w:cs="Times New Roman" w:eastAsiaTheme="majorEastAsia"/>
          <w:color w:val="000000" w:themeColor="text1"/>
          <w:sz w:val="21"/>
          <w:szCs w:val="21"/>
          <w:vertAlign w:val="superscript"/>
          <w14:textFill>
            <w14:solidFill>
              <w14:schemeClr w14:val="tx1"/>
            </w14:solidFill>
          </w14:textFill>
        </w:rPr>
        <w:t xml:space="preserve">[18] </w:t>
      </w:r>
      <w:r>
        <w:rPr>
          <w:rFonts w:ascii="Times New Roman" w:hAnsi="Times New Roman" w:cs="Times New Roman" w:eastAsiaTheme="majorEastAsia"/>
          <w:color w:val="000000" w:themeColor="text1"/>
          <w:sz w:val="21"/>
          <w:szCs w:val="21"/>
          <w14:textFill>
            <w14:solidFill>
              <w14:schemeClr w14:val="tx1"/>
            </w14:solidFill>
          </w14:textFill>
        </w:rPr>
        <w:t>（RR 4.33[95%CI:0.46,40.61]，</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=0.20）。</w:t>
      </w:r>
    </w:p>
    <w:p w14:paraId="29806072">
      <w:pPr>
        <w:spacing w:line="360" w:lineRule="exact"/>
        <w:ind w:firstLine="420" w:firstLineChars="20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color w:val="000000" w:themeColor="text1"/>
          <w14:textFill>
            <w14:solidFill>
              <w14:schemeClr w14:val="tx1"/>
            </w14:solidFill>
          </w14:textFill>
        </w:rPr>
        <w:t>Meta分析结果显示天麻钩藤饮结合西医常规治疗在提高重度子痫前期患者临床总有效率</w:t>
      </w:r>
      <w:r>
        <w:rPr>
          <w:rFonts w:ascii="Times New Roman" w:hAnsi="Times New Roman" w:eastAsiaTheme="majorEastAsia"/>
          <w:color w:val="000000" w:themeColor="text1"/>
          <w:vertAlign w:val="superscript"/>
          <w14:textFill>
            <w14:solidFill>
              <w14:schemeClr w14:val="tx1"/>
            </w14:solidFill>
          </w14:textFill>
        </w:rPr>
        <w:t>[19-21]</w:t>
      </w:r>
      <w:r>
        <w:rPr>
          <w:rFonts w:ascii="Times New Roman" w:hAnsi="Times New Roman" w:eastAsiaTheme="majorEastAsia"/>
          <w:color w:val="000000" w:themeColor="text1"/>
          <w14:textFill>
            <w14:solidFill>
              <w14:schemeClr w14:val="tx1"/>
            </w14:solidFill>
          </w14:textFill>
        </w:rPr>
        <w:t>、降低尿蛋白</w:t>
      </w:r>
      <w:r>
        <w:rPr>
          <w:rFonts w:ascii="Times New Roman" w:hAnsi="Times New Roman" w:eastAsiaTheme="majorEastAsia"/>
          <w:color w:val="000000" w:themeColor="text1"/>
          <w:vertAlign w:val="superscript"/>
          <w14:textFill>
            <w14:solidFill>
              <w14:schemeClr w14:val="tx1"/>
            </w14:solidFill>
          </w14:textFill>
        </w:rPr>
        <w:t>[20]</w:t>
      </w:r>
      <w:r>
        <w:rPr>
          <w:rFonts w:ascii="Times New Roman" w:hAnsi="Times New Roman" w:eastAsiaTheme="majorEastAsia"/>
          <w:color w:val="000000" w:themeColor="text1"/>
          <w14:textFill>
            <w14:solidFill>
              <w14:schemeClr w14:val="tx1"/>
            </w14:solidFill>
          </w14:textFill>
        </w:rPr>
        <w:t>方面优于西医常规治疗（RR 1.20[95%CI:1.09,1.32]，</w:t>
      </w:r>
      <w:r>
        <w:rPr>
          <w:rFonts w:ascii="Times New Roman" w:hAnsi="Times New Roman" w:eastAsiaTheme="majorEastAsia"/>
          <w:i/>
          <w:iCs/>
          <w:color w:val="000000" w:themeColor="text1"/>
          <w14:textFill>
            <w14:solidFill>
              <w14:schemeClr w14:val="tx1"/>
            </w14:solidFill>
          </w14:textFill>
        </w:rPr>
        <w:t>P</w:t>
      </w:r>
      <w:r>
        <w:rPr>
          <w:rFonts w:ascii="Times New Roman" w:hAnsi="Times New Roman" w:eastAsiaTheme="majorEastAsia"/>
          <w:color w:val="000000" w:themeColor="text1"/>
          <w14:textFill>
            <w14:solidFill>
              <w14:schemeClr w14:val="tx1"/>
            </w14:solidFill>
          </w14:textFill>
        </w:rPr>
        <w:t>=0.000 2；MD 0.52[95%CI:0.42,0.62]，</w:t>
      </w:r>
      <w:r>
        <w:rPr>
          <w:rFonts w:ascii="Times New Roman" w:hAnsi="Times New Roman" w:eastAsiaTheme="majorEastAsia"/>
          <w:i/>
          <w:iCs/>
          <w:color w:val="000000" w:themeColor="text1"/>
          <w14:textFill>
            <w14:solidFill>
              <w14:schemeClr w14:val="tx1"/>
            </w14:solidFill>
          </w14:textFill>
        </w:rPr>
        <w:t>P</w:t>
      </w:r>
      <w:r>
        <w:rPr>
          <w:rFonts w:ascii="Times New Roman" w:hAnsi="Times New Roman" w:eastAsiaTheme="majorEastAsia"/>
          <w:color w:val="000000" w:themeColor="text1"/>
          <w14:textFill>
            <w14:solidFill>
              <w14:schemeClr w14:val="tx1"/>
            </w14:solidFill>
          </w14:textFill>
        </w:rPr>
        <w:t>＜0.000 01），两组不良反应发生率</w:t>
      </w:r>
      <w:r>
        <w:rPr>
          <w:rFonts w:ascii="Times New Roman" w:hAnsi="Times New Roman" w:eastAsiaTheme="majorEastAsia"/>
          <w:color w:val="000000" w:themeColor="text1"/>
          <w:vertAlign w:val="superscript"/>
          <w14:textFill>
            <w14:solidFill>
              <w14:schemeClr w14:val="tx1"/>
            </w14:solidFill>
          </w14:textFill>
        </w:rPr>
        <w:t>[19,20]</w:t>
      </w:r>
      <w:r>
        <w:rPr>
          <w:rFonts w:ascii="Times New Roman" w:hAnsi="Times New Roman" w:eastAsiaTheme="majorEastAsia"/>
          <w:color w:val="000000" w:themeColor="text1"/>
          <w14:textFill>
            <w14:solidFill>
              <w14:schemeClr w14:val="tx1"/>
            </w14:solidFill>
          </w14:textFill>
        </w:rPr>
        <w:t>方面差异无统计学意义（RR 1.50[95%CI:0.44,5.17]，</w:t>
      </w:r>
      <w:r>
        <w:rPr>
          <w:rFonts w:ascii="Times New Roman" w:hAnsi="Times New Roman" w:eastAsiaTheme="majorEastAsia"/>
          <w:i/>
          <w:iCs/>
          <w:color w:val="000000" w:themeColor="text1"/>
          <w14:textFill>
            <w14:solidFill>
              <w14:schemeClr w14:val="tx1"/>
            </w14:solidFill>
          </w14:textFill>
        </w:rPr>
        <w:t>P</w:t>
      </w:r>
      <w:r>
        <w:rPr>
          <w:rFonts w:ascii="Times New Roman" w:hAnsi="Times New Roman" w:eastAsiaTheme="majorEastAsia"/>
          <w:color w:val="000000" w:themeColor="text1"/>
          <w14:textFill>
            <w14:solidFill>
              <w14:schemeClr w14:val="tx1"/>
            </w14:solidFill>
          </w14:textFill>
        </w:rPr>
        <w:t>=0.52）。</w:t>
      </w:r>
    </w:p>
    <w:p w14:paraId="3D00AD0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Meta分析结果显示，羚角钩藤汤结合西医常规治疗在改善重度子痫前期患者头晕头痛症状、延长妊娠周数方面优于西医常规治疗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[22,23]</w:t>
      </w:r>
      <w:r>
        <w:rPr>
          <w:rFonts w:ascii="Times New Roman" w:hAnsi="Times New Roman" w:cs="Times New Roman" w:eastAsiaTheme="majorEastAsia"/>
          <w:color w:val="000000" w:themeColor="text1"/>
          <w:sz w:val="21"/>
          <w:szCs w:val="21"/>
          <w14:textFill>
            <w14:solidFill>
              <w14:schemeClr w14:val="tx1"/>
            </w14:solidFill>
          </w14:textFill>
        </w:rPr>
        <w:t>（MD -0.53[95%CI:-0.61,-0.45]，</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-1.77 [95%CI:-2.16,-1.38]，</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01）。降低收缩压、舒张压、妊娠并发症（胎盘早剥、低蛋白血症、胎儿窘迫）及产后出血发生率方面优于西医常规治疗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[22]</w:t>
      </w:r>
      <w:r>
        <w:rPr>
          <w:rFonts w:ascii="Times New Roman" w:hAnsi="Times New Roman" w:cs="Times New Roman" w:eastAsiaTheme="majorEastAsia"/>
          <w:color w:val="000000" w:themeColor="text1"/>
          <w:sz w:val="21"/>
          <w:szCs w:val="21"/>
          <w14:textFill>
            <w14:solidFill>
              <w14:schemeClr w14:val="tx1"/>
            </w14:solidFill>
          </w14:textFill>
        </w:rPr>
        <w:t>（MD -10.52[95%CI:-15.68,-5.36]，</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1；MD -7.84[95%CI:-11.11,-4.57]，</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01；RR 0.42[95%CI:0.22,0.80]，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=0.009；RR 0.30[95%CI:0.10,0.90]，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=0.03）。提升临床总有效率、降低平均动脉压方面优于西医常规治疗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[23]</w:t>
      </w:r>
      <w:r>
        <w:rPr>
          <w:rFonts w:ascii="Times New Roman" w:hAnsi="Times New Roman" w:cs="Times New Roman" w:eastAsiaTheme="majorEastAsia"/>
          <w:color w:val="000000" w:themeColor="text1"/>
          <w:sz w:val="21"/>
          <w:szCs w:val="21"/>
          <w14:textFill>
            <w14:solidFill>
              <w14:schemeClr w14:val="tx1"/>
            </w14:solidFill>
          </w14:textFill>
        </w:rPr>
        <w:t>（RR 1.25[95%CI:1.04,1.50]，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=0.02；MD -6.93[95%CI:-10.17,-3.69]，</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1）。在降低产后出血量方面</w:t>
      </w:r>
      <w:r>
        <w:rPr>
          <w:rFonts w:hint="eastAsia" w:ascii="Times New Roman" w:hAnsi="Times New Roman" w:cs="Times New Roman" w:eastAsiaTheme="majorEastAsia"/>
          <w:color w:val="000000" w:themeColor="text1"/>
          <w:sz w:val="21"/>
          <w:szCs w:val="21"/>
          <w14:textFill>
            <w14:solidFill>
              <w14:schemeClr w14:val="tx1"/>
            </w14:solidFill>
          </w14:textFill>
        </w:rPr>
        <w:t>两</w:t>
      </w:r>
      <w:r>
        <w:rPr>
          <w:rFonts w:ascii="Times New Roman" w:hAnsi="Times New Roman" w:cs="Times New Roman" w:eastAsiaTheme="majorEastAsia"/>
          <w:color w:val="000000" w:themeColor="text1"/>
          <w:sz w:val="21"/>
          <w:szCs w:val="21"/>
          <w14:textFill>
            <w14:solidFill>
              <w14:schemeClr w14:val="tx1"/>
            </w14:solidFill>
          </w14:textFill>
        </w:rPr>
        <w:t>组差异无统计学意义</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[23]</w:t>
      </w:r>
      <w:r>
        <w:rPr>
          <w:rFonts w:ascii="Times New Roman" w:hAnsi="Times New Roman" w:cs="Times New Roman" w:eastAsiaTheme="majorEastAsia"/>
          <w:color w:val="000000" w:themeColor="text1"/>
          <w:sz w:val="21"/>
          <w:szCs w:val="21"/>
          <w14:textFill>
            <w14:solidFill>
              <w14:schemeClr w14:val="tx1"/>
            </w14:solidFill>
          </w14:textFill>
        </w:rPr>
        <w:t>（MD 0.88[95%CI:-0.85,10.61]，</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=0.86）。</w:t>
      </w:r>
    </w:p>
    <w:p w14:paraId="5DFA1D63">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7" w:name="_Toc1828305100"/>
      <w:r>
        <w:rPr>
          <w:rFonts w:ascii="Times New Roman" w:hAnsi="Times New Roman" w:cs="Times New Roman" w:eastAsiaTheme="majorEastAsia"/>
          <w:b/>
          <w:bCs/>
          <w:color w:val="000000" w:themeColor="text1"/>
          <w:szCs w:val="21"/>
          <w14:textFill>
            <w14:solidFill>
              <w14:schemeClr w14:val="tx1"/>
            </w14:solidFill>
          </w14:textFill>
        </w:rPr>
        <w:t>6.6 临床问题5：适用于治疗子痫前期脾虚肝旺证的方剂包括哪些，疗效如何</w:t>
      </w:r>
      <w:bookmarkEnd w:id="77"/>
      <w:r>
        <w:rPr>
          <w:rFonts w:hint="eastAsia" w:ascii="Times New Roman" w:hAnsi="Times New Roman" w:cs="Times New Roman" w:eastAsiaTheme="majorEastAsia"/>
          <w:b/>
          <w:bCs/>
          <w:color w:val="000000" w:themeColor="text1"/>
          <w:szCs w:val="21"/>
          <w14:textFill>
            <w14:solidFill>
              <w14:schemeClr w14:val="tx1"/>
            </w14:solidFill>
          </w14:textFill>
        </w:rPr>
        <w:t>。</w:t>
      </w:r>
    </w:p>
    <w:p w14:paraId="5F463BE0">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治则：</w:t>
      </w:r>
      <w:r>
        <w:rPr>
          <w:rFonts w:ascii="Times New Roman" w:hAnsi="Times New Roman" w:cs="Times New Roman" w:eastAsiaTheme="majorEastAsia"/>
          <w:color w:val="000000" w:themeColor="text1"/>
          <w:sz w:val="21"/>
          <w:szCs w:val="21"/>
          <w14:textFill>
            <w14:solidFill>
              <w14:schemeClr w14:val="tx1"/>
            </w14:solidFill>
          </w14:textFill>
        </w:rPr>
        <w:t xml:space="preserve">健脾利湿，平肝潜阳 </w:t>
      </w:r>
    </w:p>
    <w:p w14:paraId="2473E335">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推荐用药：</w:t>
      </w:r>
      <w:r>
        <w:rPr>
          <w:rFonts w:ascii="Times New Roman" w:hAnsi="Times New Roman" w:cs="Times New Roman" w:eastAsiaTheme="majorEastAsia"/>
          <w:color w:val="000000" w:themeColor="text1"/>
          <w:sz w:val="21"/>
          <w:szCs w:val="21"/>
          <w14:textFill>
            <w14:solidFill>
              <w14:schemeClr w14:val="tx1"/>
            </w14:solidFill>
          </w14:textFill>
        </w:rPr>
        <w:t>半夏白术天麻汤（《医学新悟》）</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w:t>
      </w:r>
      <w:r>
        <w:rPr>
          <w:rFonts w:ascii="Times New Roman" w:hAnsi="Times New Roman" w:cs="Times New Roman" w:eastAsiaTheme="majorEastAsia"/>
          <w:color w:val="000000" w:themeColor="text1"/>
          <w:sz w:val="21"/>
          <w:szCs w:val="21"/>
          <w14:textFill>
            <w14:solidFill>
              <w14:schemeClr w14:val="tx1"/>
            </w14:solidFill>
          </w14:textFill>
        </w:rPr>
        <w:t>（证据等级：</w:t>
      </w:r>
      <w:r>
        <w:rPr>
          <w:rFonts w:hint="eastAsia" w:ascii="Times New Roman" w:hAnsi="Times New Roman" w:cs="Times New Roman" w:eastAsiaTheme="majorEastAsia"/>
          <w:color w:val="000000" w:themeColor="text1"/>
          <w:sz w:val="21"/>
          <w:szCs w:val="21"/>
          <w14:textFill>
            <w14:solidFill>
              <w14:schemeClr w14:val="tx1"/>
            </w14:solidFill>
          </w14:textFill>
        </w:rPr>
        <w:t>D</w:t>
      </w:r>
      <w:r>
        <w:rPr>
          <w:rFonts w:ascii="Times New Roman" w:hAnsi="Times New Roman" w:cs="Times New Roman" w:eastAsiaTheme="majorEastAsia"/>
          <w:color w:val="000000" w:themeColor="text1"/>
          <w:sz w:val="21"/>
          <w:szCs w:val="21"/>
          <w14:textFill>
            <w14:solidFill>
              <w14:schemeClr w14:val="tx1"/>
            </w14:solidFill>
          </w14:textFill>
        </w:rPr>
        <w:t>，强推荐）</w:t>
      </w:r>
      <w:r>
        <w:rPr>
          <w:rFonts w:hint="eastAsia" w:ascii="Times New Roman" w:hAnsi="Times New Roman" w:cs="Times New Roman" w:eastAsiaTheme="majorEastAsia"/>
          <w:color w:val="000000" w:themeColor="text1"/>
          <w:sz w:val="21"/>
          <w:szCs w:val="21"/>
          <w14:textFill>
            <w14:solidFill>
              <w14:schemeClr w14:val="tx1"/>
            </w14:solidFill>
          </w14:textFill>
        </w:rPr>
        <w:t>可有效治疗子痫前期脾虚肝旺证，</w:t>
      </w:r>
      <w:r>
        <w:rPr>
          <w:rFonts w:ascii="Times New Roman" w:hAnsi="Times New Roman" w:cs="Times New Roman" w:eastAsiaTheme="majorEastAsia"/>
          <w:color w:val="000000" w:themeColor="text1"/>
          <w:sz w:val="21"/>
          <w:szCs w:val="21"/>
          <w14:textFill>
            <w14:solidFill>
              <w14:schemeClr w14:val="tx1"/>
            </w14:solidFill>
          </w14:textFill>
        </w:rPr>
        <w:t>基本用药：半夏、白术、天麻、陈皮、茯苓、炙甘草、蔓荆子、生姜、大枣</w:t>
      </w:r>
      <w:r>
        <w:rPr>
          <w:rFonts w:hint="eastAsia" w:ascii="Times New Roman" w:hAnsi="Times New Roman" w:cs="Times New Roman" w:eastAsiaTheme="majorEastAsia"/>
          <w:color w:val="000000" w:themeColor="text1"/>
          <w:sz w:val="21"/>
          <w:szCs w:val="21"/>
          <w14:textFill>
            <w14:solidFill>
              <w14:schemeClr w14:val="tx1"/>
            </w14:solidFill>
          </w14:textFill>
        </w:rPr>
        <w:t>。</w:t>
      </w:r>
    </w:p>
    <w:p w14:paraId="0CE03223">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2021年全国中医药行业高等教育</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十四五</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规划教材《中医妇科学》子晕一病中关于</w:t>
      </w:r>
      <w:r>
        <w:rPr>
          <w:rFonts w:hint="eastAsia" w:ascii="Times New Roman" w:hAnsi="Times New Roman" w:cs="Times New Roman" w:eastAsiaTheme="majorEastAsia"/>
          <w:color w:val="000000" w:themeColor="text1"/>
          <w:sz w:val="21"/>
          <w:szCs w:val="21"/>
          <w14:textFill>
            <w14:solidFill>
              <w14:schemeClr w14:val="tx1"/>
            </w14:solidFill>
          </w14:textFill>
        </w:rPr>
        <w:t>脾虚肝旺</w:t>
      </w:r>
      <w:r>
        <w:rPr>
          <w:rFonts w:ascii="Times New Roman" w:hAnsi="Times New Roman" w:cs="Times New Roman" w:eastAsiaTheme="majorEastAsia"/>
          <w:color w:val="000000" w:themeColor="text1"/>
          <w:sz w:val="21"/>
          <w:szCs w:val="21"/>
          <w14:textFill>
            <w14:solidFill>
              <w14:schemeClr w14:val="tx1"/>
            </w14:solidFill>
          </w14:textFill>
        </w:rPr>
        <w:t>证推荐方剂为</w:t>
      </w:r>
      <w:r>
        <w:rPr>
          <w:rFonts w:hint="eastAsia" w:ascii="Times New Roman" w:hAnsi="Times New Roman" w:cs="Times New Roman" w:eastAsiaTheme="majorEastAsia"/>
          <w:color w:val="000000" w:themeColor="text1"/>
          <w:sz w:val="21"/>
          <w:szCs w:val="21"/>
          <w14:textFill>
            <w14:solidFill>
              <w14:schemeClr w14:val="tx1"/>
            </w14:solidFill>
          </w14:textFill>
        </w:rPr>
        <w:t>半夏白术天麻汤</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7</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。Meta分析结果显示，半夏白术天麻汤结合西医常规治疗在改善子痫前期患者收缩压、舒张压、尿蛋白水平方面优于西医常规治疗</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4</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（MD -17.48[95%CI:-21.12,-13.84]，</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-11.13[95%CI:-13.24,-9.02]，</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01；MD -1.09[95%CI:-1.54,-0.64]，</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 01）。半夏白术天麻汤在提高子痫前期患者临床总有效率方面与口服地西泮片/硝苯地平缓释片疗效相当</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1</w:t>
      </w:r>
      <w:r>
        <w:rPr>
          <w:rFonts w:ascii="Times New Roman" w:hAnsi="Times New Roman" w:cs="Times New Roman" w:eastAsiaTheme="majorEastAsia"/>
          <w:color w:val="000000" w:themeColor="text1"/>
          <w:sz w:val="21"/>
          <w:szCs w:val="21"/>
          <w:vertAlign w:val="superscript"/>
          <w14:textFill>
            <w14:solidFill>
              <w14:schemeClr w14:val="tx1"/>
            </w14:solidFill>
          </w14:textFill>
        </w:rPr>
        <w:t>8]</w:t>
      </w:r>
      <w:r>
        <w:rPr>
          <w:rFonts w:ascii="Times New Roman" w:hAnsi="Times New Roman" w:cs="Times New Roman" w:eastAsiaTheme="majorEastAsia"/>
          <w:color w:val="000000" w:themeColor="text1"/>
          <w:sz w:val="21"/>
          <w:szCs w:val="21"/>
          <w14:textFill>
            <w14:solidFill>
              <w14:schemeClr w14:val="tx1"/>
            </w14:solidFill>
          </w14:textFill>
        </w:rPr>
        <w:t>（RR 2.71[95%CI:0.49,14.90]，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=0.25），两组不良反应发生率差异无统计学意义（RR 4.33[95%CI:0.46,40.61]，</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=0.20）。</w:t>
      </w:r>
    </w:p>
    <w:p w14:paraId="0FF01FF1">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8" w:name="_Toc2127794424"/>
      <w:r>
        <w:rPr>
          <w:rFonts w:ascii="Times New Roman" w:hAnsi="Times New Roman" w:cs="Times New Roman" w:eastAsiaTheme="majorEastAsia"/>
          <w:b/>
          <w:bCs/>
          <w:color w:val="000000" w:themeColor="text1"/>
          <w:szCs w:val="21"/>
          <w14:textFill>
            <w14:solidFill>
              <w14:schemeClr w14:val="tx1"/>
            </w14:solidFill>
          </w14:textFill>
        </w:rPr>
        <w:t>6.7 临床问题6：非药物疗法治疗子痫前期疗效如何</w:t>
      </w:r>
      <w:bookmarkEnd w:id="78"/>
      <w:r>
        <w:rPr>
          <w:rFonts w:hint="eastAsia" w:ascii="Times New Roman" w:hAnsi="Times New Roman" w:cs="Times New Roman" w:eastAsiaTheme="majorEastAsia"/>
          <w:b/>
          <w:bCs/>
          <w:color w:val="000000" w:themeColor="text1"/>
          <w:szCs w:val="21"/>
          <w14:textFill>
            <w14:solidFill>
              <w14:schemeClr w14:val="tx1"/>
            </w14:solidFill>
          </w14:textFill>
        </w:rPr>
        <w:t>。</w:t>
      </w:r>
    </w:p>
    <w:p w14:paraId="0A060F03">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推荐方式：</w:t>
      </w:r>
      <w:r>
        <w:rPr>
          <w:rFonts w:ascii="Times New Roman" w:hAnsi="Times New Roman" w:cs="Times New Roman" w:eastAsiaTheme="majorEastAsia"/>
          <w:color w:val="000000" w:themeColor="text1"/>
          <w:sz w:val="21"/>
          <w:szCs w:val="21"/>
          <w14:textFill>
            <w14:solidFill>
              <w14:schemeClr w14:val="tx1"/>
            </w14:solidFill>
          </w14:textFill>
        </w:rPr>
        <w:t>穴位按摩</w:t>
      </w:r>
      <w:r>
        <w:rPr>
          <w:rFonts w:hint="eastAsia" w:ascii="Times New Roman" w:hAnsi="Times New Roman" w:cs="Times New Roman" w:eastAsiaTheme="majorEastAsia"/>
          <w:color w:val="000000" w:themeColor="text1"/>
          <w:sz w:val="21"/>
          <w:szCs w:val="21"/>
          <w14:textFill>
            <w14:solidFill>
              <w14:schemeClr w14:val="tx1"/>
            </w14:solidFill>
          </w14:textFill>
        </w:rPr>
        <w:t>结合西医常规治疗</w:t>
      </w:r>
      <w:r>
        <w:rPr>
          <w:rFonts w:ascii="Times New Roman" w:hAnsi="Times New Roman" w:cs="Times New Roman" w:eastAsiaTheme="majorEastAsia"/>
          <w:color w:val="000000" w:themeColor="text1"/>
          <w:sz w:val="21"/>
          <w:szCs w:val="21"/>
          <w14:textFill>
            <w14:solidFill>
              <w14:schemeClr w14:val="tx1"/>
            </w14:solidFill>
          </w14:textFill>
        </w:rPr>
        <w:t>（证据等级：</w:t>
      </w:r>
      <w:r>
        <w:rPr>
          <w:rFonts w:hint="eastAsia" w:ascii="Times New Roman" w:hAnsi="Times New Roman" w:cs="Times New Roman" w:eastAsiaTheme="majorEastAsia"/>
          <w:color w:val="000000" w:themeColor="text1"/>
          <w:sz w:val="21"/>
          <w:szCs w:val="21"/>
          <w14:textFill>
            <w14:solidFill>
              <w14:schemeClr w14:val="tx1"/>
            </w14:solidFill>
          </w14:textFill>
        </w:rPr>
        <w:t>C</w:t>
      </w:r>
      <w:r>
        <w:rPr>
          <w:rFonts w:ascii="Times New Roman" w:hAnsi="Times New Roman" w:cs="Times New Roman" w:eastAsiaTheme="majorEastAsia"/>
          <w:color w:val="000000" w:themeColor="text1"/>
          <w:sz w:val="21"/>
          <w:szCs w:val="21"/>
          <w14:textFill>
            <w14:solidFill>
              <w14:schemeClr w14:val="tx1"/>
            </w14:solidFill>
          </w14:textFill>
        </w:rPr>
        <w:t>，强推荐）</w:t>
      </w:r>
      <w:r>
        <w:rPr>
          <w:rFonts w:hint="eastAsia" w:ascii="Times New Roman" w:hAnsi="Times New Roman" w:cs="Times New Roman" w:eastAsiaTheme="majorEastAsia"/>
          <w:color w:val="000000" w:themeColor="text1"/>
          <w:sz w:val="21"/>
          <w:szCs w:val="21"/>
          <w14:textFill>
            <w14:solidFill>
              <w14:schemeClr w14:val="tx1"/>
            </w14:solidFill>
          </w14:textFill>
        </w:rPr>
        <w:t>可有效治疗子痫前期，</w:t>
      </w:r>
      <w:r>
        <w:rPr>
          <w:rFonts w:ascii="Times New Roman" w:hAnsi="Times New Roman" w:cs="Times New Roman" w:eastAsiaTheme="majorEastAsia"/>
          <w:color w:val="000000" w:themeColor="text1"/>
          <w:sz w:val="21"/>
          <w:szCs w:val="21"/>
          <w14:textFill>
            <w14:solidFill>
              <w14:schemeClr w14:val="tx1"/>
            </w14:solidFill>
          </w14:textFill>
        </w:rPr>
        <w:t>按摩穴位：天门穴、印堂穴、神庭穴、坎宫穴、太阳穴、攒竹穴、百会穴、风府穴、肩井穴、风池穴、安眠穴、内关穴、神门穴、三阴交穴</w:t>
      </w:r>
      <w:r>
        <w:rPr>
          <w:rFonts w:hint="eastAsia" w:ascii="Times New Roman" w:hAnsi="Times New Roman" w:cs="Times New Roman" w:eastAsiaTheme="majorEastAsia"/>
          <w:color w:val="000000" w:themeColor="text1"/>
          <w:sz w:val="21"/>
          <w:szCs w:val="21"/>
          <w14:textFill>
            <w14:solidFill>
              <w14:schemeClr w14:val="tx1"/>
            </w14:solidFill>
          </w14:textFill>
        </w:rPr>
        <w:t>。</w:t>
      </w:r>
    </w:p>
    <w:p w14:paraId="257A8AE2">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操作手法频率：</w:t>
      </w:r>
      <w:r>
        <w:rPr>
          <w:rFonts w:ascii="Times New Roman" w:hAnsi="Times New Roman" w:cs="Times New Roman" w:eastAsiaTheme="majorEastAsia"/>
          <w:color w:val="000000" w:themeColor="text1"/>
          <w:sz w:val="21"/>
          <w:szCs w:val="21"/>
          <w14:textFill>
            <w14:solidFill>
              <w14:schemeClr w14:val="tx1"/>
            </w14:solidFill>
          </w14:textFill>
        </w:rPr>
        <w:t>采用推、按揉、点穴、点压、啄、拿捏按摩法等，20～30分钟/次，日1次，2个月。</w:t>
      </w:r>
    </w:p>
    <w:p w14:paraId="692EBAB1">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 xml:space="preserve"> Meta分析结果显示</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5</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6</w:t>
      </w:r>
      <w:r>
        <w:rPr>
          <w:rFonts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，穴位按摩结合西医常规治疗在降低子痫前期患者收缩压、舒张压、睡眠质量指数疗效优于西医常规治疗（MD -10.73[95%CI:-12.42,-9.03]，</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＜0.00001；MD -6.78[95%CI:-7.74,-5.82]，</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＜0.00001；MD -4.08[95%CI:-4.14,-4.01]，</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＜0.00001）</w:t>
      </w:r>
      <w:r>
        <w:rPr>
          <w:rFonts w:hint="eastAsia" w:ascii="Times New Roman" w:hAnsi="Times New Roman" w:cs="Times New Roman" w:eastAsiaTheme="majorEastAsia"/>
          <w:color w:val="000000" w:themeColor="text1"/>
          <w:sz w:val="21"/>
          <w:szCs w:val="21"/>
          <w14:textFill>
            <w14:solidFill>
              <w14:schemeClr w14:val="tx1"/>
            </w14:solidFill>
          </w14:textFill>
        </w:rPr>
        <w:t>。</w:t>
      </w:r>
      <w:r>
        <w:rPr>
          <w:rFonts w:ascii="Times New Roman" w:hAnsi="Times New Roman" w:cs="Times New Roman" w:eastAsiaTheme="majorEastAsia"/>
          <w:color w:val="000000" w:themeColor="text1"/>
          <w:sz w:val="21"/>
          <w:szCs w:val="21"/>
          <w14:textFill>
            <w14:solidFill>
              <w14:schemeClr w14:val="tx1"/>
            </w14:solidFill>
          </w14:textFill>
        </w:rPr>
        <w:t>穴位按摩结合西医常规治疗在提高子痫前期患者</w:t>
      </w:r>
      <w:r>
        <w:rPr>
          <w:rFonts w:hint="eastAsia" w:ascii="Times New Roman" w:hAnsi="Times New Roman" w:cs="Times New Roman" w:eastAsiaTheme="majorEastAsia"/>
          <w:color w:val="000000" w:themeColor="text1"/>
          <w:sz w:val="21"/>
          <w:szCs w:val="21"/>
          <w14:textFill>
            <w14:solidFill>
              <w14:schemeClr w14:val="tx1"/>
            </w14:solidFill>
          </w14:textFill>
        </w:rPr>
        <w:t>治疗</w:t>
      </w:r>
      <w:r>
        <w:rPr>
          <w:rFonts w:ascii="Times New Roman" w:hAnsi="Times New Roman" w:cs="Times New Roman" w:eastAsiaTheme="majorEastAsia"/>
          <w:color w:val="000000" w:themeColor="text1"/>
          <w:sz w:val="21"/>
          <w:szCs w:val="21"/>
          <w14:textFill>
            <w14:solidFill>
              <w14:schemeClr w14:val="tx1"/>
            </w14:solidFill>
          </w14:textFill>
        </w:rPr>
        <w:t>满意度组间比较无统计学差异</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[27]</w:t>
      </w:r>
      <w:r>
        <w:rPr>
          <w:rFonts w:ascii="Times New Roman" w:hAnsi="Times New Roman" w:cs="Times New Roman" w:eastAsiaTheme="majorEastAsia"/>
          <w:color w:val="000000" w:themeColor="text1"/>
          <w:sz w:val="21"/>
          <w:szCs w:val="21"/>
          <w14:textFill>
            <w14:solidFill>
              <w14:schemeClr w14:val="tx1"/>
            </w14:solidFill>
          </w14:textFill>
        </w:rPr>
        <w:t>（RR 1.13[95%CI:1.00,1.28]，</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 xml:space="preserve"> =0.05）。</w:t>
      </w:r>
    </w:p>
    <w:p w14:paraId="40BD1A27">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79" w:name="_Toc1943194324"/>
      <w:r>
        <w:rPr>
          <w:rFonts w:ascii="Times New Roman" w:hAnsi="Times New Roman" w:cs="Times New Roman" w:eastAsiaTheme="majorEastAsia"/>
          <w:b/>
          <w:bCs/>
          <w:color w:val="000000" w:themeColor="text1"/>
          <w:szCs w:val="21"/>
          <w14:textFill>
            <w14:solidFill>
              <w14:schemeClr w14:val="tx1"/>
            </w14:solidFill>
          </w14:textFill>
        </w:rPr>
        <w:t>6.8 临床问题7：中医疗法治疗子痫前期的安全性如何</w:t>
      </w:r>
      <w:bookmarkEnd w:id="79"/>
      <w:r>
        <w:rPr>
          <w:rFonts w:hint="eastAsia" w:ascii="Times New Roman" w:hAnsi="Times New Roman" w:cs="Times New Roman" w:eastAsiaTheme="majorEastAsia"/>
          <w:b/>
          <w:bCs/>
          <w:color w:val="000000" w:themeColor="text1"/>
          <w:szCs w:val="21"/>
          <w14:textFill>
            <w14:solidFill>
              <w14:schemeClr w14:val="tx1"/>
            </w14:solidFill>
          </w14:textFill>
        </w:rPr>
        <w:t>。</w:t>
      </w:r>
    </w:p>
    <w:p w14:paraId="31A11BB1">
      <w:pPr>
        <w:pStyle w:val="34"/>
        <w:spacing w:line="360" w:lineRule="exact"/>
        <w:ind w:firstLine="428"/>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推荐意见：</w:t>
      </w:r>
      <w:r>
        <w:rPr>
          <w:rFonts w:ascii="Times New Roman" w:hAnsi="Times New Roman" w:cs="Times New Roman" w:eastAsiaTheme="majorEastAsia"/>
          <w:color w:val="000000" w:themeColor="text1"/>
          <w:sz w:val="21"/>
          <w:szCs w:val="21"/>
          <w14:textFill>
            <w14:solidFill>
              <w14:schemeClr w14:val="tx1"/>
            </w14:solidFill>
          </w14:textFill>
        </w:rPr>
        <w:t>中医疗法联合西医常规治疗PE安全性较好</w:t>
      </w:r>
      <w:r>
        <w:rPr>
          <w:rFonts w:hint="eastAsia" w:ascii="Times New Roman" w:hAnsi="Times New Roman" w:cs="Times New Roman" w:eastAsiaTheme="majorEastAsia"/>
          <w:color w:val="000000" w:themeColor="text1"/>
          <w:sz w:val="21"/>
          <w:szCs w:val="21"/>
          <w14:textFill>
            <w14:solidFill>
              <w14:schemeClr w14:val="tx1"/>
            </w14:solidFill>
          </w14:textFill>
        </w:rPr>
        <w:t>（专家共识度</w:t>
      </w:r>
      <w:r>
        <w:rPr>
          <w:rFonts w:ascii="Times New Roman" w:hAnsi="Times New Roman" w:cs="Times New Roman" w:eastAsiaTheme="majorEastAsia"/>
          <w:color w:val="000000" w:themeColor="text1"/>
          <w:sz w:val="21"/>
          <w:szCs w:val="21"/>
          <w14:textFill>
            <w14:solidFill>
              <w14:schemeClr w14:val="tx1"/>
            </w14:solidFill>
          </w14:textFill>
        </w:rPr>
        <w:t>100%</w:t>
      </w:r>
      <w:r>
        <w:rPr>
          <w:rFonts w:hint="eastAsia" w:ascii="Times New Roman" w:hAnsi="Times New Roman" w:cs="Times New Roman" w:eastAsiaTheme="majorEastAsia"/>
          <w:color w:val="000000" w:themeColor="text1"/>
          <w:sz w:val="21"/>
          <w:szCs w:val="21"/>
          <w14:textFill>
            <w14:solidFill>
              <w14:schemeClr w14:val="tx1"/>
            </w14:solidFill>
          </w14:textFill>
        </w:rPr>
        <w:t>）。</w:t>
      </w:r>
    </w:p>
    <w:p w14:paraId="0CB020C2">
      <w:pPr>
        <w:pStyle w:val="34"/>
        <w:spacing w:line="360" w:lineRule="exact"/>
        <w:ind w:firstLine="428"/>
        <w:rPr>
          <w:rFonts w:ascii="Times New Roman" w:hAnsi="Times New Roman" w:cs="Times New Roman" w:eastAsiaTheme="majorEastAsia"/>
          <w:strike/>
          <w:color w:val="000000" w:themeColor="text1"/>
          <w:sz w:val="21"/>
          <w:szCs w:val="21"/>
          <w14:textFill>
            <w14:solidFill>
              <w14:schemeClr w14:val="tx1"/>
            </w14:solidFill>
          </w14:textFill>
        </w:rPr>
      </w:pPr>
      <w:r>
        <w:rPr>
          <w:rFonts w:ascii="Times New Roman" w:hAnsi="Times New Roman" w:cs="Times New Roman" w:eastAsiaTheme="majorEastAsia"/>
          <w:b/>
          <w:bCs/>
          <w:color w:val="000000" w:themeColor="text1"/>
          <w:sz w:val="21"/>
          <w:szCs w:val="21"/>
          <w14:textFill>
            <w14:solidFill>
              <w14:schemeClr w14:val="tx1"/>
            </w14:solidFill>
          </w14:textFill>
        </w:rPr>
        <w:t>证据描述：</w:t>
      </w:r>
      <w:r>
        <w:rPr>
          <w:rFonts w:ascii="Times New Roman" w:hAnsi="Times New Roman" w:cs="Times New Roman" w:eastAsiaTheme="majorEastAsia"/>
          <w:color w:val="000000" w:themeColor="text1"/>
          <w:sz w:val="21"/>
          <w:szCs w:val="21"/>
          <w14:textFill>
            <w14:solidFill>
              <w14:schemeClr w14:val="tx1"/>
            </w14:solidFill>
          </w14:textFill>
        </w:rPr>
        <w:t>7项RCT</w:t>
      </w:r>
      <w:r>
        <w:rPr>
          <w:rFonts w:ascii="Times New Roman" w:hAnsi="Times New Roman" w:cs="Times New Roman" w:eastAsiaTheme="majorEastAsia"/>
          <w:color w:val="000000" w:themeColor="text1"/>
          <w:sz w:val="21"/>
          <w:szCs w:val="21"/>
          <w:vertAlign w:val="superscript"/>
          <w14:textFill>
            <w14:solidFill>
              <w14:schemeClr w14:val="tx1"/>
            </w14:solidFill>
          </w14:textFill>
        </w:rPr>
        <w:t>[8,13</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vertAlign w:val="superscript"/>
          <w14:textFill>
            <w14:solidFill>
              <w14:schemeClr w14:val="tx1"/>
            </w14:solidFill>
          </w14:textFill>
        </w:rPr>
        <w:t>15,</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1</w:t>
      </w:r>
      <w:r>
        <w:rPr>
          <w:rFonts w:ascii="Times New Roman" w:hAnsi="Times New Roman" w:cs="Times New Roman" w:eastAsiaTheme="majorEastAsia"/>
          <w:color w:val="000000" w:themeColor="text1"/>
          <w:sz w:val="21"/>
          <w:szCs w:val="21"/>
          <w:vertAlign w:val="superscript"/>
          <w14:textFill>
            <w14:solidFill>
              <w14:schemeClr w14:val="tx1"/>
            </w14:solidFill>
          </w14:textFill>
        </w:rPr>
        <w:t>8</w:t>
      </w:r>
      <w:r>
        <w:rPr>
          <w:rFonts w:hint="eastAsia" w:ascii="Times New Roman" w:hAnsi="Times New Roman" w:cs="Times New Roman" w:eastAsiaTheme="majorEastAsia"/>
          <w:color w:val="000000" w:themeColor="text1"/>
          <w:sz w:val="21"/>
          <w:szCs w:val="21"/>
          <w:vertAlign w:val="superscript"/>
          <w14:textFill>
            <w14:solidFill>
              <w14:schemeClr w14:val="tx1"/>
            </w14:solidFill>
          </w14:textFill>
        </w:rPr>
        <w:t>-</w:t>
      </w:r>
      <w:r>
        <w:rPr>
          <w:rFonts w:ascii="Times New Roman" w:hAnsi="Times New Roman" w:cs="Times New Roman" w:eastAsiaTheme="majorEastAsia"/>
          <w:color w:val="000000" w:themeColor="text1"/>
          <w:sz w:val="21"/>
          <w:szCs w:val="21"/>
          <w:vertAlign w:val="superscript"/>
          <w14:textFill>
            <w14:solidFill>
              <w14:schemeClr w14:val="tx1"/>
            </w14:solidFill>
          </w14:textFill>
        </w:rPr>
        <w:t>20]</w:t>
      </w:r>
      <w:r>
        <w:rPr>
          <w:rFonts w:ascii="Times New Roman" w:hAnsi="Times New Roman" w:cs="Times New Roman" w:eastAsiaTheme="majorEastAsia"/>
          <w:color w:val="000000" w:themeColor="text1"/>
          <w:sz w:val="21"/>
          <w:szCs w:val="21"/>
          <w14:textFill>
            <w14:solidFill>
              <w14:schemeClr w14:val="tx1"/>
            </w14:solidFill>
          </w14:textFill>
        </w:rPr>
        <w:t>提到了安全性结局，Meta分析结果显示相比于西医常规治疗，中药单独使用或中药联合西医常规治疗均未增加不良反应的发生率（RR 4.33[95%CI:0.46,40.60]，</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=0.20；RR 0.64[95%CI:0.30,1.38]，</w:t>
      </w:r>
      <w:r>
        <w:rPr>
          <w:rFonts w:ascii="Times New Roman" w:hAnsi="Times New Roman" w:cs="Times New Roman" w:eastAsiaTheme="majorEastAsia"/>
          <w:i/>
          <w:iCs/>
          <w:color w:val="000000" w:themeColor="text1"/>
          <w:sz w:val="21"/>
          <w:szCs w:val="21"/>
          <w14:textFill>
            <w14:solidFill>
              <w14:schemeClr w14:val="tx1"/>
            </w14:solidFill>
          </w14:textFill>
        </w:rPr>
        <w:t>P</w:t>
      </w:r>
      <w:r>
        <w:rPr>
          <w:rFonts w:ascii="Times New Roman" w:hAnsi="Times New Roman" w:cs="Times New Roman" w:eastAsiaTheme="majorEastAsia"/>
          <w:color w:val="000000" w:themeColor="text1"/>
          <w:sz w:val="21"/>
          <w:szCs w:val="21"/>
          <w14:textFill>
            <w14:solidFill>
              <w14:schemeClr w14:val="tx1"/>
            </w14:solidFill>
          </w14:textFill>
        </w:rPr>
        <w:t>=0.26）。</w:t>
      </w:r>
    </w:p>
    <w:p w14:paraId="5BE56294">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80" w:name="_Toc335699892"/>
      <w:r>
        <w:rPr>
          <w:rFonts w:ascii="Times New Roman" w:hAnsi="Times New Roman" w:cs="Times New Roman" w:eastAsiaTheme="majorEastAsia"/>
          <w:b/>
          <w:bCs/>
          <w:color w:val="000000" w:themeColor="text1"/>
          <w:szCs w:val="21"/>
          <w14:textFill>
            <w14:solidFill>
              <w14:schemeClr w14:val="tx1"/>
            </w14:solidFill>
          </w14:textFill>
        </w:rPr>
        <w:t>6.9 临床问题8：子痫前期的早期预警信号包括什么</w:t>
      </w:r>
      <w:bookmarkEnd w:id="80"/>
      <w:r>
        <w:rPr>
          <w:rFonts w:hint="eastAsia" w:ascii="Times New Roman" w:hAnsi="Times New Roman" w:cs="Times New Roman" w:eastAsiaTheme="majorEastAsia"/>
          <w:b/>
          <w:bCs/>
          <w:color w:val="000000" w:themeColor="text1"/>
          <w:szCs w:val="21"/>
          <w14:textFill>
            <w14:solidFill>
              <w14:schemeClr w14:val="tx1"/>
            </w14:solidFill>
          </w14:textFill>
        </w:rPr>
        <w:t>。</w:t>
      </w:r>
    </w:p>
    <w:p w14:paraId="0A03B923">
      <w:pPr>
        <w:spacing w:line="360" w:lineRule="exact"/>
        <w:ind w:firstLine="422" w:firstLineChars="200"/>
        <w:rPr>
          <w:rFonts w:ascii="Times New Roman" w:hAnsi="Times New Roman" w:eastAsiaTheme="majorEastAsia"/>
          <w:color w:val="000000" w:themeColor="text1"/>
          <w:kern w:val="0"/>
          <w14:textFill>
            <w14:solidFill>
              <w14:schemeClr w14:val="tx1"/>
            </w14:solidFill>
          </w14:textFill>
        </w:rPr>
      </w:pPr>
      <w:r>
        <w:rPr>
          <w:rFonts w:ascii="Times New Roman" w:hAnsi="Times New Roman" w:eastAsiaTheme="majorEastAsia"/>
          <w:b/>
          <w:bCs/>
          <w:color w:val="000000" w:themeColor="text1"/>
          <w:kern w:val="0"/>
          <w14:textFill>
            <w14:solidFill>
              <w14:schemeClr w14:val="tx1"/>
            </w14:solidFill>
          </w14:textFill>
        </w:rPr>
        <w:t>推荐意见：</w:t>
      </w:r>
      <w:r>
        <w:rPr>
          <w:rFonts w:ascii="Times New Roman" w:hAnsi="Times New Roman" w:eastAsiaTheme="majorEastAsia"/>
          <w:color w:val="000000" w:themeColor="text1"/>
          <w:kern w:val="0"/>
          <w14:textFill>
            <w14:solidFill>
              <w14:schemeClr w14:val="tx1"/>
            </w14:solidFill>
          </w14:textFill>
        </w:rPr>
        <w:t>水肿、眩晕、头痛、耳鸣、视物不清伴血压处于正常高限</w:t>
      </w:r>
      <w:r>
        <w:rPr>
          <w:rFonts w:hint="eastAsia" w:ascii="Times New Roman" w:hAnsi="Times New Roman" w:eastAsiaTheme="majorEastAsia"/>
          <w:color w:val="000000" w:themeColor="text1"/>
          <w14:textFill>
            <w14:solidFill>
              <w14:schemeClr w14:val="tx1"/>
            </w14:solidFill>
          </w14:textFill>
        </w:rPr>
        <w:t>（专家共识度</w:t>
      </w:r>
      <w:r>
        <w:rPr>
          <w:rFonts w:ascii="Times New Roman" w:hAnsi="Times New Roman" w:eastAsiaTheme="majorEastAsia"/>
          <w:color w:val="000000" w:themeColor="text1"/>
          <w14:textFill>
            <w14:solidFill>
              <w14:schemeClr w14:val="tx1"/>
            </w14:solidFill>
          </w14:textFill>
        </w:rPr>
        <w:t>100%</w:t>
      </w:r>
      <w:r>
        <w:rPr>
          <w:rFonts w:hint="eastAsia" w:ascii="Times New Roman" w:hAnsi="Times New Roman" w:eastAsiaTheme="majorEastAsia"/>
          <w:color w:val="000000" w:themeColor="text1"/>
          <w14:textFill>
            <w14:solidFill>
              <w14:schemeClr w14:val="tx1"/>
            </w14:solidFill>
          </w14:textFill>
        </w:rPr>
        <w:t>）</w:t>
      </w:r>
      <w:r>
        <w:rPr>
          <w:rFonts w:hint="eastAsia" w:ascii="Times New Roman" w:hAnsi="Times New Roman" w:eastAsiaTheme="majorEastAsia"/>
          <w:color w:val="000000" w:themeColor="text1"/>
          <w:kern w:val="0"/>
          <w14:textFill>
            <w14:solidFill>
              <w14:schemeClr w14:val="tx1"/>
            </w14:solidFill>
          </w14:textFill>
        </w:rPr>
        <w:t>。</w:t>
      </w:r>
    </w:p>
    <w:p w14:paraId="4BE2205F">
      <w:pPr>
        <w:spacing w:line="360" w:lineRule="exact"/>
        <w:ind w:firstLine="422" w:firstLineChars="200"/>
        <w:rPr>
          <w:rFonts w:ascii="Times New Roman" w:hAnsi="Times New Roman" w:eastAsiaTheme="majorEastAsia"/>
          <w:color w:val="000000" w:themeColor="text1"/>
          <w:kern w:val="0"/>
          <w14:textFill>
            <w14:solidFill>
              <w14:schemeClr w14:val="tx1"/>
            </w14:solidFill>
          </w14:textFill>
        </w:rPr>
      </w:pPr>
      <w:r>
        <w:rPr>
          <w:rFonts w:ascii="Times New Roman" w:hAnsi="Times New Roman" w:eastAsiaTheme="majorEastAsia"/>
          <w:b/>
          <w:bCs/>
          <w:color w:val="000000" w:themeColor="text1"/>
          <w:kern w:val="0"/>
          <w14:textFill>
            <w14:solidFill>
              <w14:schemeClr w14:val="tx1"/>
            </w14:solidFill>
          </w14:textFill>
        </w:rPr>
        <w:t>证据描述：</w:t>
      </w:r>
      <w:r>
        <w:rPr>
          <w:rFonts w:ascii="Times New Roman" w:hAnsi="Times New Roman" w:eastAsiaTheme="majorEastAsia"/>
          <w:color w:val="000000" w:themeColor="text1"/>
          <w:kern w:val="0"/>
          <w14:textFill>
            <w14:solidFill>
              <w14:schemeClr w14:val="tx1"/>
            </w14:solidFill>
          </w14:textFill>
        </w:rPr>
        <w:t>孕中晚期胎体渐大，盘踞中焦，易于阻滞气机，气迟血滞日久，以致津液不行常道，出现水肿；患者先天体质孱弱，加之后天孕产暗耗，或饮食损伤，可致脾虚，脾虚水湿不化泛溢肌肤，亦可导致水肿的发生。或聚湿生痰，上扰脑络，出现眩晕，严重者出现昏厥、抽搐等；孕妇肝肾阴血已弱于未孕时，因情志、内伤等因素耗伤加重，阳气偏亢于上，亦可出现血压升高、眩晕等症状；在孕期需着重关注头面四肢水肿的发生，子痫前期也有以眩晕耳鸣、视物不清为首发表现者，若有头胀痛，每因烦劳或恼怒加剧，少寐多梦，咽干口燥，腰膝酸软等症状，应尽早进行血压的评估与干预</w:t>
      </w:r>
      <w:r>
        <w:rPr>
          <w:rFonts w:ascii="Times New Roman" w:hAnsi="Times New Roman" w:eastAsiaTheme="majorEastAsia"/>
          <w:color w:val="000000" w:themeColor="text1"/>
          <w:kern w:val="0"/>
          <w:vertAlign w:val="superscript"/>
          <w14:textFill>
            <w14:solidFill>
              <w14:schemeClr w14:val="tx1"/>
            </w14:solidFill>
          </w14:textFill>
        </w:rPr>
        <w:t>[1</w:t>
      </w:r>
      <w:r>
        <w:rPr>
          <w:rFonts w:hint="eastAsia" w:ascii="Times New Roman" w:hAnsi="Times New Roman" w:eastAsiaTheme="majorEastAsia"/>
          <w:color w:val="000000" w:themeColor="text1"/>
          <w:kern w:val="0"/>
          <w:vertAlign w:val="superscript"/>
          <w14:textFill>
            <w14:solidFill>
              <w14:schemeClr w14:val="tx1"/>
            </w14:solidFill>
          </w14:textFill>
        </w:rPr>
        <w:t>,7</w:t>
      </w:r>
      <w:r>
        <w:rPr>
          <w:rFonts w:ascii="Times New Roman" w:hAnsi="Times New Roman" w:eastAsiaTheme="majorEastAsia"/>
          <w:color w:val="000000" w:themeColor="text1"/>
          <w:kern w:val="0"/>
          <w:vertAlign w:val="superscript"/>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肥胖和巨大儿也应引起重视。西医认为子痫前期最早出现的微小临床症状是病理性水肿、体重过度增加、血压处于正常高限（收缩压为131～139mmHg和/或舒张压81～89mmHg）、血压波动、胎儿生长受限趋势、血小板计数呈下降趋势（＜100×10</w:t>
      </w:r>
      <w:r>
        <w:rPr>
          <w:rFonts w:ascii="Times New Roman" w:hAnsi="Times New Roman" w:eastAsiaTheme="majorEastAsia"/>
          <w:color w:val="000000" w:themeColor="text1"/>
          <w:kern w:val="0"/>
          <w:vertAlign w:val="superscript"/>
          <w14:textFill>
            <w14:solidFill>
              <w14:schemeClr w14:val="tx1"/>
            </w14:solidFill>
          </w14:textFill>
        </w:rPr>
        <w:t>9</w:t>
      </w:r>
      <w:r>
        <w:rPr>
          <w:rFonts w:ascii="Times New Roman" w:hAnsi="Times New Roman" w:eastAsiaTheme="majorEastAsia"/>
          <w:color w:val="000000" w:themeColor="text1"/>
          <w:kern w:val="0"/>
          <w14:textFill>
            <w14:solidFill>
              <w14:schemeClr w14:val="tx1"/>
            </w14:solidFill>
          </w14:textFill>
        </w:rPr>
        <w:t>/L）及无原因的低蛋白血症等</w:t>
      </w:r>
      <w:r>
        <w:rPr>
          <w:rFonts w:ascii="Times New Roman" w:hAnsi="Times New Roman" w:eastAsiaTheme="majorEastAsia"/>
          <w:color w:val="000000" w:themeColor="text1"/>
          <w:kern w:val="0"/>
          <w:vertAlign w:val="superscript"/>
          <w14:textFill>
            <w14:solidFill>
              <w14:schemeClr w14:val="tx1"/>
            </w14:solidFill>
          </w14:textFill>
        </w:rPr>
        <w:t>[1,2</w:t>
      </w:r>
      <w:r>
        <w:rPr>
          <w:rFonts w:hint="eastAsia" w:ascii="Times New Roman" w:hAnsi="Times New Roman" w:eastAsiaTheme="majorEastAsia"/>
          <w:color w:val="000000" w:themeColor="text1"/>
          <w:kern w:val="0"/>
          <w:vertAlign w:val="superscript"/>
          <w14:textFill>
            <w14:solidFill>
              <w14:schemeClr w14:val="tx1"/>
            </w14:solidFill>
          </w14:textFill>
        </w:rPr>
        <w:t>7</w:t>
      </w:r>
      <w:r>
        <w:rPr>
          <w:rFonts w:ascii="Times New Roman" w:hAnsi="Times New Roman" w:eastAsiaTheme="majorEastAsia"/>
          <w:color w:val="000000" w:themeColor="text1"/>
          <w:kern w:val="0"/>
          <w:vertAlign w:val="superscript"/>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。因此，早期筛查和预警有助于保护孕妇和胎儿的生命健康。</w:t>
      </w:r>
    </w:p>
    <w:p w14:paraId="3D00C03E">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81" w:name="_Toc668544175"/>
      <w:r>
        <w:rPr>
          <w:rFonts w:ascii="Times New Roman" w:hAnsi="Times New Roman" w:cs="Times New Roman" w:eastAsiaTheme="majorEastAsia"/>
          <w:b/>
          <w:bCs/>
          <w:color w:val="000000" w:themeColor="text1"/>
          <w:szCs w:val="21"/>
          <w14:textFill>
            <w14:solidFill>
              <w14:schemeClr w14:val="tx1"/>
            </w14:solidFill>
          </w14:textFill>
        </w:rPr>
        <w:t>6.10 临床问题9：对于具有子痫前期危险因素的患者，预防监测措施包括哪些</w:t>
      </w:r>
      <w:bookmarkEnd w:id="81"/>
      <w:r>
        <w:rPr>
          <w:rFonts w:hint="eastAsia" w:ascii="Times New Roman" w:hAnsi="Times New Roman" w:cs="Times New Roman" w:eastAsiaTheme="majorEastAsia"/>
          <w:b/>
          <w:bCs/>
          <w:color w:val="000000" w:themeColor="text1"/>
          <w:szCs w:val="21"/>
          <w14:textFill>
            <w14:solidFill>
              <w14:schemeClr w14:val="tx1"/>
            </w14:solidFill>
          </w14:textFill>
        </w:rPr>
        <w:t>。</w:t>
      </w:r>
    </w:p>
    <w:p w14:paraId="60DBDB4B">
      <w:pPr>
        <w:spacing w:line="360" w:lineRule="exact"/>
        <w:ind w:firstLine="480"/>
        <w:rPr>
          <w:rFonts w:ascii="Times New Roman" w:hAnsi="Times New Roman" w:eastAsiaTheme="majorEastAsia"/>
          <w:color w:val="000000" w:themeColor="text1"/>
          <w14:textFill>
            <w14:solidFill>
              <w14:schemeClr w14:val="tx1"/>
            </w14:solidFill>
          </w14:textFill>
        </w:rPr>
      </w:pPr>
      <w:r>
        <w:rPr>
          <w:rFonts w:ascii="Times New Roman" w:hAnsi="Times New Roman" w:eastAsiaTheme="majorEastAsia"/>
          <w:b/>
          <w:bCs/>
          <w:color w:val="000000" w:themeColor="text1"/>
          <w14:textFill>
            <w14:solidFill>
              <w14:schemeClr w14:val="tx1"/>
            </w14:solidFill>
          </w14:textFill>
        </w:rPr>
        <w:t>推荐意见：</w:t>
      </w:r>
      <w:r>
        <w:rPr>
          <w:rFonts w:ascii="Times New Roman" w:hAnsi="Times New Roman" w:eastAsiaTheme="majorEastAsia"/>
          <w:color w:val="000000" w:themeColor="text1"/>
          <w14:textFill>
            <w14:solidFill>
              <w14:schemeClr w14:val="tx1"/>
            </w14:solidFill>
          </w14:textFill>
        </w:rPr>
        <w:t>强健身体，调畅情志，</w:t>
      </w:r>
      <w:r>
        <w:rPr>
          <w:rFonts w:ascii="Times New Roman" w:hAnsi="Times New Roman" w:eastAsiaTheme="majorEastAsia"/>
          <w:color w:val="000000" w:themeColor="text1"/>
          <w:kern w:val="0"/>
          <w14:textFill>
            <w14:solidFill>
              <w14:schemeClr w14:val="tx1"/>
            </w14:solidFill>
          </w14:textFill>
        </w:rPr>
        <w:t>小剂量阿司匹林、叶酸补充剂、维生素D、钙剂、低分子肝素的适量补充有助于预防PE的发生。孕前咨询，优化母体健康状况，孕期监测有助于改善母儿结局</w:t>
      </w:r>
      <w:r>
        <w:rPr>
          <w:rFonts w:hint="eastAsia" w:ascii="Times New Roman" w:hAnsi="Times New Roman" w:eastAsiaTheme="majorEastAsia"/>
          <w:color w:val="000000" w:themeColor="text1"/>
          <w14:textFill>
            <w14:solidFill>
              <w14:schemeClr w14:val="tx1"/>
            </w14:solidFill>
          </w14:textFill>
        </w:rPr>
        <w:t>（专家共识度</w:t>
      </w:r>
      <w:r>
        <w:rPr>
          <w:rFonts w:ascii="Times New Roman" w:hAnsi="Times New Roman" w:eastAsiaTheme="majorEastAsia"/>
          <w:color w:val="000000" w:themeColor="text1"/>
          <w14:textFill>
            <w14:solidFill>
              <w14:schemeClr w14:val="tx1"/>
            </w14:solidFill>
          </w14:textFill>
        </w:rPr>
        <w:t>93.75%</w:t>
      </w:r>
      <w:r>
        <w:rPr>
          <w:rFonts w:hint="eastAsia" w:ascii="Times New Roman" w:hAnsi="Times New Roman" w:eastAsiaTheme="majorEastAsia"/>
          <w:color w:val="000000" w:themeColor="text1"/>
          <w14:textFill>
            <w14:solidFill>
              <w14:schemeClr w14:val="tx1"/>
            </w14:solidFill>
          </w14:textFill>
        </w:rPr>
        <w:t>）</w:t>
      </w:r>
      <w:r>
        <w:rPr>
          <w:rFonts w:hint="eastAsia" w:ascii="Times New Roman" w:hAnsi="Times New Roman" w:eastAsiaTheme="majorEastAsia"/>
          <w:color w:val="000000" w:themeColor="text1"/>
          <w:kern w:val="0"/>
          <w14:textFill>
            <w14:solidFill>
              <w14:schemeClr w14:val="tx1"/>
            </w14:solidFill>
          </w14:textFill>
        </w:rPr>
        <w:t>。</w:t>
      </w:r>
    </w:p>
    <w:p w14:paraId="6D78C51A">
      <w:pPr>
        <w:spacing w:line="360" w:lineRule="exact"/>
        <w:ind w:firstLine="422" w:firstLineChars="200"/>
        <w:rPr>
          <w:rFonts w:ascii="Times New Roman" w:hAnsi="Times New Roman" w:eastAsiaTheme="majorEastAsia"/>
          <w:b/>
          <w:bCs/>
          <w:color w:val="000000" w:themeColor="text1"/>
          <w14:textFill>
            <w14:solidFill>
              <w14:schemeClr w14:val="tx1"/>
            </w14:solidFill>
          </w14:textFill>
        </w:rPr>
      </w:pPr>
      <w:r>
        <w:rPr>
          <w:rFonts w:ascii="Times New Roman" w:hAnsi="Times New Roman" w:eastAsiaTheme="majorEastAsia"/>
          <w:b/>
          <w:bCs/>
          <w:color w:val="000000" w:themeColor="text1"/>
          <w14:textFill>
            <w14:solidFill>
              <w14:schemeClr w14:val="tx1"/>
            </w14:solidFill>
          </w14:textFill>
        </w:rPr>
        <w:t>证据描述：</w:t>
      </w:r>
      <w:r>
        <w:rPr>
          <w:rFonts w:ascii="Times New Roman" w:hAnsi="Times New Roman" w:eastAsiaTheme="majorEastAsia"/>
          <w:color w:val="000000" w:themeColor="text1"/>
          <w:kern w:val="0"/>
          <w14:textFill>
            <w14:solidFill>
              <w14:schemeClr w14:val="tx1"/>
            </w14:solidFill>
          </w14:textFill>
        </w:rPr>
        <w:t>中医对于有危险因素的PE患者，通过适当锻炼，控制膳食热量摄入，优化母体的健康状况。通过健康宣教，加强自我监督，改变不良生活方式和行为习惯。保证充足睡眠，调畅情志是预防PE发生的关键。小剂量阿司匹林、叶酸补充剂、维生素D、钙剂、低分子肝素的适量补充有助于预防PE的发生</w:t>
      </w:r>
      <w:r>
        <w:rPr>
          <w:rFonts w:ascii="Times New Roman" w:hAnsi="Times New Roman" w:eastAsiaTheme="majorEastAsia"/>
          <w:color w:val="000000" w:themeColor="text1"/>
          <w:kern w:val="0"/>
          <w:vertAlign w:val="superscript"/>
          <w14:textFill>
            <w14:solidFill>
              <w14:schemeClr w14:val="tx1"/>
            </w14:solidFill>
          </w14:textFill>
        </w:rPr>
        <w:t>[2</w:t>
      </w:r>
      <w:r>
        <w:rPr>
          <w:rFonts w:hint="eastAsia" w:ascii="Times New Roman" w:hAnsi="Times New Roman" w:eastAsiaTheme="majorEastAsia"/>
          <w:color w:val="000000" w:themeColor="text1"/>
          <w:kern w:val="0"/>
          <w:vertAlign w:val="superscript"/>
          <w14:textFill>
            <w14:solidFill>
              <w14:schemeClr w14:val="tx1"/>
            </w14:solidFill>
          </w14:textFill>
        </w:rPr>
        <w:t>8</w:t>
      </w:r>
      <w:r>
        <w:rPr>
          <w:rFonts w:ascii="Times New Roman" w:hAnsi="Times New Roman" w:eastAsiaTheme="majorEastAsia"/>
          <w:color w:val="000000" w:themeColor="text1"/>
          <w:kern w:val="0"/>
          <w:vertAlign w:val="superscript"/>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孕前咨询：评估PE再发的危险因素。优化母体健康情况：孕前体重指数、妊娠间隔、脑血管健康。孕期监测：早孕期：强调早孕超声核实孕周评估胎儿大小</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全血计数、尿常规和生化检查等。中孕期：监测PE相关症状和体征</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18~22周超声进行胎儿结构筛查及子宫动脉多普勒检测。晚孕期：监测PE相关症状和体征</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产前检查、助产士门诊和家庭血压监测</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一旦出现相关病情</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需进行：</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1）实验室检查。</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2）超声检测胎儿宫内生长情况和羊水情况。</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3）脐动脉S/D比值或生物物理评分</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严重者需住院。PE再发者推荐住院评估病情</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对于孕周</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34周者需给予地塞米松促胎肺成熟</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而</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34周者若病情进展</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需充分考虑到胎盘早剥、死胎及母体发病可能</w:t>
      </w:r>
      <w:r>
        <w:rPr>
          <w:rFonts w:hint="eastAsia"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必要时需提前终止妊娠</w:t>
      </w:r>
      <w:r>
        <w:rPr>
          <w:rFonts w:ascii="Times New Roman" w:hAnsi="Times New Roman" w:eastAsiaTheme="majorEastAsia"/>
          <w:color w:val="000000" w:themeColor="text1"/>
          <w:vertAlign w:val="superscript"/>
          <w14:textFill>
            <w14:solidFill>
              <w14:schemeClr w14:val="tx1"/>
            </w14:solidFill>
          </w14:textFill>
        </w:rPr>
        <w:t>[2</w:t>
      </w:r>
      <w:r>
        <w:rPr>
          <w:rFonts w:hint="eastAsia" w:ascii="Times New Roman" w:hAnsi="Times New Roman" w:eastAsiaTheme="majorEastAsia"/>
          <w:color w:val="000000" w:themeColor="text1"/>
          <w:vertAlign w:val="superscript"/>
          <w14:textFill>
            <w14:solidFill>
              <w14:schemeClr w14:val="tx1"/>
            </w14:solidFill>
          </w14:textFill>
        </w:rPr>
        <w:t>8</w:t>
      </w:r>
      <w:r>
        <w:rPr>
          <w:rFonts w:ascii="Times New Roman" w:hAnsi="Times New Roman" w:eastAsiaTheme="majorEastAsia"/>
          <w:color w:val="000000" w:themeColor="text1"/>
          <w:vertAlign w:val="superscript"/>
          <w14:textFill>
            <w14:solidFill>
              <w14:schemeClr w14:val="tx1"/>
            </w14:solidFill>
          </w14:textFill>
        </w:rPr>
        <w:t>,</w:t>
      </w:r>
      <w:r>
        <w:rPr>
          <w:rFonts w:hint="eastAsia" w:ascii="Times New Roman" w:hAnsi="Times New Roman" w:eastAsiaTheme="majorEastAsia"/>
          <w:color w:val="000000" w:themeColor="text1"/>
          <w:vertAlign w:val="superscript"/>
          <w14:textFill>
            <w14:solidFill>
              <w14:schemeClr w14:val="tx1"/>
            </w14:solidFill>
          </w14:textFill>
        </w:rPr>
        <w:t>29</w:t>
      </w:r>
      <w:r>
        <w:rPr>
          <w:rFonts w:ascii="Times New Roman" w:hAnsi="Times New Roman" w:eastAsiaTheme="majorEastAsia"/>
          <w:color w:val="000000" w:themeColor="text1"/>
          <w:vertAlign w:val="superscript"/>
          <w14:textFill>
            <w14:solidFill>
              <w14:schemeClr w14:val="tx1"/>
            </w14:solidFill>
          </w14:textFill>
        </w:rPr>
        <w:t>]</w:t>
      </w:r>
      <w:r>
        <w:rPr>
          <w:rFonts w:ascii="Times New Roman" w:hAnsi="Times New Roman" w:eastAsiaTheme="majorEastAsia"/>
          <w:color w:val="000000" w:themeColor="text1"/>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FIGO在2019版指南</w:t>
      </w:r>
      <w:r>
        <w:rPr>
          <w:rFonts w:ascii="Times New Roman" w:hAnsi="Times New Roman" w:eastAsiaTheme="majorEastAsia"/>
          <w:bCs/>
          <w:color w:val="000000" w:themeColor="text1"/>
          <w:vertAlign w:val="superscript"/>
          <w14:textFill>
            <w14:solidFill>
              <w14:schemeClr w14:val="tx1"/>
            </w14:solidFill>
          </w14:textFill>
        </w:rPr>
        <w:t>[5]</w:t>
      </w:r>
      <w:r>
        <w:rPr>
          <w:rFonts w:ascii="Times New Roman" w:hAnsi="Times New Roman" w:eastAsiaTheme="majorEastAsia"/>
          <w:color w:val="000000" w:themeColor="text1"/>
          <w:kern w:val="0"/>
          <w14:textFill>
            <w14:solidFill>
              <w14:schemeClr w14:val="tx1"/>
            </w14:solidFill>
          </w14:textFill>
        </w:rPr>
        <w:t>中提出监测指标包括母体危险因素、平均动脉压（MAP）、子宫动脉搏动指数（UTPI）、胎盘生长因子（PlGF）以及血清妊娠相关蛋白A（PAPP-A）对于子痫前期的预测效能</w:t>
      </w:r>
      <w:r>
        <w:rPr>
          <w:rFonts w:hint="eastAsia" w:ascii="Times New Roman" w:hAnsi="Times New Roman" w:eastAsiaTheme="majorEastAsia"/>
          <w:color w:val="000000" w:themeColor="text1"/>
          <w:kern w:val="0"/>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并提出了一个相对完善的孕早期筛查方案以及免费的子痫前期风险评估网站，该指南提出一个可相对节约医疗成本的二阶段筛查方案：第一阶段在孕妇中广泛筛查母体风险因素以及MAP，被视为中风险（约30%）的孕妇则进入第二阶段筛查，即联合母体PlGF以及UTPI进行评估。</w:t>
      </w:r>
    </w:p>
    <w:p w14:paraId="4D2E761F">
      <w:pPr>
        <w:pStyle w:val="33"/>
        <w:numPr>
          <w:ilvl w:val="1"/>
          <w:numId w:val="0"/>
        </w:numPr>
        <w:spacing w:before="240" w:beforeLines="100" w:after="240" w:afterLines="100" w:line="360" w:lineRule="exact"/>
        <w:rPr>
          <w:rFonts w:ascii="Times New Roman" w:hAnsi="Times New Roman" w:cs="Times New Roman" w:eastAsiaTheme="majorEastAsia"/>
          <w:b/>
          <w:bCs/>
          <w:color w:val="000000" w:themeColor="text1"/>
          <w:szCs w:val="21"/>
          <w14:textFill>
            <w14:solidFill>
              <w14:schemeClr w14:val="tx1"/>
            </w14:solidFill>
          </w14:textFill>
        </w:rPr>
      </w:pPr>
      <w:bookmarkStart w:id="82" w:name="_Toc587508121"/>
      <w:r>
        <w:rPr>
          <w:rFonts w:ascii="Times New Roman" w:hAnsi="Times New Roman" w:cs="Times New Roman" w:eastAsiaTheme="majorEastAsia"/>
          <w:b/>
          <w:bCs/>
          <w:color w:val="000000" w:themeColor="text1"/>
          <w:szCs w:val="21"/>
          <w14:textFill>
            <w14:solidFill>
              <w14:schemeClr w14:val="tx1"/>
            </w14:solidFill>
          </w14:textFill>
        </w:rPr>
        <w:t>6.11 临床问题10：子痫前期患者应如何管理孕期生活方式</w:t>
      </w:r>
      <w:bookmarkEnd w:id="82"/>
      <w:r>
        <w:rPr>
          <w:rFonts w:hint="eastAsia" w:ascii="Times New Roman" w:hAnsi="Times New Roman" w:cs="Times New Roman" w:eastAsiaTheme="majorEastAsia"/>
          <w:b/>
          <w:bCs/>
          <w:color w:val="000000" w:themeColor="text1"/>
          <w:szCs w:val="21"/>
          <w14:textFill>
            <w14:solidFill>
              <w14:schemeClr w14:val="tx1"/>
            </w14:solidFill>
          </w14:textFill>
        </w:rPr>
        <w:t>。</w:t>
      </w:r>
    </w:p>
    <w:p w14:paraId="0A7670E3">
      <w:pPr>
        <w:spacing w:line="360" w:lineRule="exact"/>
        <w:ind w:firstLine="422" w:firstLineChars="200"/>
        <w:rPr>
          <w:rFonts w:ascii="Times New Roman" w:hAnsi="Times New Roman" w:eastAsiaTheme="majorEastAsia"/>
          <w:b/>
          <w:bCs/>
          <w:color w:val="000000" w:themeColor="text1"/>
          <w14:textFill>
            <w14:solidFill>
              <w14:schemeClr w14:val="tx1"/>
            </w14:solidFill>
          </w14:textFill>
        </w:rPr>
      </w:pPr>
      <w:r>
        <w:rPr>
          <w:rFonts w:ascii="Times New Roman" w:hAnsi="Times New Roman" w:eastAsiaTheme="majorEastAsia"/>
          <w:b/>
          <w:bCs/>
          <w:color w:val="000000" w:themeColor="text1"/>
          <w14:textFill>
            <w14:solidFill>
              <w14:schemeClr w14:val="tx1"/>
            </w14:solidFill>
          </w14:textFill>
        </w:rPr>
        <w:t>推荐意见：</w:t>
      </w:r>
      <w:r>
        <w:rPr>
          <w:rFonts w:ascii="Times New Roman" w:hAnsi="Times New Roman" w:eastAsiaTheme="majorEastAsia"/>
          <w:color w:val="000000" w:themeColor="text1"/>
          <w14:textFill>
            <w14:solidFill>
              <w14:schemeClr w14:val="tx1"/>
            </w14:solidFill>
          </w14:textFill>
        </w:rPr>
        <w:t>适度锻炼、合理饮食、控制体重</w:t>
      </w:r>
      <w:r>
        <w:rPr>
          <w:rFonts w:hint="eastAsia" w:ascii="Times New Roman" w:hAnsi="Times New Roman" w:eastAsiaTheme="majorEastAsia"/>
          <w:color w:val="000000" w:themeColor="text1"/>
          <w14:textFill>
            <w14:solidFill>
              <w14:schemeClr w14:val="tx1"/>
            </w14:solidFill>
          </w14:textFill>
        </w:rPr>
        <w:t>（专家共识度</w:t>
      </w:r>
      <w:r>
        <w:rPr>
          <w:rFonts w:ascii="Times New Roman" w:hAnsi="Times New Roman" w:eastAsiaTheme="majorEastAsia"/>
          <w:color w:val="000000" w:themeColor="text1"/>
          <w14:textFill>
            <w14:solidFill>
              <w14:schemeClr w14:val="tx1"/>
            </w14:solidFill>
          </w14:textFill>
        </w:rPr>
        <w:t>93.75%</w:t>
      </w:r>
      <w:r>
        <w:rPr>
          <w:rFonts w:hint="eastAsia" w:ascii="Times New Roman" w:hAnsi="Times New Roman" w:eastAsiaTheme="majorEastAsia"/>
          <w:color w:val="000000" w:themeColor="text1"/>
          <w14:textFill>
            <w14:solidFill>
              <w14:schemeClr w14:val="tx1"/>
            </w14:solidFill>
          </w14:textFill>
        </w:rPr>
        <w:t>）。</w:t>
      </w:r>
    </w:p>
    <w:p w14:paraId="7CD55DF9">
      <w:pPr>
        <w:spacing w:line="360" w:lineRule="exact"/>
        <w:ind w:firstLine="420" w:firstLineChars="200"/>
        <w:rPr>
          <w:rFonts w:ascii="Times New Roman" w:hAnsi="Times New Roman" w:eastAsiaTheme="majorEastAsia"/>
          <w:b/>
          <w:bCs/>
          <w:color w:val="000000" w:themeColor="text1"/>
          <w14:textFill>
            <w14:solidFill>
              <w14:schemeClr w14:val="tx1"/>
            </w14:solidFill>
          </w14:textFill>
        </w:rPr>
      </w:pPr>
      <w:r>
        <w:rPr>
          <w:rFonts w:ascii="Times New Roman" w:hAnsi="Times New Roman" w:eastAsiaTheme="majorEastAsia"/>
          <w:color w:val="000000" w:themeColor="text1"/>
          <w:kern w:val="0"/>
          <w14:textFill>
            <w14:solidFill>
              <w14:schemeClr w14:val="tx1"/>
            </w14:solidFill>
          </w14:textFill>
        </w:rPr>
        <w:t>妊娠后，指导妇女合理膳食与情志调摄，为孕妇营造和谐的人际关系，避免不良刺激，减轻心理负担，保持豁达、乐观的精神状态，消除不良情绪，增强战胜疾病的信心，具体做法采用中华医学会音像出版社出版的自我放松音乐，结合放松训练技术步骤，使患者全身放松3</w:t>
      </w:r>
      <w:r>
        <w:rPr>
          <w:rFonts w:ascii="Times New Roman" w:hAnsi="Times New Roman" w:eastAsiaTheme="majorEastAsia"/>
          <w:color w:val="000000"/>
          <w:kern w:val="0"/>
          <w:lang w:bidi="ar"/>
        </w:rPr>
        <w:t>～</w:t>
      </w:r>
      <w:r>
        <w:rPr>
          <w:rFonts w:ascii="Times New Roman" w:hAnsi="Times New Roman" w:eastAsiaTheme="majorEastAsia"/>
          <w:color w:val="000000" w:themeColor="text1"/>
          <w:kern w:val="0"/>
          <w14:textFill>
            <w14:solidFill>
              <w14:schemeClr w14:val="tx1"/>
            </w14:solidFill>
          </w14:textFill>
        </w:rPr>
        <w:t>5次，患者随语音提示进行想象心情愉悦的场景比如阳光、海岸、鸟语花香等，并强调患者按所学的放松方法，每天自行练习2次，每次不得少于20分钟</w:t>
      </w:r>
      <w:r>
        <w:rPr>
          <w:rFonts w:ascii="Times New Roman" w:hAnsi="Times New Roman" w:eastAsiaTheme="majorEastAsia"/>
          <w:color w:val="000000" w:themeColor="text1"/>
          <w:kern w:val="0"/>
          <w:vertAlign w:val="superscript"/>
          <w14:textFill>
            <w14:solidFill>
              <w14:schemeClr w14:val="tx1"/>
            </w14:solidFill>
          </w14:textFill>
        </w:rPr>
        <w:t>[3</w:t>
      </w:r>
      <w:r>
        <w:rPr>
          <w:rFonts w:hint="eastAsia" w:ascii="Times New Roman" w:hAnsi="Times New Roman" w:eastAsiaTheme="majorEastAsia"/>
          <w:color w:val="000000" w:themeColor="text1"/>
          <w:kern w:val="0"/>
          <w:vertAlign w:val="superscript"/>
          <w14:textFill>
            <w14:solidFill>
              <w14:schemeClr w14:val="tx1"/>
            </w14:solidFill>
          </w14:textFill>
        </w:rPr>
        <w:t>0</w:t>
      </w:r>
      <w:r>
        <w:rPr>
          <w:rFonts w:ascii="Times New Roman" w:hAnsi="Times New Roman" w:eastAsiaTheme="majorEastAsia"/>
          <w:color w:val="000000" w:themeColor="text1"/>
          <w:kern w:val="0"/>
          <w:vertAlign w:val="superscript"/>
          <w14:textFill>
            <w14:solidFill>
              <w14:schemeClr w14:val="tx1"/>
            </w14:solidFill>
          </w14:textFill>
        </w:rPr>
        <w:t>,3</w:t>
      </w:r>
      <w:r>
        <w:rPr>
          <w:rFonts w:hint="eastAsia" w:ascii="Times New Roman" w:hAnsi="Times New Roman" w:eastAsiaTheme="majorEastAsia"/>
          <w:color w:val="000000" w:themeColor="text1"/>
          <w:kern w:val="0"/>
          <w:vertAlign w:val="superscript"/>
          <w14:textFill>
            <w14:solidFill>
              <w14:schemeClr w14:val="tx1"/>
            </w14:solidFill>
          </w14:textFill>
        </w:rPr>
        <w:t>1</w:t>
      </w:r>
      <w:r>
        <w:rPr>
          <w:rFonts w:ascii="Times New Roman" w:hAnsi="Times New Roman" w:eastAsiaTheme="majorEastAsia"/>
          <w:color w:val="000000" w:themeColor="text1"/>
          <w:kern w:val="0"/>
          <w:vertAlign w:val="superscript"/>
          <w14:textFill>
            <w14:solidFill>
              <w14:schemeClr w14:val="tx1"/>
            </w14:solidFill>
          </w14:textFill>
        </w:rPr>
        <w:t>]</w:t>
      </w:r>
      <w:r>
        <w:rPr>
          <w:rFonts w:ascii="Times New Roman" w:hAnsi="Times New Roman" w:eastAsiaTheme="majorEastAsia"/>
          <w:color w:val="000000" w:themeColor="text1"/>
          <w:kern w:val="0"/>
          <w14:textFill>
            <w14:solidFill>
              <w14:schemeClr w14:val="tx1"/>
            </w14:solidFill>
          </w14:textFill>
        </w:rPr>
        <w:t>。此外，孕妇应进食富含蛋白质、维生素及铁、钙、镁、锌等微量元素的食物，多食新鲜蔬菜、水果，减少动物内脏及过量盐的摄入。</w:t>
      </w:r>
      <w:bookmarkStart w:id="83" w:name="_Toc231414719"/>
    </w:p>
    <w:p w14:paraId="20830B6D">
      <w:pPr>
        <w:pStyle w:val="33"/>
        <w:numPr>
          <w:ilvl w:val="1"/>
          <w:numId w:val="0"/>
        </w:numPr>
        <w:spacing w:before="240" w:beforeLines="100" w:after="240" w:afterLines="100" w:line="360" w:lineRule="exact"/>
        <w:outlineLvl w:val="0"/>
        <w:rPr>
          <w:rFonts w:ascii="Times New Roman" w:hAnsi="Times New Roman" w:cs="Times New Roman" w:eastAsiaTheme="majorEastAsia"/>
          <w:color w:val="000000" w:themeColor="text1"/>
          <w:szCs w:val="21"/>
          <w14:textFill>
            <w14:solidFill>
              <w14:schemeClr w14:val="tx1"/>
            </w14:solidFill>
          </w14:textFill>
        </w:rPr>
      </w:pPr>
      <w:bookmarkStart w:id="84" w:name="_Toc119180741"/>
      <w:r>
        <w:rPr>
          <w:rFonts w:ascii="Times New Roman" w:hAnsi="Times New Roman" w:cs="Times New Roman" w:eastAsiaTheme="majorEastAsia"/>
          <w:b/>
          <w:bCs/>
          <w:color w:val="000000" w:themeColor="text1"/>
          <w:szCs w:val="21"/>
          <w14:textFill>
            <w14:solidFill>
              <w14:schemeClr w14:val="tx1"/>
            </w14:solidFill>
          </w14:textFill>
        </w:rPr>
        <w:t>7  中医治疗子痫前期推荐用药汇总表</w:t>
      </w:r>
      <w:bookmarkEnd w:id="83"/>
      <w:bookmarkEnd w:id="84"/>
    </w:p>
    <w:tbl>
      <w:tblPr>
        <w:tblStyle w:val="23"/>
        <w:tblW w:w="10632" w:type="dxa"/>
        <w:tblInd w:w="-1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93"/>
        <w:gridCol w:w="1701"/>
        <w:gridCol w:w="709"/>
        <w:gridCol w:w="708"/>
        <w:gridCol w:w="1134"/>
        <w:gridCol w:w="709"/>
        <w:gridCol w:w="709"/>
        <w:gridCol w:w="709"/>
        <w:gridCol w:w="708"/>
        <w:gridCol w:w="709"/>
        <w:gridCol w:w="709"/>
      </w:tblGrid>
      <w:tr w14:paraId="643BB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gridSpan w:val="2"/>
            <w:vMerge w:val="restart"/>
            <w:tcBorders>
              <w:top w:val="single" w:color="auto" w:sz="12" w:space="0"/>
            </w:tcBorders>
            <w:vAlign w:val="center"/>
          </w:tcPr>
          <w:p w14:paraId="5E5A12B6">
            <w:pPr>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证型</w:t>
            </w:r>
          </w:p>
        </w:tc>
        <w:tc>
          <w:tcPr>
            <w:tcW w:w="1701" w:type="dxa"/>
            <w:vMerge w:val="restart"/>
            <w:tcBorders>
              <w:top w:val="single" w:color="auto" w:sz="12" w:space="0"/>
            </w:tcBorders>
            <w:vAlign w:val="center"/>
          </w:tcPr>
          <w:p w14:paraId="408CC036">
            <w:pPr>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推荐用药</w:t>
            </w:r>
          </w:p>
        </w:tc>
        <w:tc>
          <w:tcPr>
            <w:tcW w:w="6804" w:type="dxa"/>
            <w:gridSpan w:val="9"/>
            <w:tcBorders>
              <w:top w:val="single" w:color="auto" w:sz="12" w:space="0"/>
              <w:bottom w:val="single" w:color="auto" w:sz="4" w:space="0"/>
            </w:tcBorders>
            <w:vAlign w:val="center"/>
          </w:tcPr>
          <w:p w14:paraId="72B6A743">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主要疗效总结</w:t>
            </w:r>
          </w:p>
        </w:tc>
      </w:tr>
      <w:tr w14:paraId="3567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127" w:type="dxa"/>
            <w:gridSpan w:val="2"/>
            <w:vMerge w:val="continue"/>
            <w:tcBorders>
              <w:bottom w:val="single" w:color="auto" w:sz="4" w:space="0"/>
            </w:tcBorders>
            <w:vAlign w:val="center"/>
          </w:tcPr>
          <w:p w14:paraId="622C019B">
            <w:pPr>
              <w:jc w:val="center"/>
              <w:rPr>
                <w:rFonts w:ascii="Times New Roman" w:hAnsi="Times New Roman"/>
                <w:color w:val="000000" w:themeColor="text1"/>
                <w:kern w:val="0"/>
                <w:sz w:val="18"/>
                <w:szCs w:val="18"/>
                <w14:textFill>
                  <w14:solidFill>
                    <w14:schemeClr w14:val="tx1"/>
                  </w14:solidFill>
                </w14:textFill>
              </w:rPr>
            </w:pPr>
          </w:p>
        </w:tc>
        <w:tc>
          <w:tcPr>
            <w:tcW w:w="1701" w:type="dxa"/>
            <w:vMerge w:val="continue"/>
            <w:tcBorders>
              <w:bottom w:val="single" w:color="auto" w:sz="4" w:space="0"/>
            </w:tcBorders>
            <w:vAlign w:val="center"/>
          </w:tcPr>
          <w:p w14:paraId="4D467F4F">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top w:val="single" w:color="auto" w:sz="4" w:space="0"/>
              <w:bottom w:val="single" w:color="auto" w:sz="4" w:space="0"/>
            </w:tcBorders>
            <w:vAlign w:val="center"/>
          </w:tcPr>
          <w:p w14:paraId="248ED809">
            <w:pPr>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总有效率</w:t>
            </w:r>
          </w:p>
        </w:tc>
        <w:tc>
          <w:tcPr>
            <w:tcW w:w="708" w:type="dxa"/>
            <w:tcBorders>
              <w:top w:val="single" w:color="auto" w:sz="4" w:space="0"/>
              <w:bottom w:val="single" w:color="auto" w:sz="4" w:space="0"/>
            </w:tcBorders>
            <w:vAlign w:val="center"/>
          </w:tcPr>
          <w:p w14:paraId="17029F0C">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延长妊娠周数</w:t>
            </w:r>
          </w:p>
        </w:tc>
        <w:tc>
          <w:tcPr>
            <w:tcW w:w="1134" w:type="dxa"/>
            <w:tcBorders>
              <w:top w:val="single" w:color="auto" w:sz="4" w:space="0"/>
              <w:bottom w:val="single" w:color="auto" w:sz="4" w:space="0"/>
            </w:tcBorders>
            <w:vAlign w:val="center"/>
          </w:tcPr>
          <w:p w14:paraId="5A9C57AA">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降低重度子痫、子痫发生率</w:t>
            </w:r>
          </w:p>
        </w:tc>
        <w:tc>
          <w:tcPr>
            <w:tcW w:w="709" w:type="dxa"/>
            <w:tcBorders>
              <w:top w:val="single" w:color="auto" w:sz="4" w:space="0"/>
              <w:bottom w:val="single" w:color="auto" w:sz="4" w:space="0"/>
            </w:tcBorders>
            <w:vAlign w:val="center"/>
          </w:tcPr>
          <w:p w14:paraId="3ADBF976">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改善血压</w:t>
            </w:r>
          </w:p>
        </w:tc>
        <w:tc>
          <w:tcPr>
            <w:tcW w:w="709" w:type="dxa"/>
            <w:tcBorders>
              <w:top w:val="single" w:color="auto" w:sz="4" w:space="0"/>
              <w:bottom w:val="single" w:color="auto" w:sz="4" w:space="0"/>
            </w:tcBorders>
            <w:vAlign w:val="center"/>
          </w:tcPr>
          <w:p w14:paraId="23FE0281">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改善尿</w:t>
            </w:r>
            <w:r>
              <w:rPr>
                <w:rFonts w:hint="eastAsia" w:ascii="Times New Roman" w:hAnsi="Times New Roman"/>
                <w:color w:val="000000" w:themeColor="text1"/>
                <w:sz w:val="18"/>
                <w:szCs w:val="18"/>
                <w14:textFill>
                  <w14:solidFill>
                    <w14:schemeClr w14:val="tx1"/>
                  </w14:solidFill>
                </w14:textFill>
              </w:rPr>
              <w:t>蛋白</w:t>
            </w:r>
          </w:p>
        </w:tc>
        <w:tc>
          <w:tcPr>
            <w:tcW w:w="709" w:type="dxa"/>
            <w:tcBorders>
              <w:top w:val="single" w:color="auto" w:sz="4" w:space="0"/>
              <w:bottom w:val="single" w:color="auto" w:sz="4" w:space="0"/>
            </w:tcBorders>
            <w:vAlign w:val="center"/>
          </w:tcPr>
          <w:p w14:paraId="62B2D226">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改善头晕症状</w:t>
            </w:r>
          </w:p>
        </w:tc>
        <w:tc>
          <w:tcPr>
            <w:tcW w:w="708" w:type="dxa"/>
            <w:tcBorders>
              <w:top w:val="single" w:color="auto" w:sz="4" w:space="0"/>
              <w:bottom w:val="single" w:color="auto" w:sz="4" w:space="0"/>
            </w:tcBorders>
            <w:vAlign w:val="center"/>
          </w:tcPr>
          <w:p w14:paraId="0134D9FE">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中医证候积分</w:t>
            </w:r>
          </w:p>
        </w:tc>
        <w:tc>
          <w:tcPr>
            <w:tcW w:w="709" w:type="dxa"/>
            <w:tcBorders>
              <w:top w:val="single" w:color="auto" w:sz="4" w:space="0"/>
              <w:bottom w:val="single" w:color="auto" w:sz="4" w:space="0"/>
            </w:tcBorders>
            <w:vAlign w:val="center"/>
          </w:tcPr>
          <w:p w14:paraId="639BA51C">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妊娠并发症</w:t>
            </w:r>
          </w:p>
        </w:tc>
        <w:tc>
          <w:tcPr>
            <w:tcW w:w="709" w:type="dxa"/>
            <w:tcBorders>
              <w:top w:val="single" w:color="auto" w:sz="4" w:space="0"/>
              <w:bottom w:val="single" w:color="auto" w:sz="4" w:space="0"/>
            </w:tcBorders>
            <w:vAlign w:val="center"/>
          </w:tcPr>
          <w:p w14:paraId="651A1A15">
            <w:pPr>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不良反应</w:t>
            </w:r>
          </w:p>
        </w:tc>
      </w:tr>
      <w:tr w14:paraId="7A45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gridSpan w:val="2"/>
            <w:tcBorders>
              <w:top w:val="single" w:color="auto" w:sz="4" w:space="0"/>
            </w:tcBorders>
            <w:vAlign w:val="center"/>
          </w:tcPr>
          <w:p w14:paraId="5FB4B505">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脾虚证</w:t>
            </w:r>
          </w:p>
        </w:tc>
        <w:tc>
          <w:tcPr>
            <w:tcW w:w="1701" w:type="dxa"/>
            <w:tcBorders>
              <w:top w:val="single" w:color="auto" w:sz="4" w:space="0"/>
            </w:tcBorders>
            <w:vAlign w:val="center"/>
          </w:tcPr>
          <w:p w14:paraId="32915C9B">
            <w:pPr>
              <w:jc w:val="left"/>
              <w:rPr>
                <w:sz w:val="18"/>
                <w:szCs w:val="18"/>
              </w:rPr>
            </w:pPr>
            <w:r>
              <w:rPr>
                <w:rFonts w:hint="eastAsia" w:ascii="宋体" w:hAnsi="宋体"/>
                <w:color w:val="000000"/>
                <w:sz w:val="18"/>
                <w:szCs w:val="18"/>
              </w:rPr>
              <w:t>白术散</w:t>
            </w:r>
            <w:r>
              <w:rPr>
                <w:rFonts w:ascii="Times New Roman" w:hAnsi="Times New Roman"/>
                <w:color w:val="000000" w:themeColor="text1"/>
                <w:sz w:val="18"/>
                <w:szCs w:val="18"/>
                <w14:textFill>
                  <w14:solidFill>
                    <w14:schemeClr w14:val="tx1"/>
                  </w14:solidFill>
                </w14:textFill>
              </w:rPr>
              <w:t>（1Ⅳa）</w:t>
            </w:r>
          </w:p>
        </w:tc>
        <w:tc>
          <w:tcPr>
            <w:tcW w:w="709" w:type="dxa"/>
            <w:tcBorders>
              <w:top w:val="single" w:color="auto" w:sz="4" w:space="0"/>
            </w:tcBorders>
            <w:vAlign w:val="center"/>
          </w:tcPr>
          <w:p w14:paraId="0D9A6D58">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8" w:type="dxa"/>
            <w:tcBorders>
              <w:top w:val="single" w:color="auto" w:sz="4" w:space="0"/>
            </w:tcBorders>
            <w:vAlign w:val="center"/>
          </w:tcPr>
          <w:p w14:paraId="786183EF">
            <w:pPr>
              <w:jc w:val="center"/>
              <w:rPr>
                <w:rFonts w:ascii="Times New Roman" w:hAnsi="Times New Roman"/>
                <w:color w:val="000000" w:themeColor="text1"/>
                <w:kern w:val="0"/>
                <w:sz w:val="18"/>
                <w:szCs w:val="18"/>
                <w14:textFill>
                  <w14:solidFill>
                    <w14:schemeClr w14:val="tx1"/>
                  </w14:solidFill>
                </w14:textFill>
              </w:rPr>
            </w:pPr>
          </w:p>
        </w:tc>
        <w:tc>
          <w:tcPr>
            <w:tcW w:w="1134" w:type="dxa"/>
            <w:tcBorders>
              <w:top w:val="single" w:color="auto" w:sz="4" w:space="0"/>
            </w:tcBorders>
            <w:vAlign w:val="center"/>
          </w:tcPr>
          <w:p w14:paraId="500F6627">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top w:val="single" w:color="auto" w:sz="4" w:space="0"/>
            </w:tcBorders>
            <w:vAlign w:val="center"/>
          </w:tcPr>
          <w:p w14:paraId="79CEC972">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tcBorders>
              <w:top w:val="single" w:color="auto" w:sz="4" w:space="0"/>
            </w:tcBorders>
            <w:vAlign w:val="center"/>
          </w:tcPr>
          <w:p w14:paraId="0D130E1B">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top w:val="single" w:color="auto" w:sz="4" w:space="0"/>
            </w:tcBorders>
            <w:vAlign w:val="center"/>
          </w:tcPr>
          <w:p w14:paraId="2F10E6AB">
            <w:pPr>
              <w:jc w:val="center"/>
              <w:rPr>
                <w:rFonts w:ascii="Times New Roman" w:hAnsi="Times New Roman"/>
                <w:color w:val="000000" w:themeColor="text1"/>
                <w:kern w:val="0"/>
                <w:sz w:val="18"/>
                <w:szCs w:val="18"/>
                <w14:textFill>
                  <w14:solidFill>
                    <w14:schemeClr w14:val="tx1"/>
                  </w14:solidFill>
                </w14:textFill>
              </w:rPr>
            </w:pPr>
          </w:p>
        </w:tc>
        <w:tc>
          <w:tcPr>
            <w:tcW w:w="708" w:type="dxa"/>
            <w:tcBorders>
              <w:top w:val="single" w:color="auto" w:sz="4" w:space="0"/>
            </w:tcBorders>
            <w:vAlign w:val="center"/>
          </w:tcPr>
          <w:p w14:paraId="366E0530">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tcBorders>
              <w:top w:val="single" w:color="auto" w:sz="4" w:space="0"/>
            </w:tcBorders>
            <w:vAlign w:val="center"/>
          </w:tcPr>
          <w:p w14:paraId="35C9DED3">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tcBorders>
              <w:top w:val="single" w:color="auto" w:sz="4" w:space="0"/>
            </w:tcBorders>
            <w:vAlign w:val="center"/>
          </w:tcPr>
          <w:p w14:paraId="1C761D12">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r>
      <w:tr w14:paraId="155A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gridSpan w:val="2"/>
            <w:vAlign w:val="center"/>
          </w:tcPr>
          <w:p w14:paraId="69DDA7E1">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肾阳虚证</w:t>
            </w:r>
          </w:p>
        </w:tc>
        <w:tc>
          <w:tcPr>
            <w:tcW w:w="1701" w:type="dxa"/>
            <w:vAlign w:val="center"/>
          </w:tcPr>
          <w:p w14:paraId="777E5035">
            <w:pPr>
              <w:jc w:val="left"/>
              <w:rPr>
                <w:sz w:val="18"/>
                <w:szCs w:val="18"/>
              </w:rPr>
            </w:pPr>
            <w:r>
              <w:rPr>
                <w:rFonts w:hint="eastAsia" w:ascii="宋体" w:hAnsi="宋体"/>
                <w:color w:val="000000"/>
                <w:sz w:val="18"/>
                <w:szCs w:val="18"/>
              </w:rPr>
              <w:t>济生肾气丸</w:t>
            </w:r>
            <w:r>
              <w:rPr>
                <w:rFonts w:ascii="Times New Roman" w:hAnsi="Times New Roman"/>
                <w:color w:val="000000" w:themeColor="text1"/>
                <w:sz w:val="18"/>
                <w:szCs w:val="18"/>
                <w14:textFill>
                  <w14:solidFill>
                    <w14:schemeClr w14:val="tx1"/>
                  </w14:solidFill>
                </w14:textFill>
              </w:rPr>
              <w:t>（1Ⅳa）</w:t>
            </w:r>
          </w:p>
        </w:tc>
        <w:tc>
          <w:tcPr>
            <w:tcW w:w="709" w:type="dxa"/>
            <w:vAlign w:val="center"/>
          </w:tcPr>
          <w:p w14:paraId="43D7E98E">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8" w:type="dxa"/>
            <w:vAlign w:val="center"/>
          </w:tcPr>
          <w:p w14:paraId="4D27C06E">
            <w:pPr>
              <w:jc w:val="center"/>
              <w:rPr>
                <w:rFonts w:ascii="Times New Roman" w:hAnsi="Times New Roman"/>
                <w:color w:val="000000" w:themeColor="text1"/>
                <w:kern w:val="0"/>
                <w:sz w:val="18"/>
                <w:szCs w:val="18"/>
                <w14:textFill>
                  <w14:solidFill>
                    <w14:schemeClr w14:val="tx1"/>
                  </w14:solidFill>
                </w14:textFill>
              </w:rPr>
            </w:pPr>
          </w:p>
        </w:tc>
        <w:tc>
          <w:tcPr>
            <w:tcW w:w="1134" w:type="dxa"/>
            <w:vAlign w:val="center"/>
          </w:tcPr>
          <w:p w14:paraId="090E1F9F">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7DDFBA33">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0AF73383">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487FDB2B">
            <w:pPr>
              <w:jc w:val="center"/>
              <w:rPr>
                <w:rFonts w:ascii="Times New Roman" w:hAnsi="Times New Roman"/>
                <w:color w:val="000000" w:themeColor="text1"/>
                <w:kern w:val="0"/>
                <w:sz w:val="18"/>
                <w:szCs w:val="18"/>
                <w14:textFill>
                  <w14:solidFill>
                    <w14:schemeClr w14:val="tx1"/>
                  </w14:solidFill>
                </w14:textFill>
              </w:rPr>
            </w:pPr>
          </w:p>
        </w:tc>
        <w:tc>
          <w:tcPr>
            <w:tcW w:w="708" w:type="dxa"/>
            <w:vAlign w:val="center"/>
          </w:tcPr>
          <w:p w14:paraId="6C07CB66">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0212EC8A">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2B090D93">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r>
      <w:tr w14:paraId="6203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vAlign w:val="center"/>
          </w:tcPr>
          <w:p w14:paraId="4F608AC2">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气滞证</w:t>
            </w:r>
          </w:p>
        </w:tc>
        <w:tc>
          <w:tcPr>
            <w:tcW w:w="993" w:type="dxa"/>
            <w:vAlign w:val="center"/>
          </w:tcPr>
          <w:p w14:paraId="45B81C8D">
            <w:pPr>
              <w:jc w:val="center"/>
              <w:rPr>
                <w:rFonts w:ascii="Times New Roman" w:hAnsi="Times New Roman"/>
                <w:color w:val="000000" w:themeColor="text1"/>
                <w:sz w:val="18"/>
                <w:szCs w:val="18"/>
                <w14:textFill>
                  <w14:solidFill>
                    <w14:schemeClr w14:val="tx1"/>
                  </w14:solidFill>
                </w14:textFill>
              </w:rPr>
            </w:pPr>
          </w:p>
        </w:tc>
        <w:tc>
          <w:tcPr>
            <w:tcW w:w="1701" w:type="dxa"/>
            <w:vAlign w:val="center"/>
          </w:tcPr>
          <w:p w14:paraId="432C3287">
            <w:pPr>
              <w:jc w:val="left"/>
              <w:rPr>
                <w:sz w:val="18"/>
                <w:szCs w:val="18"/>
              </w:rPr>
            </w:pPr>
            <w:r>
              <w:rPr>
                <w:rFonts w:hint="eastAsia" w:ascii="宋体" w:hAnsi="宋体"/>
                <w:color w:val="000000"/>
                <w:sz w:val="18"/>
                <w:szCs w:val="18"/>
              </w:rPr>
              <w:t>正气天香散加减</w:t>
            </w:r>
            <w:r>
              <w:rPr>
                <w:rFonts w:ascii="Times New Roman" w:hAnsi="Times New Roman"/>
                <w:color w:val="000000" w:themeColor="text1"/>
                <w:sz w:val="18"/>
                <w:szCs w:val="18"/>
                <w14:textFill>
                  <w14:solidFill>
                    <w14:schemeClr w14:val="tx1"/>
                  </w14:solidFill>
                </w14:textFill>
              </w:rPr>
              <w:t>（1Ⅳa）</w:t>
            </w:r>
          </w:p>
        </w:tc>
        <w:tc>
          <w:tcPr>
            <w:tcW w:w="709" w:type="dxa"/>
            <w:vAlign w:val="center"/>
          </w:tcPr>
          <w:p w14:paraId="119B2EB3">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8" w:type="dxa"/>
            <w:vAlign w:val="center"/>
          </w:tcPr>
          <w:p w14:paraId="095B51B6">
            <w:pPr>
              <w:jc w:val="center"/>
              <w:rPr>
                <w:rFonts w:ascii="Times New Roman" w:hAnsi="Times New Roman"/>
                <w:color w:val="000000" w:themeColor="text1"/>
                <w:kern w:val="0"/>
                <w:sz w:val="18"/>
                <w:szCs w:val="18"/>
                <w14:textFill>
                  <w14:solidFill>
                    <w14:schemeClr w14:val="tx1"/>
                  </w14:solidFill>
                </w14:textFill>
              </w:rPr>
            </w:pPr>
          </w:p>
        </w:tc>
        <w:tc>
          <w:tcPr>
            <w:tcW w:w="1134" w:type="dxa"/>
            <w:vAlign w:val="center"/>
          </w:tcPr>
          <w:p w14:paraId="0F5A6DF0">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1B385A38">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5BE9DB80">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3596B071">
            <w:pPr>
              <w:jc w:val="center"/>
              <w:rPr>
                <w:rFonts w:ascii="Times New Roman" w:hAnsi="Times New Roman"/>
                <w:color w:val="000000" w:themeColor="text1"/>
                <w:kern w:val="0"/>
                <w:sz w:val="18"/>
                <w:szCs w:val="18"/>
                <w14:textFill>
                  <w14:solidFill>
                    <w14:schemeClr w14:val="tx1"/>
                  </w14:solidFill>
                </w14:textFill>
              </w:rPr>
            </w:pPr>
          </w:p>
        </w:tc>
        <w:tc>
          <w:tcPr>
            <w:tcW w:w="708" w:type="dxa"/>
            <w:vAlign w:val="center"/>
          </w:tcPr>
          <w:p w14:paraId="70FBAAF3">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01DA2C8F">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29EC1C3A">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r>
      <w:tr w14:paraId="2070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vAlign w:val="center"/>
          </w:tcPr>
          <w:p w14:paraId="42DD9935">
            <w:pPr>
              <w:jc w:val="center"/>
              <w:rPr>
                <w:rFonts w:ascii="Times New Roman" w:hAnsi="Times New Roman"/>
                <w:color w:val="000000" w:themeColor="text1"/>
                <w:sz w:val="18"/>
                <w:szCs w:val="18"/>
                <w14:textFill>
                  <w14:solidFill>
                    <w14:schemeClr w14:val="tx1"/>
                  </w14:solidFill>
                </w14:textFill>
              </w:rPr>
            </w:pPr>
          </w:p>
        </w:tc>
        <w:tc>
          <w:tcPr>
            <w:tcW w:w="993" w:type="dxa"/>
            <w:vAlign w:val="center"/>
          </w:tcPr>
          <w:p w14:paraId="4A4B6BC8">
            <w:pPr>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兼血瘀</w:t>
            </w:r>
          </w:p>
        </w:tc>
        <w:tc>
          <w:tcPr>
            <w:tcW w:w="1701" w:type="dxa"/>
            <w:vAlign w:val="center"/>
          </w:tcPr>
          <w:p w14:paraId="4A72B637">
            <w:pPr>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丹参注射液结合西医常规治疗（2C）</w:t>
            </w:r>
          </w:p>
        </w:tc>
        <w:tc>
          <w:tcPr>
            <w:tcW w:w="709" w:type="dxa"/>
            <w:vAlign w:val="center"/>
          </w:tcPr>
          <w:p w14:paraId="2DC53EAA">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vAlign w:val="center"/>
          </w:tcPr>
          <w:p w14:paraId="0301BBB4">
            <w:pPr>
              <w:jc w:val="center"/>
              <w:rPr>
                <w:rFonts w:ascii="Times New Roman" w:hAnsi="Times New Roman"/>
                <w:color w:val="000000" w:themeColor="text1"/>
                <w:kern w:val="0"/>
                <w:sz w:val="18"/>
                <w:szCs w:val="18"/>
                <w14:textFill>
                  <w14:solidFill>
                    <w14:schemeClr w14:val="tx1"/>
                  </w14:solidFill>
                </w14:textFill>
              </w:rPr>
            </w:pPr>
          </w:p>
        </w:tc>
        <w:tc>
          <w:tcPr>
            <w:tcW w:w="1134" w:type="dxa"/>
            <w:vAlign w:val="center"/>
          </w:tcPr>
          <w:p w14:paraId="748AA7DA">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065650A2">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3860199D">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59C36FCE">
            <w:pPr>
              <w:jc w:val="center"/>
              <w:rPr>
                <w:rFonts w:ascii="Times New Roman" w:hAnsi="Times New Roman"/>
                <w:color w:val="000000" w:themeColor="text1"/>
                <w:kern w:val="0"/>
                <w:sz w:val="18"/>
                <w:szCs w:val="18"/>
                <w14:textFill>
                  <w14:solidFill>
                    <w14:schemeClr w14:val="tx1"/>
                  </w14:solidFill>
                </w14:textFill>
              </w:rPr>
            </w:pPr>
          </w:p>
        </w:tc>
        <w:tc>
          <w:tcPr>
            <w:tcW w:w="708" w:type="dxa"/>
            <w:vAlign w:val="center"/>
          </w:tcPr>
          <w:p w14:paraId="39A50E86">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0C2AF89C">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6790288D">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r>
      <w:tr w14:paraId="5EC66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restart"/>
            <w:vAlign w:val="center"/>
          </w:tcPr>
          <w:p w14:paraId="17C569F6">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肝肾阴虚证</w:t>
            </w:r>
          </w:p>
        </w:tc>
        <w:tc>
          <w:tcPr>
            <w:tcW w:w="993" w:type="dxa"/>
            <w:vAlign w:val="center"/>
          </w:tcPr>
          <w:p w14:paraId="0B7EBE9D">
            <w:pPr>
              <w:jc w:val="left"/>
              <w:rPr>
                <w:rFonts w:ascii="Times New Roman" w:hAnsi="Times New Roman"/>
                <w:color w:val="000000" w:themeColor="text1"/>
                <w:sz w:val="18"/>
                <w:szCs w:val="18"/>
                <w14:textFill>
                  <w14:solidFill>
                    <w14:schemeClr w14:val="tx1"/>
                  </w14:solidFill>
                </w14:textFill>
              </w:rPr>
            </w:pPr>
          </w:p>
        </w:tc>
        <w:tc>
          <w:tcPr>
            <w:tcW w:w="1701" w:type="dxa"/>
            <w:vAlign w:val="center"/>
          </w:tcPr>
          <w:p w14:paraId="18634203">
            <w:pPr>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杞菊地黄丸</w:t>
            </w:r>
            <w:r>
              <w:rPr>
                <w:rFonts w:hint="eastAsia" w:ascii="Times New Roman" w:hAnsi="Times New Roman"/>
                <w:color w:val="000000" w:themeColor="text1"/>
                <w:sz w:val="18"/>
                <w:szCs w:val="18"/>
                <w14:textFill>
                  <w14:solidFill>
                    <w14:schemeClr w14:val="tx1"/>
                  </w14:solidFill>
                </w14:textFill>
              </w:rPr>
              <w:t>结合西医常规治疗</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1C）</w:t>
            </w:r>
          </w:p>
        </w:tc>
        <w:tc>
          <w:tcPr>
            <w:tcW w:w="709" w:type="dxa"/>
            <w:vAlign w:val="center"/>
          </w:tcPr>
          <w:p w14:paraId="32E830AD">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vAlign w:val="center"/>
          </w:tcPr>
          <w:p w14:paraId="10A0308C">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1134" w:type="dxa"/>
            <w:vAlign w:val="center"/>
          </w:tcPr>
          <w:p w14:paraId="6C731A36">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16C18208">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18A61C7D">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379FA800">
            <w:pPr>
              <w:jc w:val="center"/>
              <w:rPr>
                <w:rFonts w:ascii="Times New Roman" w:hAnsi="Times New Roman"/>
                <w:color w:val="000000" w:themeColor="text1"/>
                <w:kern w:val="0"/>
                <w:sz w:val="18"/>
                <w:szCs w:val="18"/>
                <w14:textFill>
                  <w14:solidFill>
                    <w14:schemeClr w14:val="tx1"/>
                  </w14:solidFill>
                </w14:textFill>
              </w:rPr>
            </w:pPr>
          </w:p>
        </w:tc>
        <w:tc>
          <w:tcPr>
            <w:tcW w:w="708" w:type="dxa"/>
            <w:vAlign w:val="center"/>
          </w:tcPr>
          <w:p w14:paraId="02FCD182">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37FE22F9">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2B906D86">
            <w:pPr>
              <w:jc w:val="center"/>
              <w:rPr>
                <w:rFonts w:ascii="Times New Roman" w:hAnsi="Times New Roman"/>
                <w:color w:val="000000" w:themeColor="text1"/>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r>
      <w:tr w14:paraId="2F8B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vAlign w:val="center"/>
          </w:tcPr>
          <w:p w14:paraId="7C814214">
            <w:pPr>
              <w:jc w:val="center"/>
              <w:rPr>
                <w:rFonts w:ascii="Times New Roman" w:hAnsi="Times New Roman"/>
                <w:color w:val="000000" w:themeColor="text1"/>
                <w:sz w:val="18"/>
                <w:szCs w:val="18"/>
                <w14:textFill>
                  <w14:solidFill>
                    <w14:schemeClr w14:val="tx1"/>
                  </w14:solidFill>
                </w14:textFill>
              </w:rPr>
            </w:pPr>
          </w:p>
        </w:tc>
        <w:tc>
          <w:tcPr>
            <w:tcW w:w="993" w:type="dxa"/>
            <w:vAlign w:val="center"/>
          </w:tcPr>
          <w:p w14:paraId="05D0EFE2">
            <w:pPr>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重度偏肝阳上亢</w:t>
            </w:r>
          </w:p>
        </w:tc>
        <w:tc>
          <w:tcPr>
            <w:tcW w:w="1701" w:type="dxa"/>
            <w:vAlign w:val="center"/>
          </w:tcPr>
          <w:p w14:paraId="3B8F52E5">
            <w:pPr>
              <w:jc w:val="left"/>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天麻钩藤饮</w:t>
            </w:r>
            <w:r>
              <w:rPr>
                <w:rFonts w:hint="eastAsia" w:ascii="Times New Roman" w:hAnsi="Times New Roman"/>
                <w:color w:val="000000" w:themeColor="text1"/>
                <w:sz w:val="18"/>
                <w:szCs w:val="18"/>
                <w14:textFill>
                  <w14:solidFill>
                    <w14:schemeClr w14:val="tx1"/>
                  </w14:solidFill>
                </w14:textFill>
              </w:rPr>
              <w:t>结合西医常规治疗</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1C</w:t>
            </w:r>
            <w:r>
              <w:rPr>
                <w:rFonts w:ascii="Times New Roman" w:hAnsi="Times New Roman"/>
                <w:color w:val="000000" w:themeColor="text1"/>
                <w:sz w:val="18"/>
                <w:szCs w:val="18"/>
                <w14:textFill>
                  <w14:solidFill>
                    <w14:schemeClr w14:val="tx1"/>
                  </w14:solidFill>
                </w14:textFill>
              </w:rPr>
              <w:t>）</w:t>
            </w:r>
          </w:p>
        </w:tc>
        <w:tc>
          <w:tcPr>
            <w:tcW w:w="709" w:type="dxa"/>
            <w:vAlign w:val="center"/>
          </w:tcPr>
          <w:p w14:paraId="046BF1F6">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vAlign w:val="center"/>
          </w:tcPr>
          <w:p w14:paraId="3C2E2AE2">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1134" w:type="dxa"/>
            <w:vAlign w:val="center"/>
          </w:tcPr>
          <w:p w14:paraId="522FE2A3">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12166C72">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014B141B">
            <w:pPr>
              <w:jc w:val="center"/>
              <w:rPr>
                <w:rFonts w:ascii="Segoe UI Symbol" w:hAnsi="Segoe UI Symbol" w:cs="Segoe UI Symbol"/>
                <w:color w:val="000000" w:themeColor="text1"/>
                <w:sz w:val="18"/>
                <w:szCs w:val="18"/>
                <w:shd w:val="clear" w:color="auto" w:fill="FFFFFF"/>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384EF63F">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8" w:type="dxa"/>
            <w:vAlign w:val="center"/>
          </w:tcPr>
          <w:p w14:paraId="4849AFB2">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4DE618AE">
            <w:pPr>
              <w:jc w:val="center"/>
              <w:rPr>
                <w:rFonts w:ascii="Segoe UI Symbol" w:hAnsi="Segoe UI Symbol" w:cs="Segoe UI Symbol"/>
                <w:color w:val="000000" w:themeColor="text1"/>
                <w:sz w:val="18"/>
                <w:szCs w:val="18"/>
                <w:shd w:val="clear" w:color="auto" w:fill="FFFFFF"/>
                <w14:textFill>
                  <w14:solidFill>
                    <w14:schemeClr w14:val="tx1"/>
                  </w14:solidFill>
                </w14:textFill>
              </w:rPr>
            </w:pPr>
          </w:p>
        </w:tc>
        <w:tc>
          <w:tcPr>
            <w:tcW w:w="709" w:type="dxa"/>
            <w:vAlign w:val="center"/>
          </w:tcPr>
          <w:p w14:paraId="0F4D9CF6">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r>
      <w:tr w14:paraId="3869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vMerge w:val="continue"/>
            <w:vAlign w:val="center"/>
          </w:tcPr>
          <w:p w14:paraId="0CA410E5">
            <w:pPr>
              <w:jc w:val="center"/>
              <w:rPr>
                <w:rFonts w:ascii="Times New Roman" w:hAnsi="Times New Roman"/>
                <w:color w:val="000000" w:themeColor="text1"/>
                <w:sz w:val="18"/>
                <w:szCs w:val="18"/>
                <w14:textFill>
                  <w14:solidFill>
                    <w14:schemeClr w14:val="tx1"/>
                  </w14:solidFill>
                </w14:textFill>
              </w:rPr>
            </w:pPr>
          </w:p>
        </w:tc>
        <w:tc>
          <w:tcPr>
            <w:tcW w:w="993" w:type="dxa"/>
            <w:vAlign w:val="center"/>
          </w:tcPr>
          <w:p w14:paraId="0D28C6F5">
            <w:pPr>
              <w:jc w:val="lef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重度偏热极生风</w:t>
            </w:r>
          </w:p>
        </w:tc>
        <w:tc>
          <w:tcPr>
            <w:tcW w:w="1701" w:type="dxa"/>
            <w:vAlign w:val="center"/>
          </w:tcPr>
          <w:p w14:paraId="70656D75">
            <w:pPr>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羚角钩藤汤</w:t>
            </w:r>
            <w:r>
              <w:rPr>
                <w:rFonts w:hint="eastAsia" w:ascii="Times New Roman" w:hAnsi="Times New Roman"/>
                <w:color w:val="000000" w:themeColor="text1"/>
                <w:sz w:val="18"/>
                <w:szCs w:val="18"/>
                <w14:textFill>
                  <w14:solidFill>
                    <w14:schemeClr w14:val="tx1"/>
                  </w14:solidFill>
                </w14:textFill>
              </w:rPr>
              <w:t>结合西医常规治疗</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1C</w:t>
            </w:r>
            <w:r>
              <w:rPr>
                <w:rFonts w:ascii="Times New Roman" w:hAnsi="Times New Roman"/>
                <w:color w:val="000000" w:themeColor="text1"/>
                <w:sz w:val="18"/>
                <w:szCs w:val="18"/>
                <w14:textFill>
                  <w14:solidFill>
                    <w14:schemeClr w14:val="tx1"/>
                  </w14:solidFill>
                </w14:textFill>
              </w:rPr>
              <w:t>）</w:t>
            </w:r>
          </w:p>
        </w:tc>
        <w:tc>
          <w:tcPr>
            <w:tcW w:w="709" w:type="dxa"/>
            <w:vAlign w:val="center"/>
          </w:tcPr>
          <w:p w14:paraId="7E251424">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vAlign w:val="center"/>
          </w:tcPr>
          <w:p w14:paraId="6F82A5D5">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1134" w:type="dxa"/>
            <w:vAlign w:val="center"/>
          </w:tcPr>
          <w:p w14:paraId="0220C6DB">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3E797761">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54E5AA71">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09C8989B">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vAlign w:val="center"/>
          </w:tcPr>
          <w:p w14:paraId="6F9326D5">
            <w:pPr>
              <w:jc w:val="center"/>
              <w:rPr>
                <w:rFonts w:ascii="Times New Roman" w:hAnsi="Times New Roman"/>
                <w:color w:val="000000" w:themeColor="text1"/>
                <w:kern w:val="0"/>
                <w:sz w:val="18"/>
                <w:szCs w:val="18"/>
                <w14:textFill>
                  <w14:solidFill>
                    <w14:schemeClr w14:val="tx1"/>
                  </w14:solidFill>
                </w14:textFill>
              </w:rPr>
            </w:pPr>
          </w:p>
        </w:tc>
        <w:tc>
          <w:tcPr>
            <w:tcW w:w="709" w:type="dxa"/>
            <w:vAlign w:val="center"/>
          </w:tcPr>
          <w:p w14:paraId="7B459FE1">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vAlign w:val="center"/>
          </w:tcPr>
          <w:p w14:paraId="39136729">
            <w:pPr>
              <w:jc w:val="center"/>
              <w:rPr>
                <w:rFonts w:ascii="Times New Roman" w:hAnsi="Times New Roman"/>
                <w:color w:val="000000" w:themeColor="text1"/>
                <w:kern w:val="0"/>
                <w:sz w:val="18"/>
                <w:szCs w:val="18"/>
                <w14:textFill>
                  <w14:solidFill>
                    <w14:schemeClr w14:val="tx1"/>
                  </w14:solidFill>
                </w14:textFill>
              </w:rPr>
            </w:pPr>
          </w:p>
        </w:tc>
      </w:tr>
      <w:tr w14:paraId="1B40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gridSpan w:val="2"/>
            <w:tcBorders>
              <w:bottom w:val="single" w:color="auto" w:sz="12" w:space="0"/>
            </w:tcBorders>
            <w:vAlign w:val="center"/>
          </w:tcPr>
          <w:p w14:paraId="3E18ADD5">
            <w:pPr>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脾虚肝旺证</w:t>
            </w:r>
          </w:p>
        </w:tc>
        <w:tc>
          <w:tcPr>
            <w:tcW w:w="1701" w:type="dxa"/>
            <w:tcBorders>
              <w:bottom w:val="single" w:color="auto" w:sz="12" w:space="0"/>
            </w:tcBorders>
            <w:vAlign w:val="center"/>
          </w:tcPr>
          <w:p w14:paraId="53D19EAB">
            <w:pPr>
              <w:jc w:val="lef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半夏白术天麻汤</w:t>
            </w:r>
            <w:r>
              <w:rPr>
                <w:rFonts w:hint="eastAsia" w:ascii="Times New Roman" w:hAnsi="Times New Roman"/>
                <w:color w:val="000000" w:themeColor="text1"/>
                <w:sz w:val="18"/>
                <w:szCs w:val="18"/>
                <w14:textFill>
                  <w14:solidFill>
                    <w14:schemeClr w14:val="tx1"/>
                  </w14:solidFill>
                </w14:textFill>
              </w:rPr>
              <w:t>结合西医常规治疗</w:t>
            </w:r>
            <w:r>
              <w:rPr>
                <w:rFonts w:ascii="Times New Roman" w:hAnsi="Times New Roman"/>
                <w:color w:val="000000" w:themeColor="text1"/>
                <w:sz w:val="18"/>
                <w:szCs w:val="18"/>
                <w14:textFill>
                  <w14:solidFill>
                    <w14:schemeClr w14:val="tx1"/>
                  </w14:solidFill>
                </w14:textFill>
              </w:rPr>
              <w:t>（</w:t>
            </w:r>
            <w:r>
              <w:rPr>
                <w:rFonts w:hint="eastAsia" w:ascii="Times New Roman" w:hAnsi="Times New Roman"/>
                <w:color w:val="000000" w:themeColor="text1"/>
                <w:sz w:val="18"/>
                <w:szCs w:val="18"/>
                <w14:textFill>
                  <w14:solidFill>
                    <w14:schemeClr w14:val="tx1"/>
                  </w14:solidFill>
                </w14:textFill>
              </w:rPr>
              <w:t>1D</w:t>
            </w:r>
            <w:r>
              <w:rPr>
                <w:rFonts w:ascii="Times New Roman" w:hAnsi="Times New Roman"/>
                <w:color w:val="000000" w:themeColor="text1"/>
                <w:sz w:val="18"/>
                <w:szCs w:val="18"/>
                <w14:textFill>
                  <w14:solidFill>
                    <w14:schemeClr w14:val="tx1"/>
                  </w14:solidFill>
                </w14:textFill>
              </w:rPr>
              <w:t>）</w:t>
            </w:r>
          </w:p>
        </w:tc>
        <w:tc>
          <w:tcPr>
            <w:tcW w:w="709" w:type="dxa"/>
            <w:tcBorders>
              <w:bottom w:val="single" w:color="auto" w:sz="12" w:space="0"/>
            </w:tcBorders>
            <w:vAlign w:val="center"/>
          </w:tcPr>
          <w:p w14:paraId="2BC0DB3E">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8" w:type="dxa"/>
            <w:tcBorders>
              <w:bottom w:val="single" w:color="auto" w:sz="12" w:space="0"/>
            </w:tcBorders>
            <w:vAlign w:val="center"/>
          </w:tcPr>
          <w:p w14:paraId="20A79A30">
            <w:pPr>
              <w:jc w:val="center"/>
              <w:rPr>
                <w:rFonts w:ascii="Times New Roman" w:hAnsi="Times New Roman"/>
                <w:color w:val="000000" w:themeColor="text1"/>
                <w:kern w:val="0"/>
                <w:sz w:val="18"/>
                <w:szCs w:val="18"/>
                <w14:textFill>
                  <w14:solidFill>
                    <w14:schemeClr w14:val="tx1"/>
                  </w14:solidFill>
                </w14:textFill>
              </w:rPr>
            </w:pPr>
          </w:p>
        </w:tc>
        <w:tc>
          <w:tcPr>
            <w:tcW w:w="1134" w:type="dxa"/>
            <w:tcBorders>
              <w:bottom w:val="single" w:color="auto" w:sz="12" w:space="0"/>
            </w:tcBorders>
            <w:vAlign w:val="center"/>
          </w:tcPr>
          <w:p w14:paraId="58D2F3E9">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bottom w:val="single" w:color="auto" w:sz="12" w:space="0"/>
            </w:tcBorders>
            <w:vAlign w:val="center"/>
          </w:tcPr>
          <w:p w14:paraId="2FE40EA2">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tcBorders>
              <w:bottom w:val="single" w:color="auto" w:sz="12" w:space="0"/>
            </w:tcBorders>
            <w:vAlign w:val="center"/>
          </w:tcPr>
          <w:p w14:paraId="5B122049">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c>
          <w:tcPr>
            <w:tcW w:w="709" w:type="dxa"/>
            <w:tcBorders>
              <w:bottom w:val="single" w:color="auto" w:sz="12" w:space="0"/>
            </w:tcBorders>
            <w:vAlign w:val="center"/>
          </w:tcPr>
          <w:p w14:paraId="616D7CA4">
            <w:pPr>
              <w:jc w:val="center"/>
              <w:rPr>
                <w:rFonts w:ascii="Times New Roman" w:hAnsi="Times New Roman"/>
                <w:color w:val="000000" w:themeColor="text1"/>
                <w:kern w:val="0"/>
                <w:sz w:val="18"/>
                <w:szCs w:val="18"/>
                <w14:textFill>
                  <w14:solidFill>
                    <w14:schemeClr w14:val="tx1"/>
                  </w14:solidFill>
                </w14:textFill>
              </w:rPr>
            </w:pPr>
          </w:p>
        </w:tc>
        <w:tc>
          <w:tcPr>
            <w:tcW w:w="708" w:type="dxa"/>
            <w:tcBorders>
              <w:bottom w:val="single" w:color="auto" w:sz="12" w:space="0"/>
            </w:tcBorders>
            <w:vAlign w:val="center"/>
          </w:tcPr>
          <w:p w14:paraId="40537D8A">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bottom w:val="single" w:color="auto" w:sz="12" w:space="0"/>
            </w:tcBorders>
            <w:vAlign w:val="center"/>
          </w:tcPr>
          <w:p w14:paraId="5E03E86E">
            <w:pPr>
              <w:jc w:val="center"/>
              <w:rPr>
                <w:rFonts w:ascii="Times New Roman" w:hAnsi="Times New Roman"/>
                <w:color w:val="000000" w:themeColor="text1"/>
                <w:kern w:val="0"/>
                <w:sz w:val="18"/>
                <w:szCs w:val="18"/>
                <w14:textFill>
                  <w14:solidFill>
                    <w14:schemeClr w14:val="tx1"/>
                  </w14:solidFill>
                </w14:textFill>
              </w:rPr>
            </w:pPr>
          </w:p>
        </w:tc>
        <w:tc>
          <w:tcPr>
            <w:tcW w:w="709" w:type="dxa"/>
            <w:tcBorders>
              <w:bottom w:val="single" w:color="auto" w:sz="12" w:space="0"/>
            </w:tcBorders>
            <w:vAlign w:val="center"/>
          </w:tcPr>
          <w:p w14:paraId="56F8A0DF">
            <w:pPr>
              <w:jc w:val="center"/>
              <w:rPr>
                <w:rFonts w:ascii="Times New Roman" w:hAnsi="Times New Roman"/>
                <w:color w:val="000000" w:themeColor="text1"/>
                <w:kern w:val="0"/>
                <w:sz w:val="18"/>
                <w:szCs w:val="18"/>
                <w14:textFill>
                  <w14:solidFill>
                    <w14:schemeClr w14:val="tx1"/>
                  </w14:solidFill>
                </w14:textFill>
              </w:rPr>
            </w:pPr>
            <w:r>
              <w:rPr>
                <w:rFonts w:ascii="Segoe UI Symbol" w:hAnsi="Segoe UI Symbol" w:cs="Segoe UI Symbol"/>
                <w:color w:val="000000" w:themeColor="text1"/>
                <w:sz w:val="18"/>
                <w:szCs w:val="18"/>
                <w:shd w:val="clear" w:color="auto" w:fill="FFFFFF"/>
                <w14:textFill>
                  <w14:solidFill>
                    <w14:schemeClr w14:val="tx1"/>
                  </w14:solidFill>
                </w14:textFill>
              </w:rPr>
              <w:t>✓</w:t>
            </w:r>
          </w:p>
        </w:tc>
      </w:tr>
    </w:tbl>
    <w:p w14:paraId="11C2C15A">
      <w:pPr>
        <w:pStyle w:val="33"/>
        <w:numPr>
          <w:ilvl w:val="1"/>
          <w:numId w:val="0"/>
        </w:numPr>
        <w:spacing w:before="120" w:after="120"/>
        <w:outlineLvl w:val="9"/>
        <w:rPr>
          <w:color w:val="000000" w:themeColor="text1"/>
          <w14:textFill>
            <w14:solidFill>
              <w14:schemeClr w14:val="tx1"/>
            </w14:solidFill>
          </w14:textFill>
        </w:rPr>
      </w:pPr>
    </w:p>
    <w:p w14:paraId="778050EA">
      <w:pPr>
        <w:pStyle w:val="33"/>
        <w:numPr>
          <w:ilvl w:val="1"/>
          <w:numId w:val="0"/>
        </w:numPr>
        <w:spacing w:before="240" w:beforeLines="100" w:after="240" w:afterLines="100" w:line="360" w:lineRule="auto"/>
        <w:outlineLvl w:val="0"/>
        <w:rPr>
          <w:rFonts w:ascii="Times New Roman" w:hAnsi="Times New Roman" w:cs="Times New Roman" w:eastAsiaTheme="minorEastAsia"/>
          <w:b/>
          <w:bCs/>
          <w:color w:val="000000" w:themeColor="text1"/>
          <w:szCs w:val="21"/>
          <w14:textFill>
            <w14:solidFill>
              <w14:schemeClr w14:val="tx1"/>
            </w14:solidFill>
          </w14:textFill>
        </w:rPr>
      </w:pPr>
      <w:bookmarkStart w:id="85" w:name="_Toc294297516"/>
      <w:bookmarkStart w:id="86" w:name="_Toc1615954983"/>
      <w:r>
        <w:rPr>
          <w:rFonts w:hint="eastAsia" w:ascii="Times New Roman" w:hAnsi="Times New Roman" w:cs="Times New Roman" w:eastAsiaTheme="minorEastAsia"/>
          <w:b/>
          <w:bCs/>
          <w:color w:val="000000" w:themeColor="text1"/>
          <w:szCs w:val="21"/>
          <w14:textFill>
            <w14:solidFill>
              <w14:schemeClr w14:val="tx1"/>
            </w14:solidFill>
          </w14:textFill>
        </w:rPr>
        <w:t>8</w:t>
      </w:r>
      <w:r>
        <w:rPr>
          <w:rFonts w:ascii="Times New Roman" w:hAnsi="Times New Roman" w:cs="Times New Roman" w:eastAsiaTheme="minorEastAsia"/>
          <w:b/>
          <w:bCs/>
          <w:color w:val="000000" w:themeColor="text1"/>
          <w:szCs w:val="21"/>
          <w14:textFill>
            <w14:solidFill>
              <w14:schemeClr w14:val="tx1"/>
            </w14:solidFill>
          </w14:textFill>
        </w:rPr>
        <w:t xml:space="preserve">  </w:t>
      </w:r>
      <w:r>
        <w:rPr>
          <w:rFonts w:hint="eastAsia" w:ascii="Times New Roman" w:hAnsi="Times New Roman" w:cs="Times New Roman" w:eastAsiaTheme="minorEastAsia"/>
          <w:b/>
          <w:bCs/>
          <w:color w:val="000000" w:themeColor="text1"/>
          <w:szCs w:val="21"/>
          <w14:textFill>
            <w14:solidFill>
              <w14:schemeClr w14:val="tx1"/>
            </w14:solidFill>
          </w14:textFill>
        </w:rPr>
        <w:t>中医诊疗流程图</w:t>
      </w:r>
      <w:bookmarkEnd w:id="85"/>
      <w:bookmarkEnd w:id="86"/>
    </w:p>
    <w:bookmarkEnd w:id="22"/>
    <w:bookmarkEnd w:id="23"/>
    <w:p w14:paraId="10AD1C31">
      <w:pPr>
        <w:widowControl/>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drawing>
          <wp:inline distT="0" distB="0" distL="0" distR="0">
            <wp:extent cx="5278120" cy="3435350"/>
            <wp:effectExtent l="0" t="0" r="5080" b="6350"/>
            <wp:docPr id="2099805690" name="图片 6"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05690" name="图片 6" descr="形状&#10;&#10;中度可信度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8120" cy="3435350"/>
                    </a:xfrm>
                    <a:prstGeom prst="rect">
                      <a:avLst/>
                    </a:prstGeom>
                  </pic:spPr>
                </pic:pic>
              </a:graphicData>
            </a:graphic>
          </wp:inline>
        </w:drawing>
      </w:r>
      <w:r>
        <w:rPr>
          <w:rFonts w:ascii="Times New Roman" w:hAnsi="Times New Roman"/>
          <w:color w:val="000000" w:themeColor="text1"/>
          <w:sz w:val="24"/>
          <w:szCs w:val="24"/>
          <w14:textFill>
            <w14:solidFill>
              <w14:schemeClr w14:val="tx1"/>
            </w14:solidFill>
          </w14:textFill>
        </w:rPr>
        <w:br w:type="page"/>
      </w:r>
    </w:p>
    <w:p w14:paraId="5C1F4EF4">
      <w:pPr>
        <w:spacing w:line="360" w:lineRule="auto"/>
        <w:jc w:val="center"/>
        <w:outlineLvl w:val="0"/>
        <w:rPr>
          <w:rFonts w:ascii="Times New Roman" w:hAnsi="Times New Roman"/>
          <w:color w:val="000000" w:themeColor="text1"/>
          <w:spacing w:val="-1"/>
          <w14:textFill>
            <w14:solidFill>
              <w14:schemeClr w14:val="tx1"/>
            </w14:solidFill>
          </w14:textFill>
        </w:rPr>
      </w:pPr>
      <w:bookmarkStart w:id="87" w:name="_Toc129715672"/>
      <w:bookmarkStart w:id="88" w:name="_Toc603512371"/>
      <w:r>
        <w:rPr>
          <w:rFonts w:ascii="Times New Roman" w:hAnsi="Times New Roman"/>
          <w:color w:val="000000" w:themeColor="text1"/>
          <w:spacing w:val="-1"/>
          <w14:textFill>
            <w14:solidFill>
              <w14:schemeClr w14:val="tx1"/>
            </w14:solidFill>
          </w14:textFill>
        </w:rPr>
        <w:t>附录A</w:t>
      </w:r>
      <w:bookmarkEnd w:id="87"/>
      <w:bookmarkEnd w:id="88"/>
    </w:p>
    <w:p w14:paraId="3824C799">
      <w:pPr>
        <w:spacing w:line="360" w:lineRule="auto"/>
        <w:jc w:val="center"/>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（资料性）</w:t>
      </w:r>
    </w:p>
    <w:p w14:paraId="760A1411">
      <w:pPr>
        <w:pStyle w:val="34"/>
        <w:spacing w:line="360" w:lineRule="exact"/>
        <w:ind w:firstLine="0" w:firstLineChars="0"/>
        <w:outlineLvl w:val="0"/>
        <w:rPr>
          <w:rFonts w:ascii="Times New Roman" w:hAnsi="Times New Roman" w:cs="Times New Roman" w:eastAsiaTheme="majorEastAsia"/>
          <w:b/>
          <w:bCs/>
          <w:color w:val="000000" w:themeColor="text1"/>
          <w:sz w:val="21"/>
          <w:szCs w:val="21"/>
          <w14:textFill>
            <w14:solidFill>
              <w14:schemeClr w14:val="tx1"/>
            </w14:solidFill>
          </w14:textFill>
        </w:rPr>
      </w:pPr>
      <w:r>
        <w:rPr>
          <w:rFonts w:hint="eastAsia" w:ascii="Times New Roman" w:hAnsi="Times New Roman" w:cs="Times New Roman" w:eastAsiaTheme="majorEastAsia"/>
          <w:b/>
          <w:bCs/>
          <w:color w:val="000000" w:themeColor="text1"/>
          <w:sz w:val="21"/>
          <w:szCs w:val="21"/>
          <w14:textFill>
            <w14:solidFill>
              <w14:schemeClr w14:val="tx1"/>
            </w14:solidFill>
          </w14:textFill>
        </w:rPr>
        <w:t>确定并构建</w:t>
      </w:r>
      <w:r>
        <w:rPr>
          <w:rFonts w:ascii="Times New Roman" w:hAnsi="Times New Roman" w:cs="Times New Roman" w:eastAsiaTheme="majorEastAsia"/>
          <w:b/>
          <w:bCs/>
          <w:color w:val="000000" w:themeColor="text1"/>
          <w:sz w:val="21"/>
          <w:szCs w:val="21"/>
          <w14:textFill>
            <w14:solidFill>
              <w14:schemeClr w14:val="tx1"/>
            </w14:solidFill>
          </w14:textFill>
        </w:rPr>
        <w:t>临床问题</w:t>
      </w:r>
    </w:p>
    <w:p w14:paraId="7BB0C80F">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本文件通过专家访谈、组内讨论及临床调研并经起草组专家共识最终形成以下临床问题：</w:t>
      </w:r>
    </w:p>
    <w:p w14:paraId="47F7D944">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子痫前期的定义及中医病名？</w:t>
      </w:r>
    </w:p>
    <w:p w14:paraId="0A56DC40">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子痫前期的中医病因和西医发病机制？</w:t>
      </w:r>
    </w:p>
    <w:p w14:paraId="414C2EDC">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子痫前期的中西医诊断（西医疾病诊断、中医证候诊断）？</w:t>
      </w:r>
    </w:p>
    <w:p w14:paraId="22AE7CD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子痫前期的鉴别诊断？</w:t>
      </w:r>
    </w:p>
    <w:p w14:paraId="1AF76865">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子痫前期的中医治疗原则？</w:t>
      </w:r>
    </w:p>
    <w:p w14:paraId="206CB7F2">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适用于治疗子痫前期脾虚证的方剂包括哪些，疗效如何？</w:t>
      </w:r>
    </w:p>
    <w:p w14:paraId="05D97CCF">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适用于治疗子痫前期肾阳虚证的方剂包括哪些，疗效如何？</w:t>
      </w:r>
    </w:p>
    <w:p w14:paraId="0395C607">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适用于治疗子痫前期气滞证的方剂包括哪些，疗效如何？</w:t>
      </w:r>
    </w:p>
    <w:p w14:paraId="23DAB032">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适用于治疗子痫前期肝肾阴虚证的方剂包括哪些，疗效如何？</w:t>
      </w:r>
    </w:p>
    <w:p w14:paraId="17A623BE">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适用于治疗子痫前期脾虚肝旺证的方剂包括哪些，疗效如何？</w:t>
      </w:r>
    </w:p>
    <w:p w14:paraId="5BB5DEA1">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非药物疗法治疗子痫前期疗效如何？</w:t>
      </w:r>
    </w:p>
    <w:p w14:paraId="6B2A9F93">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中医疗法治疗子痫前期的安全性如何？</w:t>
      </w:r>
    </w:p>
    <w:p w14:paraId="5D38C97B">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子痫前期的早期预警信号包括什么？</w:t>
      </w:r>
    </w:p>
    <w:p w14:paraId="66964FEB">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对于具有子痫前期危险因素的患者，预防监测措施包括哪些？</w:t>
      </w:r>
    </w:p>
    <w:p w14:paraId="2F84DB37">
      <w:pPr>
        <w:pStyle w:val="34"/>
        <w:spacing w:line="360" w:lineRule="exact"/>
        <w:ind w:firstLine="42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子痫前期患者应如何管理孕期生活方式？</w:t>
      </w:r>
    </w:p>
    <w:p w14:paraId="16DA9597">
      <w:pPr>
        <w:widowControl/>
        <w:jc w:val="left"/>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br w:type="page"/>
      </w:r>
    </w:p>
    <w:p w14:paraId="5AA975B4">
      <w:pPr>
        <w:spacing w:line="360" w:lineRule="auto"/>
        <w:jc w:val="center"/>
        <w:outlineLvl w:val="0"/>
        <w:rPr>
          <w:rFonts w:ascii="Times New Roman" w:hAnsi="Times New Roman"/>
          <w:color w:val="000000" w:themeColor="text1"/>
          <w:spacing w:val="-1"/>
          <w14:textFill>
            <w14:solidFill>
              <w14:schemeClr w14:val="tx1"/>
            </w14:solidFill>
          </w14:textFill>
        </w:rPr>
      </w:pPr>
      <w:r>
        <w:rPr>
          <w:rFonts w:ascii="Times New Roman" w:hAnsi="Times New Roman"/>
          <w:color w:val="000000" w:themeColor="text1"/>
          <w:spacing w:val="-1"/>
          <w14:textFill>
            <w14:solidFill>
              <w14:schemeClr w14:val="tx1"/>
            </w14:solidFill>
          </w14:textFill>
        </w:rPr>
        <w:t>附录</w:t>
      </w:r>
      <w:r>
        <w:rPr>
          <w:rFonts w:hint="eastAsia" w:ascii="Times New Roman" w:hAnsi="Times New Roman"/>
          <w:color w:val="000000" w:themeColor="text1"/>
          <w:spacing w:val="-1"/>
          <w14:textFill>
            <w14:solidFill>
              <w14:schemeClr w14:val="tx1"/>
            </w14:solidFill>
          </w14:textFill>
        </w:rPr>
        <w:t>B</w:t>
      </w:r>
    </w:p>
    <w:p w14:paraId="32156EE8">
      <w:pPr>
        <w:spacing w:line="360" w:lineRule="auto"/>
        <w:jc w:val="center"/>
        <w:rPr>
          <w:rFonts w:ascii="Times New Roman" w:hAnsi="Times New Roman"/>
          <w:color w:val="000000" w:themeColor="text1"/>
          <w:spacing w:val="2"/>
          <w14:textFill>
            <w14:solidFill>
              <w14:schemeClr w14:val="tx1"/>
            </w14:solidFill>
          </w14:textFill>
        </w:rPr>
      </w:pPr>
      <w:r>
        <w:rPr>
          <w:rFonts w:ascii="Times New Roman" w:hAnsi="Times New Roman"/>
          <w:color w:val="000000" w:themeColor="text1"/>
          <w:spacing w:val="2"/>
          <w14:textFill>
            <w14:solidFill>
              <w14:schemeClr w14:val="tx1"/>
            </w14:solidFill>
          </w14:textFill>
        </w:rPr>
        <w:t>（资料性）</w:t>
      </w:r>
    </w:p>
    <w:p w14:paraId="7B4C7F10">
      <w:pPr>
        <w:spacing w:line="360" w:lineRule="auto"/>
        <w:jc w:val="center"/>
        <w:rPr>
          <w:rFonts w:ascii="Times New Roman" w:hAnsi="Times New Roman"/>
          <w:color w:val="000000" w:themeColor="text1"/>
          <w:spacing w:val="2"/>
          <w14:textFill>
            <w14:solidFill>
              <w14:schemeClr w14:val="tx1"/>
            </w14:solidFill>
          </w14:textFill>
        </w:rPr>
      </w:pPr>
      <w:r>
        <w:rPr>
          <w:rFonts w:hint="eastAsia" w:ascii="Times New Roman" w:hAnsi="Times New Roman"/>
          <w:color w:val="000000" w:themeColor="text1"/>
          <w:spacing w:val="2"/>
          <w14:textFill>
            <w14:solidFill>
              <w14:schemeClr w14:val="tx1"/>
            </w14:solidFill>
          </w14:textFill>
        </w:rPr>
        <w:t>证据概要表</w:t>
      </w:r>
    </w:p>
    <w:p w14:paraId="40B37F46">
      <w:pPr>
        <w:spacing w:line="140" w:lineRule="atLeast"/>
        <w:rPr>
          <w:rFonts w:ascii="Times New Roman" w:hAnsi="Times New Roman" w:eastAsiaTheme="majorEastAsia"/>
          <w:b/>
          <w:bCs/>
          <w:color w:val="000000"/>
          <w:lang w:val="en"/>
        </w:rPr>
      </w:pPr>
      <w:r>
        <w:rPr>
          <w:rFonts w:hint="eastAsia" w:ascii="Times New Roman" w:hAnsi="Times New Roman" w:eastAsiaTheme="majorEastAsia"/>
          <w:b/>
          <w:bCs/>
          <w:color w:val="000000"/>
          <w:lang w:val="en"/>
        </w:rPr>
        <w:t>丹参注射液</w:t>
      </w: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2"/>
        <w:gridCol w:w="1057"/>
        <w:gridCol w:w="1291"/>
        <w:gridCol w:w="1291"/>
        <w:gridCol w:w="2204"/>
      </w:tblGrid>
      <w:tr w14:paraId="71E5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41268103">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与西医常规治疗比较，丹参注射液治疗子痫前期收缩压如何</w:t>
            </w:r>
          </w:p>
        </w:tc>
        <w:tc>
          <w:tcPr>
            <w:tcW w:w="560" w:type="pct"/>
          </w:tcPr>
          <w:p w14:paraId="7D302F18">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3C8BB836">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4" w:type="pct"/>
          </w:tcPr>
          <w:p w14:paraId="5726B945">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039E7B1D">
            <w:pPr>
              <w:tabs>
                <w:tab w:val="left" w:pos="312"/>
              </w:tabs>
              <w:rPr>
                <w:rFonts w:ascii="Times New Roman" w:hAnsi="Times New Roman" w:eastAsiaTheme="majorEastAsia"/>
              </w:rPr>
            </w:pPr>
            <w:r>
              <w:rPr>
                <w:rFonts w:hint="eastAsia" w:ascii="Times New Roman" w:hAnsi="Times New Roman" w:eastAsiaTheme="majorEastAsia"/>
              </w:rPr>
              <w:t>收缩压</w:t>
            </w:r>
          </w:p>
        </w:tc>
      </w:tr>
      <w:tr w14:paraId="1473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165DE717">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96" w:type="pct"/>
            <w:gridSpan w:val="4"/>
          </w:tcPr>
          <w:p w14:paraId="2B772284">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1DB54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3E92A34F">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96" w:type="pct"/>
            <w:gridSpan w:val="4"/>
          </w:tcPr>
          <w:p w14:paraId="1A8FE79E">
            <w:pPr>
              <w:tabs>
                <w:tab w:val="left" w:pos="312"/>
              </w:tabs>
              <w:rPr>
                <w:rFonts w:ascii="Times New Roman" w:hAnsi="Times New Roman" w:eastAsiaTheme="majorEastAsia"/>
              </w:rPr>
            </w:pPr>
            <w:r>
              <w:rPr>
                <w:rFonts w:ascii="Times New Roman" w:hAnsi="Times New Roman" w:eastAsiaTheme="majorEastAsia"/>
              </w:rPr>
              <w:t>MD -1.79[95%CI:-5.04,1.46]</w:t>
            </w:r>
          </w:p>
        </w:tc>
      </w:tr>
      <w:tr w14:paraId="62D9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4EFEA41E">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96" w:type="pct"/>
            <w:gridSpan w:val="4"/>
          </w:tcPr>
          <w:p w14:paraId="19EAE180">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级证据（低）</w:t>
            </w:r>
          </w:p>
        </w:tc>
      </w:tr>
      <w:tr w14:paraId="1A41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54D0EAAB">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96" w:type="pct"/>
            <w:gridSpan w:val="4"/>
          </w:tcPr>
          <w:p w14:paraId="6DC784E0">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0FD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5B3EB816">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96" w:type="pct"/>
            <w:gridSpan w:val="4"/>
          </w:tcPr>
          <w:p w14:paraId="1028FF68">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83D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601BC9D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96" w:type="pct"/>
            <w:gridSpan w:val="4"/>
          </w:tcPr>
          <w:p w14:paraId="251A2D05">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丹参注射液较西医常规治疗子痫前期收缩压无差异</w:t>
            </w:r>
          </w:p>
        </w:tc>
      </w:tr>
    </w:tbl>
    <w:p w14:paraId="79E0DC3A">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1067"/>
        <w:gridCol w:w="1291"/>
        <w:gridCol w:w="1291"/>
        <w:gridCol w:w="2217"/>
      </w:tblGrid>
      <w:tr w14:paraId="19AF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426DA55D">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65" w:type="pct"/>
          </w:tcPr>
          <w:p w14:paraId="036DCA37">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3" w:type="pct"/>
          </w:tcPr>
          <w:p w14:paraId="25F342E6">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3" w:type="pct"/>
          </w:tcPr>
          <w:p w14:paraId="005A3DC3">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72" w:type="pct"/>
          </w:tcPr>
          <w:p w14:paraId="21000AE7">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581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6AD5A60E">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与西医常规治疗比较，丹参注射液治疗子痫前期舒张压如何</w:t>
            </w:r>
          </w:p>
        </w:tc>
        <w:tc>
          <w:tcPr>
            <w:tcW w:w="565" w:type="pct"/>
          </w:tcPr>
          <w:p w14:paraId="2150492B">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3" w:type="pct"/>
          </w:tcPr>
          <w:p w14:paraId="2013C79F">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3" w:type="pct"/>
          </w:tcPr>
          <w:p w14:paraId="31DDDFCD">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72" w:type="pct"/>
          </w:tcPr>
          <w:p w14:paraId="27DF886D">
            <w:pPr>
              <w:tabs>
                <w:tab w:val="left" w:pos="312"/>
              </w:tabs>
              <w:rPr>
                <w:rFonts w:ascii="Times New Roman" w:hAnsi="Times New Roman" w:eastAsiaTheme="majorEastAsia"/>
              </w:rPr>
            </w:pPr>
            <w:r>
              <w:rPr>
                <w:rFonts w:hint="eastAsia" w:ascii="Times New Roman" w:hAnsi="Times New Roman" w:eastAsiaTheme="majorEastAsia"/>
              </w:rPr>
              <w:t>舒张压</w:t>
            </w:r>
          </w:p>
        </w:tc>
      </w:tr>
      <w:tr w14:paraId="00DF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14FDB37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104" w:type="pct"/>
            <w:gridSpan w:val="4"/>
          </w:tcPr>
          <w:p w14:paraId="63DBC349">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27D2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20AAFC29">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104" w:type="pct"/>
            <w:gridSpan w:val="4"/>
          </w:tcPr>
          <w:p w14:paraId="5A98827E">
            <w:pPr>
              <w:tabs>
                <w:tab w:val="left" w:pos="312"/>
              </w:tabs>
              <w:rPr>
                <w:rFonts w:ascii="Times New Roman" w:hAnsi="Times New Roman" w:eastAsiaTheme="majorEastAsia"/>
              </w:rPr>
            </w:pPr>
            <w:r>
              <w:rPr>
                <w:rFonts w:ascii="Times New Roman" w:hAnsi="Times New Roman" w:eastAsiaTheme="majorEastAsia"/>
              </w:rPr>
              <w:t>MD -2.11[95%CI:-4.17,-0.05]</w:t>
            </w:r>
          </w:p>
        </w:tc>
      </w:tr>
      <w:tr w14:paraId="6477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63C202B2">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104" w:type="pct"/>
            <w:gridSpan w:val="4"/>
          </w:tcPr>
          <w:p w14:paraId="24EE491F">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级证据（低）</w:t>
            </w:r>
          </w:p>
        </w:tc>
      </w:tr>
      <w:tr w14:paraId="05AB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6965009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104" w:type="pct"/>
            <w:gridSpan w:val="4"/>
          </w:tcPr>
          <w:p w14:paraId="62D44D70">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08ED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23EA76AC">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104" w:type="pct"/>
            <w:gridSpan w:val="4"/>
          </w:tcPr>
          <w:p w14:paraId="74D7769A">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3785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5" w:type="pct"/>
          </w:tcPr>
          <w:p w14:paraId="2BE26861">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104" w:type="pct"/>
            <w:gridSpan w:val="4"/>
          </w:tcPr>
          <w:p w14:paraId="27CB2635">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丹参注射液较西医常规治疗子痫前期舒张压更低</w:t>
            </w:r>
          </w:p>
        </w:tc>
      </w:tr>
    </w:tbl>
    <w:p w14:paraId="1B3240B0">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1046"/>
        <w:gridCol w:w="1291"/>
        <w:gridCol w:w="1291"/>
        <w:gridCol w:w="2217"/>
      </w:tblGrid>
      <w:tr w14:paraId="05CD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71E855C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54" w:type="pct"/>
          </w:tcPr>
          <w:p w14:paraId="7930D70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3" w:type="pct"/>
          </w:tcPr>
          <w:p w14:paraId="61B6899A">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3" w:type="pct"/>
          </w:tcPr>
          <w:p w14:paraId="32C9B33C">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72" w:type="pct"/>
          </w:tcPr>
          <w:p w14:paraId="7EEDD9E9">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5578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433FA2D1">
            <w:pPr>
              <w:tabs>
                <w:tab w:val="left" w:pos="312"/>
              </w:tabs>
              <w:rPr>
                <w:rFonts w:ascii="Times New Roman" w:hAnsi="Times New Roman" w:eastAsiaTheme="majorEastAsia"/>
              </w:rPr>
            </w:pPr>
            <w:r>
              <w:rPr>
                <w:rFonts w:hint="eastAsia" w:ascii="Times New Roman" w:hAnsi="Times New Roman" w:eastAsiaTheme="majorEastAsia"/>
                <w:lang w:bidi="ar"/>
              </w:rPr>
              <w:t>丹参注射液治疗子痫前期平均动脉压如何</w:t>
            </w:r>
          </w:p>
        </w:tc>
        <w:tc>
          <w:tcPr>
            <w:tcW w:w="554" w:type="pct"/>
          </w:tcPr>
          <w:p w14:paraId="7B560FE0">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3" w:type="pct"/>
          </w:tcPr>
          <w:p w14:paraId="2FAC106B">
            <w:pPr>
              <w:tabs>
                <w:tab w:val="left" w:pos="312"/>
              </w:tabs>
              <w:rPr>
                <w:rFonts w:ascii="Times New Roman" w:hAnsi="Times New Roman" w:eastAsiaTheme="majorEastAsia"/>
              </w:rPr>
            </w:pPr>
            <w:r>
              <w:rPr>
                <w:rFonts w:hint="eastAsia" w:ascii="Times New Roman" w:hAnsi="Times New Roman" w:eastAsiaTheme="majorEastAsia"/>
              </w:rPr>
              <w:t>丹参注射液结合西医常规治疗</w:t>
            </w:r>
          </w:p>
        </w:tc>
        <w:tc>
          <w:tcPr>
            <w:tcW w:w="683" w:type="pct"/>
          </w:tcPr>
          <w:p w14:paraId="76FE9F13">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72" w:type="pct"/>
          </w:tcPr>
          <w:p w14:paraId="2129A3AD">
            <w:pPr>
              <w:tabs>
                <w:tab w:val="left" w:pos="312"/>
              </w:tabs>
              <w:rPr>
                <w:rFonts w:ascii="Times New Roman" w:hAnsi="Times New Roman" w:eastAsiaTheme="majorEastAsia"/>
              </w:rPr>
            </w:pPr>
            <w:r>
              <w:rPr>
                <w:rFonts w:hint="eastAsia" w:ascii="Times New Roman" w:hAnsi="Times New Roman" w:eastAsiaTheme="majorEastAsia"/>
                <w:lang w:bidi="ar"/>
              </w:rPr>
              <w:t>平均动脉压</w:t>
            </w:r>
          </w:p>
        </w:tc>
      </w:tr>
      <w:tr w14:paraId="2770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18ACD40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93" w:type="pct"/>
            <w:gridSpan w:val="4"/>
          </w:tcPr>
          <w:p w14:paraId="394F049C">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735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2537B38E">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93" w:type="pct"/>
            <w:gridSpan w:val="4"/>
          </w:tcPr>
          <w:p w14:paraId="64F0067B">
            <w:pPr>
              <w:tabs>
                <w:tab w:val="left" w:pos="312"/>
              </w:tabs>
              <w:rPr>
                <w:rFonts w:ascii="Times New Roman" w:hAnsi="Times New Roman" w:eastAsiaTheme="majorEastAsia"/>
              </w:rPr>
            </w:pPr>
            <w:r>
              <w:rPr>
                <w:rFonts w:ascii="Times New Roman" w:hAnsi="Times New Roman" w:eastAsiaTheme="majorEastAsia"/>
              </w:rPr>
              <w:t>MD -11.40[95%CI:-21.56,-1.24]</w:t>
            </w:r>
          </w:p>
        </w:tc>
      </w:tr>
      <w:tr w14:paraId="6A2C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0BF662F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93" w:type="pct"/>
            <w:gridSpan w:val="4"/>
          </w:tcPr>
          <w:p w14:paraId="064041E1">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级证据（低）</w:t>
            </w:r>
          </w:p>
        </w:tc>
      </w:tr>
      <w:tr w14:paraId="16E0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3783094C">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93" w:type="pct"/>
            <w:gridSpan w:val="4"/>
          </w:tcPr>
          <w:p w14:paraId="390884EC">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75E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2FB2868F">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93" w:type="pct"/>
            <w:gridSpan w:val="4"/>
          </w:tcPr>
          <w:p w14:paraId="6EE0F689">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969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pct"/>
          </w:tcPr>
          <w:p w14:paraId="1C61CD62">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93" w:type="pct"/>
            <w:gridSpan w:val="4"/>
          </w:tcPr>
          <w:p w14:paraId="6F10FA92">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丹参注射液结合西医常规治疗较西医常规治疗子痫前期平均动脉压更低</w:t>
            </w:r>
          </w:p>
        </w:tc>
      </w:tr>
    </w:tbl>
    <w:p w14:paraId="656A7626">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027"/>
        <w:gridCol w:w="1291"/>
        <w:gridCol w:w="1291"/>
        <w:gridCol w:w="2204"/>
      </w:tblGrid>
      <w:tr w14:paraId="5DBC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40438A76">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4" w:type="pct"/>
          </w:tcPr>
          <w:p w14:paraId="7A23B7F7">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47557C8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35976CB6">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0D324CE6">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1A3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2FC47D37">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与西医常规治疗比较，丹参注射液治疗子痫前期后</w:t>
            </w:r>
            <w:r>
              <w:rPr>
                <w:rFonts w:hint="eastAsia" w:ascii="Times New Roman" w:hAnsi="Times New Roman" w:eastAsiaTheme="majorEastAsia"/>
              </w:rPr>
              <w:t>重度子痫前期</w:t>
            </w:r>
            <w:r>
              <w:rPr>
                <w:rFonts w:ascii="Times New Roman" w:hAnsi="Times New Roman" w:eastAsiaTheme="majorEastAsia"/>
              </w:rPr>
              <w:t>/</w:t>
            </w:r>
            <w:r>
              <w:rPr>
                <w:rFonts w:hint="eastAsia" w:ascii="Times New Roman" w:hAnsi="Times New Roman" w:eastAsiaTheme="majorEastAsia"/>
              </w:rPr>
              <w:t>子痫发生率</w:t>
            </w:r>
            <w:r>
              <w:rPr>
                <w:rFonts w:hint="eastAsia" w:ascii="Times New Roman" w:hAnsi="Times New Roman" w:eastAsiaTheme="majorEastAsia"/>
                <w:lang w:bidi="ar"/>
              </w:rPr>
              <w:t>如何</w:t>
            </w:r>
          </w:p>
        </w:tc>
        <w:tc>
          <w:tcPr>
            <w:tcW w:w="544" w:type="pct"/>
          </w:tcPr>
          <w:p w14:paraId="200476A2">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6647DB8C">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4" w:type="pct"/>
          </w:tcPr>
          <w:p w14:paraId="6DBE7AA0">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3F733420">
            <w:pPr>
              <w:tabs>
                <w:tab w:val="left" w:pos="312"/>
              </w:tabs>
              <w:rPr>
                <w:rFonts w:ascii="Times New Roman" w:hAnsi="Times New Roman" w:eastAsiaTheme="majorEastAsia"/>
              </w:rPr>
            </w:pPr>
            <w:r>
              <w:rPr>
                <w:rFonts w:hint="eastAsia" w:ascii="Times New Roman" w:hAnsi="Times New Roman" w:eastAsiaTheme="majorEastAsia"/>
              </w:rPr>
              <w:t>重度子痫前期</w:t>
            </w:r>
            <w:r>
              <w:rPr>
                <w:rFonts w:ascii="Times New Roman" w:hAnsi="Times New Roman" w:eastAsiaTheme="majorEastAsia"/>
              </w:rPr>
              <w:t>/</w:t>
            </w:r>
            <w:r>
              <w:rPr>
                <w:rFonts w:hint="eastAsia" w:ascii="Times New Roman" w:hAnsi="Times New Roman" w:eastAsiaTheme="majorEastAsia"/>
              </w:rPr>
              <w:t>子痫发生率</w:t>
            </w:r>
          </w:p>
        </w:tc>
      </w:tr>
      <w:tr w14:paraId="08BB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3A89E425">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0" w:type="pct"/>
            <w:gridSpan w:val="4"/>
          </w:tcPr>
          <w:p w14:paraId="570227BF">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0C2C2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2338E3FE">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0" w:type="pct"/>
            <w:gridSpan w:val="4"/>
          </w:tcPr>
          <w:p w14:paraId="588F4A8F">
            <w:pPr>
              <w:tabs>
                <w:tab w:val="left" w:pos="312"/>
              </w:tabs>
              <w:rPr>
                <w:rFonts w:ascii="Times New Roman" w:hAnsi="Times New Roman" w:eastAsiaTheme="majorEastAsia"/>
              </w:rPr>
            </w:pPr>
            <w:r>
              <w:rPr>
                <w:rFonts w:ascii="Times New Roman" w:hAnsi="Times New Roman" w:eastAsiaTheme="majorEastAsia"/>
              </w:rPr>
              <w:t>RR 0.36[95%CI:0.12,1.11]</w:t>
            </w:r>
          </w:p>
        </w:tc>
      </w:tr>
      <w:tr w14:paraId="3C78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5F2B48F">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0" w:type="pct"/>
            <w:gridSpan w:val="4"/>
          </w:tcPr>
          <w:p w14:paraId="1B057C23">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级证据（低）</w:t>
            </w:r>
          </w:p>
        </w:tc>
      </w:tr>
      <w:tr w14:paraId="4EBC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3E37E03">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0" w:type="pct"/>
            <w:gridSpan w:val="4"/>
          </w:tcPr>
          <w:p w14:paraId="29662596">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157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3B021E84">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0" w:type="pct"/>
            <w:gridSpan w:val="4"/>
          </w:tcPr>
          <w:p w14:paraId="5B598CBC">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5666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5DFD570B">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0" w:type="pct"/>
            <w:gridSpan w:val="4"/>
          </w:tcPr>
          <w:p w14:paraId="5B0127F2">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丹参注射液较西医常规治疗子痫前期后</w:t>
            </w:r>
            <w:r>
              <w:rPr>
                <w:rFonts w:hint="eastAsia" w:ascii="Times New Roman" w:hAnsi="Times New Roman" w:eastAsiaTheme="majorEastAsia"/>
              </w:rPr>
              <w:t>重度子痫前期</w:t>
            </w:r>
            <w:r>
              <w:rPr>
                <w:rFonts w:ascii="Times New Roman" w:hAnsi="Times New Roman" w:eastAsiaTheme="majorEastAsia"/>
              </w:rPr>
              <w:t>/</w:t>
            </w:r>
            <w:r>
              <w:rPr>
                <w:rFonts w:hint="eastAsia" w:ascii="Times New Roman" w:hAnsi="Times New Roman" w:eastAsiaTheme="majorEastAsia"/>
              </w:rPr>
              <w:t>子痫发生率</w:t>
            </w:r>
            <w:r>
              <w:rPr>
                <w:rFonts w:hint="eastAsia" w:ascii="Times New Roman" w:hAnsi="Times New Roman" w:eastAsiaTheme="majorEastAsia"/>
                <w:lang w:bidi="ar"/>
              </w:rPr>
              <w:t>无差异</w:t>
            </w:r>
          </w:p>
        </w:tc>
      </w:tr>
    </w:tbl>
    <w:p w14:paraId="304EFFC4">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027"/>
        <w:gridCol w:w="1291"/>
        <w:gridCol w:w="1291"/>
        <w:gridCol w:w="2204"/>
      </w:tblGrid>
      <w:tr w14:paraId="7E48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1B6C543">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4" w:type="pct"/>
          </w:tcPr>
          <w:p w14:paraId="3BBA8AFC">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7E72B1BF">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1119E22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2906A081">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4A70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368A465E">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与西医常规治疗比较，丹参注射液治疗子痫前期尿蛋白水平如何</w:t>
            </w:r>
          </w:p>
        </w:tc>
        <w:tc>
          <w:tcPr>
            <w:tcW w:w="544" w:type="pct"/>
          </w:tcPr>
          <w:p w14:paraId="71BA46C2">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12396CAD">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4" w:type="pct"/>
          </w:tcPr>
          <w:p w14:paraId="400AE76A">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7D5C9AAE">
            <w:pPr>
              <w:tabs>
                <w:tab w:val="left" w:pos="312"/>
              </w:tabs>
              <w:rPr>
                <w:rFonts w:ascii="Times New Roman" w:hAnsi="Times New Roman" w:eastAsiaTheme="majorEastAsia"/>
              </w:rPr>
            </w:pPr>
            <w:r>
              <w:rPr>
                <w:rFonts w:hint="eastAsia" w:ascii="Times New Roman" w:hAnsi="Times New Roman" w:eastAsiaTheme="majorEastAsia"/>
              </w:rPr>
              <w:t>尿蛋白水平</w:t>
            </w:r>
          </w:p>
        </w:tc>
      </w:tr>
      <w:tr w14:paraId="3E05F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770BBF4D">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0" w:type="pct"/>
            <w:gridSpan w:val="4"/>
          </w:tcPr>
          <w:p w14:paraId="18B6F5F2">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2BB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0650636B">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0" w:type="pct"/>
            <w:gridSpan w:val="4"/>
          </w:tcPr>
          <w:p w14:paraId="5502AD34">
            <w:pPr>
              <w:tabs>
                <w:tab w:val="left" w:pos="312"/>
              </w:tabs>
              <w:rPr>
                <w:rFonts w:ascii="Times New Roman" w:hAnsi="Times New Roman" w:eastAsiaTheme="majorEastAsia"/>
              </w:rPr>
            </w:pPr>
            <w:r>
              <w:rPr>
                <w:rFonts w:ascii="Times New Roman" w:hAnsi="Times New Roman" w:eastAsiaTheme="majorEastAsia"/>
              </w:rPr>
              <w:t>MD -8.78[95%CI:-19.59,2.03]</w:t>
            </w:r>
          </w:p>
        </w:tc>
      </w:tr>
      <w:tr w14:paraId="6DCC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4D3527B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0" w:type="pct"/>
            <w:gridSpan w:val="4"/>
          </w:tcPr>
          <w:p w14:paraId="0B4193B7">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0AFB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5B4DEC12">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0" w:type="pct"/>
            <w:gridSpan w:val="4"/>
          </w:tcPr>
          <w:p w14:paraId="57664F45">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5861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7F400BF9">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0" w:type="pct"/>
            <w:gridSpan w:val="4"/>
          </w:tcPr>
          <w:p w14:paraId="57184026">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48CC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3BE23E33">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0" w:type="pct"/>
            <w:gridSpan w:val="4"/>
          </w:tcPr>
          <w:p w14:paraId="7178F7ED">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丹参注射液较西医常规治疗子痫前期尿蛋白水平无差异</w:t>
            </w:r>
          </w:p>
        </w:tc>
      </w:tr>
    </w:tbl>
    <w:p w14:paraId="5C8BB6D4">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027"/>
        <w:gridCol w:w="1291"/>
        <w:gridCol w:w="1291"/>
        <w:gridCol w:w="2204"/>
      </w:tblGrid>
      <w:tr w14:paraId="0493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76F1BFC6">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4" w:type="pct"/>
          </w:tcPr>
          <w:p w14:paraId="33570A30">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2D2EA5A3">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71951BA7">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0052D3C7">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12EB2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B7466E6">
            <w:pPr>
              <w:tabs>
                <w:tab w:val="left" w:pos="312"/>
              </w:tabs>
              <w:rPr>
                <w:rFonts w:ascii="Times New Roman" w:hAnsi="Times New Roman" w:eastAsiaTheme="majorEastAsia"/>
              </w:rPr>
            </w:pPr>
            <w:r>
              <w:rPr>
                <w:rFonts w:hint="eastAsia" w:ascii="Times New Roman" w:hAnsi="Times New Roman" w:eastAsiaTheme="majorEastAsia"/>
                <w:lang w:bidi="ar"/>
              </w:rPr>
              <w:t>丹参注射液治疗子痫前期尿蛋白水平如何</w:t>
            </w:r>
          </w:p>
        </w:tc>
        <w:tc>
          <w:tcPr>
            <w:tcW w:w="544" w:type="pct"/>
          </w:tcPr>
          <w:p w14:paraId="5B9C538A">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173DC1D2">
            <w:pPr>
              <w:tabs>
                <w:tab w:val="left" w:pos="312"/>
              </w:tabs>
              <w:rPr>
                <w:rFonts w:ascii="Times New Roman" w:hAnsi="Times New Roman" w:eastAsiaTheme="majorEastAsia"/>
              </w:rPr>
            </w:pPr>
            <w:r>
              <w:rPr>
                <w:rFonts w:hint="eastAsia" w:ascii="Times New Roman" w:hAnsi="Times New Roman" w:eastAsiaTheme="majorEastAsia"/>
              </w:rPr>
              <w:t>丹参注射液结合西医常规治疗</w:t>
            </w:r>
          </w:p>
        </w:tc>
        <w:tc>
          <w:tcPr>
            <w:tcW w:w="684" w:type="pct"/>
          </w:tcPr>
          <w:p w14:paraId="374147A4">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5E663AD0">
            <w:pPr>
              <w:tabs>
                <w:tab w:val="left" w:pos="312"/>
              </w:tabs>
              <w:rPr>
                <w:rFonts w:ascii="Times New Roman" w:hAnsi="Times New Roman" w:eastAsiaTheme="majorEastAsia"/>
              </w:rPr>
            </w:pPr>
            <w:r>
              <w:rPr>
                <w:rFonts w:hint="eastAsia" w:ascii="Times New Roman" w:hAnsi="Times New Roman" w:eastAsiaTheme="majorEastAsia"/>
              </w:rPr>
              <w:t>尿蛋白水平</w:t>
            </w:r>
          </w:p>
        </w:tc>
      </w:tr>
      <w:tr w14:paraId="7176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3601463">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0" w:type="pct"/>
            <w:gridSpan w:val="4"/>
          </w:tcPr>
          <w:p w14:paraId="77FAF42D">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C7A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3EF2124">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0" w:type="pct"/>
            <w:gridSpan w:val="4"/>
          </w:tcPr>
          <w:p w14:paraId="67D75F95">
            <w:pPr>
              <w:tabs>
                <w:tab w:val="left" w:pos="312"/>
              </w:tabs>
              <w:rPr>
                <w:rFonts w:ascii="Times New Roman" w:hAnsi="Times New Roman" w:eastAsiaTheme="majorEastAsia"/>
              </w:rPr>
            </w:pPr>
            <w:r>
              <w:rPr>
                <w:rFonts w:ascii="Times New Roman" w:hAnsi="Times New Roman" w:eastAsiaTheme="majorEastAsia"/>
              </w:rPr>
              <w:t>MD -264.40[95%CI:-281.43,-247.37]</w:t>
            </w:r>
          </w:p>
        </w:tc>
      </w:tr>
      <w:tr w14:paraId="4E18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B50FB5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0" w:type="pct"/>
            <w:gridSpan w:val="4"/>
          </w:tcPr>
          <w:p w14:paraId="0CC71FB6">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73BB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27D6908">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0" w:type="pct"/>
            <w:gridSpan w:val="4"/>
          </w:tcPr>
          <w:p w14:paraId="70331BB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35CF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D6402FB">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0" w:type="pct"/>
            <w:gridSpan w:val="4"/>
          </w:tcPr>
          <w:p w14:paraId="30D350CB">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26E9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6CF3BA18">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0" w:type="pct"/>
            <w:gridSpan w:val="4"/>
          </w:tcPr>
          <w:p w14:paraId="5D372094">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丹参注射液结合西医常规治疗较西医常规治疗子痫前期尿蛋白水平更低</w:t>
            </w:r>
          </w:p>
        </w:tc>
      </w:tr>
    </w:tbl>
    <w:p w14:paraId="70F74721">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2"/>
        <w:gridCol w:w="1027"/>
        <w:gridCol w:w="1291"/>
        <w:gridCol w:w="1291"/>
        <w:gridCol w:w="2204"/>
      </w:tblGrid>
      <w:tr w14:paraId="499C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5970A01E">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4" w:type="pct"/>
          </w:tcPr>
          <w:p w14:paraId="50BB84B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44DFA7A4">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532F10C6">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4FA35FBC">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872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4F55903">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与西医常规治疗比较，丹参注射液治疗子痫前期中医证候积分如何</w:t>
            </w:r>
          </w:p>
        </w:tc>
        <w:tc>
          <w:tcPr>
            <w:tcW w:w="544" w:type="pct"/>
          </w:tcPr>
          <w:p w14:paraId="23647B6B">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60DF7B9B">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4" w:type="pct"/>
          </w:tcPr>
          <w:p w14:paraId="7895CAF0">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25974D07">
            <w:pPr>
              <w:tabs>
                <w:tab w:val="left" w:pos="312"/>
              </w:tabs>
              <w:rPr>
                <w:rFonts w:ascii="Times New Roman" w:hAnsi="Times New Roman" w:eastAsiaTheme="majorEastAsia"/>
              </w:rPr>
            </w:pPr>
            <w:r>
              <w:rPr>
                <w:rFonts w:hint="eastAsia" w:ascii="Times New Roman" w:hAnsi="Times New Roman" w:eastAsiaTheme="majorEastAsia"/>
                <w:lang w:bidi="ar"/>
              </w:rPr>
              <w:t>中医证候积分</w:t>
            </w:r>
          </w:p>
        </w:tc>
      </w:tr>
      <w:tr w14:paraId="2EB0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28E2506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0" w:type="pct"/>
            <w:gridSpan w:val="4"/>
          </w:tcPr>
          <w:p w14:paraId="0D34691A">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78D5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4C2E0705">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0" w:type="pct"/>
            <w:gridSpan w:val="4"/>
          </w:tcPr>
          <w:p w14:paraId="1CD02987">
            <w:pPr>
              <w:tabs>
                <w:tab w:val="left" w:pos="312"/>
              </w:tabs>
              <w:rPr>
                <w:rFonts w:ascii="Times New Roman" w:hAnsi="Times New Roman" w:eastAsiaTheme="majorEastAsia"/>
              </w:rPr>
            </w:pPr>
            <w:r>
              <w:rPr>
                <w:rFonts w:ascii="Times New Roman" w:hAnsi="Times New Roman" w:eastAsiaTheme="majorEastAsia"/>
              </w:rPr>
              <w:t>MD -0.48[95%CI:-0.57,-0.39]</w:t>
            </w:r>
          </w:p>
        </w:tc>
      </w:tr>
      <w:tr w14:paraId="3CD8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418A3FAC">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0" w:type="pct"/>
            <w:gridSpan w:val="4"/>
          </w:tcPr>
          <w:p w14:paraId="6FB9900F">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3D4D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59204174">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0" w:type="pct"/>
            <w:gridSpan w:val="4"/>
          </w:tcPr>
          <w:p w14:paraId="457BE6B1">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1097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71DDEAF0">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0" w:type="pct"/>
            <w:gridSpan w:val="4"/>
          </w:tcPr>
          <w:p w14:paraId="698AE59B">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210F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pct"/>
          </w:tcPr>
          <w:p w14:paraId="1B12DD21">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0" w:type="pct"/>
            <w:gridSpan w:val="4"/>
          </w:tcPr>
          <w:p w14:paraId="3DB9EEEA">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丹参注射液较西医常规治疗子痫前期中医证候积分更低</w:t>
            </w:r>
          </w:p>
        </w:tc>
      </w:tr>
    </w:tbl>
    <w:p w14:paraId="654E1EA6">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0"/>
        <w:gridCol w:w="1036"/>
        <w:gridCol w:w="1291"/>
        <w:gridCol w:w="1291"/>
        <w:gridCol w:w="2218"/>
      </w:tblGrid>
      <w:tr w14:paraId="22F3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1" w:type="pct"/>
          </w:tcPr>
          <w:p w14:paraId="00FABD25">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8" w:type="pct"/>
          </w:tcPr>
          <w:p w14:paraId="2E36EB1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3" w:type="pct"/>
          </w:tcPr>
          <w:p w14:paraId="0BE4AE9E">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3" w:type="pct"/>
          </w:tcPr>
          <w:p w14:paraId="5F0B8E4B">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72" w:type="pct"/>
          </w:tcPr>
          <w:p w14:paraId="595EBFD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77F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pct"/>
          </w:tcPr>
          <w:p w14:paraId="6045BEB1">
            <w:pPr>
              <w:tabs>
                <w:tab w:val="left" w:pos="312"/>
              </w:tabs>
              <w:rPr>
                <w:rFonts w:ascii="Times New Roman" w:hAnsi="Times New Roman" w:eastAsiaTheme="majorEastAsia"/>
              </w:rPr>
            </w:pPr>
            <w:r>
              <w:rPr>
                <w:rFonts w:hint="eastAsia" w:ascii="Times New Roman" w:hAnsi="Times New Roman" w:eastAsiaTheme="majorEastAsia"/>
                <w:lang w:bidi="ar"/>
              </w:rPr>
              <w:t>丹参注射液治疗子痫前期中医证候积分如何</w:t>
            </w:r>
          </w:p>
        </w:tc>
        <w:tc>
          <w:tcPr>
            <w:tcW w:w="548" w:type="pct"/>
          </w:tcPr>
          <w:p w14:paraId="6EB17CC4">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3" w:type="pct"/>
          </w:tcPr>
          <w:p w14:paraId="2A0C5DB2">
            <w:pPr>
              <w:tabs>
                <w:tab w:val="left" w:pos="312"/>
              </w:tabs>
              <w:rPr>
                <w:rFonts w:ascii="Times New Roman" w:hAnsi="Times New Roman" w:eastAsiaTheme="majorEastAsia"/>
              </w:rPr>
            </w:pPr>
            <w:r>
              <w:rPr>
                <w:rFonts w:hint="eastAsia" w:ascii="Times New Roman" w:hAnsi="Times New Roman" w:eastAsiaTheme="majorEastAsia"/>
              </w:rPr>
              <w:t>丹参注射液结合西医常规治疗</w:t>
            </w:r>
          </w:p>
        </w:tc>
        <w:tc>
          <w:tcPr>
            <w:tcW w:w="683" w:type="pct"/>
          </w:tcPr>
          <w:p w14:paraId="37733E1F">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72" w:type="pct"/>
          </w:tcPr>
          <w:p w14:paraId="5B22F78A">
            <w:pPr>
              <w:tabs>
                <w:tab w:val="left" w:pos="312"/>
              </w:tabs>
              <w:rPr>
                <w:rFonts w:ascii="Times New Roman" w:hAnsi="Times New Roman" w:eastAsiaTheme="majorEastAsia"/>
              </w:rPr>
            </w:pPr>
            <w:r>
              <w:rPr>
                <w:rFonts w:hint="eastAsia" w:ascii="Times New Roman" w:hAnsi="Times New Roman" w:eastAsiaTheme="majorEastAsia"/>
              </w:rPr>
              <w:t>中医证候积分</w:t>
            </w:r>
          </w:p>
        </w:tc>
      </w:tr>
      <w:tr w14:paraId="0F80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pct"/>
          </w:tcPr>
          <w:p w14:paraId="17B4E215">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8" w:type="pct"/>
            <w:gridSpan w:val="4"/>
          </w:tcPr>
          <w:p w14:paraId="1151F069">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74D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Pr>
          <w:p w14:paraId="55E57802">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8" w:type="pct"/>
            <w:gridSpan w:val="4"/>
          </w:tcPr>
          <w:p w14:paraId="5F39CBD4">
            <w:pPr>
              <w:tabs>
                <w:tab w:val="left" w:pos="312"/>
              </w:tabs>
              <w:rPr>
                <w:rFonts w:ascii="Times New Roman" w:hAnsi="Times New Roman" w:eastAsiaTheme="majorEastAsia"/>
              </w:rPr>
            </w:pPr>
            <w:r>
              <w:rPr>
                <w:rFonts w:ascii="Times New Roman" w:hAnsi="Times New Roman" w:eastAsiaTheme="majorEastAsia"/>
              </w:rPr>
              <w:t>MD -1.38[95%CI:-3.44,0.68]</w:t>
            </w:r>
          </w:p>
        </w:tc>
      </w:tr>
      <w:tr w14:paraId="61FA2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7" w:type="dxa"/>
          </w:tcPr>
          <w:p w14:paraId="7DBA705E">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8" w:type="pct"/>
            <w:gridSpan w:val="4"/>
          </w:tcPr>
          <w:p w14:paraId="7475B052">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546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pct"/>
          </w:tcPr>
          <w:p w14:paraId="5408FFA1">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8" w:type="pct"/>
            <w:gridSpan w:val="4"/>
          </w:tcPr>
          <w:p w14:paraId="78439981">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549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pct"/>
          </w:tcPr>
          <w:p w14:paraId="3BB6FF7B">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8" w:type="pct"/>
            <w:gridSpan w:val="4"/>
          </w:tcPr>
          <w:p w14:paraId="7673D3C4">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7596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1" w:type="pct"/>
          </w:tcPr>
          <w:p w14:paraId="358347D2">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8" w:type="pct"/>
            <w:gridSpan w:val="4"/>
          </w:tcPr>
          <w:p w14:paraId="086714D1">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丹参注射液结合西医常规治疗较西医常规治疗子痫前期中医证候积分无差异</w:t>
            </w:r>
          </w:p>
        </w:tc>
      </w:tr>
    </w:tbl>
    <w:p w14:paraId="1F62DEEC">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1"/>
        <w:gridCol w:w="1036"/>
        <w:gridCol w:w="1291"/>
        <w:gridCol w:w="1291"/>
        <w:gridCol w:w="2206"/>
      </w:tblGrid>
      <w:tr w14:paraId="46A9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2F0ECEBD">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9" w:type="pct"/>
          </w:tcPr>
          <w:p w14:paraId="661DFBAE">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274D25F1">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55B55F53">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2A16C5A6">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811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67A07D04">
            <w:pPr>
              <w:tabs>
                <w:tab w:val="left" w:pos="312"/>
              </w:tabs>
              <w:rPr>
                <w:rFonts w:ascii="Times New Roman" w:hAnsi="Times New Roman" w:eastAsiaTheme="majorEastAsia"/>
              </w:rPr>
            </w:pPr>
            <w:r>
              <w:rPr>
                <w:rFonts w:hint="eastAsia" w:ascii="Times New Roman" w:hAnsi="Times New Roman" w:eastAsiaTheme="majorEastAsia"/>
                <w:lang w:bidi="ar"/>
              </w:rPr>
              <w:t>与西医常规治疗比较，丹参注射液治疗子痫前期临床有效率如何</w:t>
            </w:r>
          </w:p>
        </w:tc>
        <w:tc>
          <w:tcPr>
            <w:tcW w:w="549" w:type="pct"/>
          </w:tcPr>
          <w:p w14:paraId="12E8F8B1">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4" w:type="pct"/>
          </w:tcPr>
          <w:p w14:paraId="0E9969E8">
            <w:pPr>
              <w:tabs>
                <w:tab w:val="left" w:pos="312"/>
              </w:tabs>
              <w:rPr>
                <w:rFonts w:ascii="Times New Roman" w:hAnsi="Times New Roman" w:eastAsiaTheme="majorEastAsia"/>
              </w:rPr>
            </w:pPr>
            <w:r>
              <w:rPr>
                <w:rFonts w:hint="eastAsia" w:ascii="Times New Roman" w:hAnsi="Times New Roman" w:eastAsiaTheme="majorEastAsia"/>
              </w:rPr>
              <w:t>丹参注射液</w:t>
            </w:r>
          </w:p>
        </w:tc>
        <w:tc>
          <w:tcPr>
            <w:tcW w:w="684" w:type="pct"/>
          </w:tcPr>
          <w:p w14:paraId="2E80A753">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189FDDEB">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0BB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561607FA">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6" w:type="pct"/>
            <w:gridSpan w:val="4"/>
          </w:tcPr>
          <w:p w14:paraId="263CF61C">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19CD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08F7CCF9">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6" w:type="pct"/>
            <w:gridSpan w:val="4"/>
          </w:tcPr>
          <w:p w14:paraId="257F257B">
            <w:pPr>
              <w:tabs>
                <w:tab w:val="left" w:pos="312"/>
              </w:tabs>
              <w:rPr>
                <w:rFonts w:ascii="Times New Roman" w:hAnsi="Times New Roman" w:eastAsiaTheme="majorEastAsia"/>
              </w:rPr>
            </w:pPr>
            <w:r>
              <w:rPr>
                <w:rFonts w:ascii="Times New Roman" w:hAnsi="Times New Roman" w:eastAsiaTheme="majorEastAsia"/>
              </w:rPr>
              <w:t>RR 1.05[95%CI:0.95,1.17]</w:t>
            </w:r>
          </w:p>
        </w:tc>
      </w:tr>
      <w:tr w14:paraId="2AD4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7FE3AE6F">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6" w:type="pct"/>
            <w:gridSpan w:val="4"/>
          </w:tcPr>
          <w:p w14:paraId="5CA7C245">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1940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40816058">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6" w:type="pct"/>
            <w:gridSpan w:val="4"/>
          </w:tcPr>
          <w:p w14:paraId="3E59E204">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0CD6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5BE0EEC5">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6" w:type="pct"/>
            <w:gridSpan w:val="4"/>
          </w:tcPr>
          <w:p w14:paraId="5F34EF8E">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4698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2E743F5F">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6" w:type="pct"/>
            <w:gridSpan w:val="4"/>
          </w:tcPr>
          <w:p w14:paraId="3CAFFD66">
            <w:pPr>
              <w:tabs>
                <w:tab w:val="left" w:pos="312"/>
              </w:tabs>
              <w:rPr>
                <w:rFonts w:ascii="Times New Roman" w:hAnsi="Times New Roman" w:eastAsiaTheme="majorEastAsia"/>
              </w:rPr>
            </w:pPr>
            <w:r>
              <w:rPr>
                <w:rFonts w:hint="eastAsia" w:ascii="Times New Roman" w:hAnsi="Times New Roman" w:eastAsiaTheme="majorEastAsia"/>
                <w:lang w:bidi="ar"/>
              </w:rPr>
              <w:t>丹参注射液较西医常规治疗子痫前期临床有效率无差异</w:t>
            </w:r>
          </w:p>
        </w:tc>
      </w:tr>
    </w:tbl>
    <w:p w14:paraId="76171CA1">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55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1028"/>
        <w:gridCol w:w="1289"/>
        <w:gridCol w:w="1289"/>
        <w:gridCol w:w="2237"/>
      </w:tblGrid>
      <w:tr w14:paraId="5049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6FB2554E">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43" w:type="pct"/>
          </w:tcPr>
          <w:p w14:paraId="277F851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1" w:type="pct"/>
          </w:tcPr>
          <w:p w14:paraId="6222025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1" w:type="pct"/>
          </w:tcPr>
          <w:p w14:paraId="4DC0EA3F">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82" w:type="pct"/>
          </w:tcPr>
          <w:p w14:paraId="7CE74B86">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F9C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27747EAA">
            <w:pPr>
              <w:tabs>
                <w:tab w:val="left" w:pos="312"/>
              </w:tabs>
              <w:rPr>
                <w:rFonts w:ascii="Times New Roman" w:hAnsi="Times New Roman" w:eastAsiaTheme="majorEastAsia"/>
              </w:rPr>
            </w:pPr>
            <w:r>
              <w:rPr>
                <w:rFonts w:hint="eastAsia" w:ascii="Times New Roman" w:hAnsi="Times New Roman" w:eastAsiaTheme="majorEastAsia"/>
                <w:lang w:bidi="ar"/>
              </w:rPr>
              <w:t>丹参注射液治疗子痫前期不良反应发生率如何</w:t>
            </w:r>
          </w:p>
        </w:tc>
        <w:tc>
          <w:tcPr>
            <w:tcW w:w="543" w:type="pct"/>
          </w:tcPr>
          <w:p w14:paraId="3B2C07FD">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1" w:type="pct"/>
          </w:tcPr>
          <w:p w14:paraId="233B52A6">
            <w:pPr>
              <w:tabs>
                <w:tab w:val="left" w:pos="312"/>
              </w:tabs>
              <w:rPr>
                <w:rFonts w:ascii="Times New Roman" w:hAnsi="Times New Roman" w:eastAsiaTheme="majorEastAsia"/>
              </w:rPr>
            </w:pPr>
            <w:r>
              <w:rPr>
                <w:rFonts w:hint="eastAsia" w:ascii="Times New Roman" w:hAnsi="Times New Roman" w:eastAsiaTheme="majorEastAsia"/>
              </w:rPr>
              <w:t>丹参注射液结合西医常规治疗</w:t>
            </w:r>
          </w:p>
        </w:tc>
        <w:tc>
          <w:tcPr>
            <w:tcW w:w="681" w:type="pct"/>
          </w:tcPr>
          <w:p w14:paraId="35DE66B3">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82" w:type="pct"/>
          </w:tcPr>
          <w:p w14:paraId="3016A3F1">
            <w:pPr>
              <w:tabs>
                <w:tab w:val="left" w:pos="312"/>
              </w:tabs>
              <w:rPr>
                <w:rFonts w:ascii="Times New Roman" w:hAnsi="Times New Roman" w:eastAsiaTheme="majorEastAsia"/>
              </w:rPr>
            </w:pPr>
            <w:r>
              <w:rPr>
                <w:rFonts w:hint="eastAsia" w:ascii="Times New Roman" w:hAnsi="Times New Roman" w:eastAsiaTheme="majorEastAsia"/>
                <w:lang w:bidi="ar"/>
              </w:rPr>
              <w:t>不良反应发生率</w:t>
            </w:r>
          </w:p>
        </w:tc>
      </w:tr>
      <w:tr w14:paraId="3693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511A98A3">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87" w:type="pct"/>
            <w:gridSpan w:val="4"/>
          </w:tcPr>
          <w:p w14:paraId="045E73F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1A5C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58906D0C">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87" w:type="pct"/>
            <w:gridSpan w:val="4"/>
          </w:tcPr>
          <w:p w14:paraId="37B448DD">
            <w:pPr>
              <w:tabs>
                <w:tab w:val="left" w:pos="312"/>
              </w:tabs>
              <w:rPr>
                <w:rFonts w:ascii="Times New Roman" w:hAnsi="Times New Roman" w:eastAsiaTheme="majorEastAsia"/>
              </w:rPr>
            </w:pPr>
            <w:r>
              <w:rPr>
                <w:rFonts w:ascii="Times New Roman" w:hAnsi="Times New Roman" w:eastAsiaTheme="majorEastAsia"/>
              </w:rPr>
              <w:t>RR 0.38[95%CI:0.11,1.31]</w:t>
            </w:r>
          </w:p>
        </w:tc>
      </w:tr>
      <w:tr w14:paraId="3ED5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5C8B2ED0">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87" w:type="pct"/>
            <w:gridSpan w:val="4"/>
          </w:tcPr>
          <w:p w14:paraId="628FB9C0">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22A0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30D5A227">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87" w:type="pct"/>
            <w:gridSpan w:val="4"/>
          </w:tcPr>
          <w:p w14:paraId="0EBA7828">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09B6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7844576A">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87" w:type="pct"/>
            <w:gridSpan w:val="4"/>
          </w:tcPr>
          <w:p w14:paraId="70DA81E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31C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3" w:type="pct"/>
          </w:tcPr>
          <w:p w14:paraId="3864A899">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87" w:type="pct"/>
            <w:gridSpan w:val="4"/>
          </w:tcPr>
          <w:p w14:paraId="08A4B546">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丹参注射液结合西医常规治疗较西医常规治疗子痫前期不良反应发生率无差异</w:t>
            </w:r>
          </w:p>
        </w:tc>
      </w:tr>
    </w:tbl>
    <w:p w14:paraId="53F3C8D4">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0"/>
        <w:gridCol w:w="997"/>
        <w:gridCol w:w="1291"/>
        <w:gridCol w:w="1291"/>
        <w:gridCol w:w="2206"/>
      </w:tblGrid>
      <w:tr w14:paraId="669B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4A6C51F2">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28" w:type="pct"/>
          </w:tcPr>
          <w:p w14:paraId="38907E17">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1A4215A5">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744513E2">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1918C71B">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768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5C0DA5C">
            <w:pPr>
              <w:tabs>
                <w:tab w:val="left" w:pos="312"/>
              </w:tabs>
              <w:rPr>
                <w:rFonts w:ascii="Times New Roman" w:hAnsi="Times New Roman" w:eastAsiaTheme="majorEastAsia"/>
              </w:rPr>
            </w:pPr>
            <w:r>
              <w:rPr>
                <w:rFonts w:hint="eastAsia" w:ascii="Times New Roman" w:hAnsi="Times New Roman" w:eastAsiaTheme="majorEastAsia"/>
                <w:lang w:bidi="ar"/>
              </w:rPr>
              <w:t>丹参注射液治疗重度子痫前期尿蛋白水平如何</w:t>
            </w:r>
          </w:p>
        </w:tc>
        <w:tc>
          <w:tcPr>
            <w:tcW w:w="528" w:type="pct"/>
          </w:tcPr>
          <w:p w14:paraId="3285F4E2">
            <w:pPr>
              <w:tabs>
                <w:tab w:val="left" w:pos="312"/>
              </w:tabs>
              <w:rPr>
                <w:rFonts w:ascii="Times New Roman" w:hAnsi="Times New Roman" w:eastAsiaTheme="majorEastAsia"/>
              </w:rPr>
            </w:pPr>
            <w:r>
              <w:rPr>
                <w:rFonts w:hint="eastAsia" w:ascii="Times New Roman" w:hAnsi="Times New Roman" w:eastAsiaTheme="majorEastAsia"/>
              </w:rPr>
              <w:t>重度子痫前期患者</w:t>
            </w:r>
          </w:p>
        </w:tc>
        <w:tc>
          <w:tcPr>
            <w:tcW w:w="684" w:type="pct"/>
          </w:tcPr>
          <w:p w14:paraId="5810466F">
            <w:pPr>
              <w:tabs>
                <w:tab w:val="left" w:pos="312"/>
              </w:tabs>
              <w:rPr>
                <w:rFonts w:ascii="Times New Roman" w:hAnsi="Times New Roman" w:eastAsiaTheme="majorEastAsia"/>
              </w:rPr>
            </w:pPr>
            <w:r>
              <w:rPr>
                <w:rFonts w:hint="eastAsia" w:ascii="Times New Roman" w:hAnsi="Times New Roman" w:eastAsiaTheme="majorEastAsia"/>
                <w:lang w:bidi="ar"/>
              </w:rPr>
              <w:t>丹参注射液</w:t>
            </w:r>
            <w:r>
              <w:rPr>
                <w:rFonts w:hint="eastAsia" w:ascii="Times New Roman" w:hAnsi="Times New Roman" w:eastAsiaTheme="majorEastAsia"/>
              </w:rPr>
              <w:t>结合西医常规治疗</w:t>
            </w:r>
          </w:p>
        </w:tc>
        <w:tc>
          <w:tcPr>
            <w:tcW w:w="684" w:type="pct"/>
          </w:tcPr>
          <w:p w14:paraId="036B0358">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3B6BF37A">
            <w:pPr>
              <w:tabs>
                <w:tab w:val="left" w:pos="312"/>
              </w:tabs>
              <w:rPr>
                <w:rFonts w:ascii="Times New Roman" w:hAnsi="Times New Roman" w:eastAsiaTheme="majorEastAsia"/>
              </w:rPr>
            </w:pPr>
            <w:r>
              <w:rPr>
                <w:rFonts w:hint="eastAsia" w:ascii="Times New Roman" w:hAnsi="Times New Roman" w:eastAsiaTheme="majorEastAsia"/>
                <w:lang w:bidi="ar"/>
              </w:rPr>
              <w:t>尿蛋白水平</w:t>
            </w:r>
          </w:p>
        </w:tc>
      </w:tr>
      <w:tr w14:paraId="6411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3AFBE28D">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65" w:type="pct"/>
            <w:gridSpan w:val="4"/>
          </w:tcPr>
          <w:p w14:paraId="6C2F0CF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263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A943A40">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65" w:type="pct"/>
            <w:gridSpan w:val="4"/>
          </w:tcPr>
          <w:p w14:paraId="738B4F03">
            <w:pPr>
              <w:tabs>
                <w:tab w:val="left" w:pos="312"/>
              </w:tabs>
              <w:rPr>
                <w:rFonts w:ascii="Times New Roman" w:hAnsi="Times New Roman" w:eastAsiaTheme="majorEastAsia"/>
              </w:rPr>
            </w:pPr>
            <w:r>
              <w:rPr>
                <w:rFonts w:ascii="Times New Roman" w:hAnsi="Times New Roman" w:eastAsiaTheme="majorEastAsia"/>
              </w:rPr>
              <w:t>MD -1.59[95%CI:-2.95,-0.23]</w:t>
            </w:r>
          </w:p>
        </w:tc>
      </w:tr>
      <w:tr w14:paraId="1CF6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E25FAFE">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65" w:type="pct"/>
            <w:gridSpan w:val="4"/>
          </w:tcPr>
          <w:p w14:paraId="421AE5FF">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1D2D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3017E186">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65" w:type="pct"/>
            <w:gridSpan w:val="4"/>
          </w:tcPr>
          <w:p w14:paraId="1F33B184">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20E9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243808F">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65" w:type="pct"/>
            <w:gridSpan w:val="4"/>
          </w:tcPr>
          <w:p w14:paraId="72A78D6B">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1DF2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2B826AA7">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65" w:type="pct"/>
            <w:gridSpan w:val="4"/>
          </w:tcPr>
          <w:p w14:paraId="45425CE3">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丹参注射液结合西医常规治疗较西医常规治疗重度子痫前期尿蛋白水平更低</w:t>
            </w:r>
          </w:p>
        </w:tc>
      </w:tr>
    </w:tbl>
    <w:p w14:paraId="740AD924">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0"/>
        <w:gridCol w:w="997"/>
        <w:gridCol w:w="1291"/>
        <w:gridCol w:w="1291"/>
        <w:gridCol w:w="2206"/>
      </w:tblGrid>
      <w:tr w14:paraId="6086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4" w:type="pct"/>
          </w:tcPr>
          <w:p w14:paraId="5F3938EE">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28" w:type="pct"/>
          </w:tcPr>
          <w:p w14:paraId="3149F03B">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7C91E53E">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04146540">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1D7D071E">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F2D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2E63634C">
            <w:pPr>
              <w:tabs>
                <w:tab w:val="left" w:pos="312"/>
              </w:tabs>
              <w:rPr>
                <w:rFonts w:ascii="Times New Roman" w:hAnsi="Times New Roman" w:eastAsiaTheme="majorEastAsia"/>
              </w:rPr>
            </w:pPr>
            <w:r>
              <w:rPr>
                <w:rFonts w:hint="eastAsia" w:ascii="Times New Roman" w:hAnsi="Times New Roman" w:eastAsiaTheme="majorEastAsia"/>
                <w:lang w:bidi="ar"/>
              </w:rPr>
              <w:t>丹参注射液治疗重度子痫前期临床有效率如何</w:t>
            </w:r>
          </w:p>
        </w:tc>
        <w:tc>
          <w:tcPr>
            <w:tcW w:w="528" w:type="pct"/>
          </w:tcPr>
          <w:p w14:paraId="35E5150E">
            <w:pPr>
              <w:tabs>
                <w:tab w:val="left" w:pos="312"/>
              </w:tabs>
              <w:rPr>
                <w:rFonts w:ascii="Times New Roman" w:hAnsi="Times New Roman" w:eastAsiaTheme="majorEastAsia"/>
              </w:rPr>
            </w:pPr>
            <w:r>
              <w:rPr>
                <w:rFonts w:hint="eastAsia" w:ascii="Times New Roman" w:hAnsi="Times New Roman" w:eastAsiaTheme="majorEastAsia"/>
              </w:rPr>
              <w:t>重度子痫前期患者</w:t>
            </w:r>
          </w:p>
        </w:tc>
        <w:tc>
          <w:tcPr>
            <w:tcW w:w="684" w:type="pct"/>
          </w:tcPr>
          <w:p w14:paraId="306587A3">
            <w:pPr>
              <w:tabs>
                <w:tab w:val="left" w:pos="312"/>
              </w:tabs>
              <w:rPr>
                <w:rFonts w:ascii="Times New Roman" w:hAnsi="Times New Roman" w:eastAsiaTheme="majorEastAsia"/>
              </w:rPr>
            </w:pPr>
            <w:r>
              <w:rPr>
                <w:rFonts w:hint="eastAsia" w:ascii="Times New Roman" w:hAnsi="Times New Roman" w:eastAsiaTheme="majorEastAsia"/>
                <w:lang w:bidi="ar"/>
              </w:rPr>
              <w:t>丹参注射液</w:t>
            </w:r>
            <w:r>
              <w:rPr>
                <w:rFonts w:hint="eastAsia" w:ascii="Times New Roman" w:hAnsi="Times New Roman" w:eastAsiaTheme="majorEastAsia"/>
              </w:rPr>
              <w:t>结合西医常规治疗</w:t>
            </w:r>
          </w:p>
        </w:tc>
        <w:tc>
          <w:tcPr>
            <w:tcW w:w="684" w:type="pct"/>
          </w:tcPr>
          <w:p w14:paraId="421151FB">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2D82D4E3">
            <w:pPr>
              <w:tabs>
                <w:tab w:val="left" w:pos="312"/>
              </w:tabs>
              <w:rPr>
                <w:rFonts w:ascii="Times New Roman" w:hAnsi="Times New Roman" w:eastAsiaTheme="majorEastAsia"/>
              </w:rPr>
            </w:pPr>
            <w:r>
              <w:rPr>
                <w:rFonts w:hint="eastAsia" w:ascii="Times New Roman" w:hAnsi="Times New Roman" w:eastAsiaTheme="majorEastAsia"/>
                <w:lang w:bidi="ar"/>
              </w:rPr>
              <w:t>临床有效率</w:t>
            </w:r>
          </w:p>
        </w:tc>
      </w:tr>
      <w:tr w14:paraId="4AC4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EDC75AB">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65" w:type="pct"/>
            <w:gridSpan w:val="4"/>
          </w:tcPr>
          <w:p w14:paraId="1A9B16C3">
            <w:pPr>
              <w:tabs>
                <w:tab w:val="left" w:pos="312"/>
              </w:tabs>
              <w:rPr>
                <w:rFonts w:ascii="Times New Roman" w:hAnsi="Times New Roman" w:eastAsiaTheme="majorEastAsia"/>
              </w:rPr>
            </w:pPr>
            <w:r>
              <w:rPr>
                <w:rFonts w:ascii="Times New Roman" w:hAnsi="Times New Roman" w:eastAsiaTheme="majorEastAsia"/>
              </w:rPr>
              <w:t>3</w:t>
            </w:r>
            <w:r>
              <w:rPr>
                <w:rFonts w:hint="eastAsia" w:ascii="Times New Roman" w:hAnsi="Times New Roman" w:eastAsiaTheme="majorEastAsia"/>
              </w:rPr>
              <w:t>个</w:t>
            </w:r>
            <w:r>
              <w:rPr>
                <w:rFonts w:ascii="Times New Roman" w:hAnsi="Times New Roman" w:eastAsiaTheme="majorEastAsia"/>
              </w:rPr>
              <w:t>RCT</w:t>
            </w:r>
          </w:p>
        </w:tc>
      </w:tr>
      <w:tr w14:paraId="38AC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060AB7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65" w:type="pct"/>
            <w:gridSpan w:val="4"/>
          </w:tcPr>
          <w:p w14:paraId="179E8DA2">
            <w:pPr>
              <w:tabs>
                <w:tab w:val="left" w:pos="312"/>
              </w:tabs>
              <w:rPr>
                <w:rFonts w:ascii="Times New Roman" w:hAnsi="Times New Roman" w:eastAsiaTheme="majorEastAsia"/>
              </w:rPr>
            </w:pPr>
            <w:r>
              <w:rPr>
                <w:rFonts w:ascii="Times New Roman" w:hAnsi="Times New Roman" w:eastAsiaTheme="majorEastAsia"/>
              </w:rPr>
              <w:t>RR 1.17[95%CI:1.09,1.25]</w:t>
            </w:r>
          </w:p>
        </w:tc>
      </w:tr>
      <w:tr w14:paraId="1E0E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4489F767">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65" w:type="pct"/>
            <w:gridSpan w:val="4"/>
          </w:tcPr>
          <w:p w14:paraId="7BE512CA">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4A26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3963DD7C">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65" w:type="pct"/>
            <w:gridSpan w:val="4"/>
          </w:tcPr>
          <w:p w14:paraId="4734A83A">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4EA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43DC11F5">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65" w:type="pct"/>
            <w:gridSpan w:val="4"/>
          </w:tcPr>
          <w:p w14:paraId="6CA9B0A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7AB6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40246B7">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65" w:type="pct"/>
            <w:gridSpan w:val="4"/>
          </w:tcPr>
          <w:p w14:paraId="665F8D21">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丹参注射液结合西医常规治疗较西医常规治疗重度子痫前期临床有效率更高</w:t>
            </w:r>
          </w:p>
        </w:tc>
      </w:tr>
    </w:tbl>
    <w:p w14:paraId="386D5671">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0"/>
        <w:gridCol w:w="997"/>
        <w:gridCol w:w="1291"/>
        <w:gridCol w:w="1291"/>
        <w:gridCol w:w="2206"/>
      </w:tblGrid>
      <w:tr w14:paraId="6918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599F727">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28" w:type="pct"/>
          </w:tcPr>
          <w:p w14:paraId="0EAB85A9">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65336CD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00E3B37A">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3A68FF5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A03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7AE55F89">
            <w:pPr>
              <w:tabs>
                <w:tab w:val="left" w:pos="312"/>
              </w:tabs>
              <w:rPr>
                <w:rFonts w:ascii="Times New Roman" w:hAnsi="Times New Roman" w:eastAsiaTheme="majorEastAsia"/>
              </w:rPr>
            </w:pPr>
            <w:r>
              <w:rPr>
                <w:rFonts w:hint="eastAsia" w:ascii="Times New Roman" w:hAnsi="Times New Roman" w:eastAsiaTheme="majorEastAsia"/>
                <w:lang w:bidi="ar"/>
              </w:rPr>
              <w:t>丹参注射液治疗重度子痫前期不良反应发生率如何</w:t>
            </w:r>
          </w:p>
        </w:tc>
        <w:tc>
          <w:tcPr>
            <w:tcW w:w="528" w:type="pct"/>
          </w:tcPr>
          <w:p w14:paraId="4C8F0C78">
            <w:pPr>
              <w:tabs>
                <w:tab w:val="left" w:pos="312"/>
              </w:tabs>
              <w:rPr>
                <w:rFonts w:ascii="Times New Roman" w:hAnsi="Times New Roman" w:eastAsiaTheme="majorEastAsia"/>
              </w:rPr>
            </w:pPr>
            <w:r>
              <w:rPr>
                <w:rFonts w:hint="eastAsia" w:ascii="Times New Roman" w:hAnsi="Times New Roman" w:eastAsiaTheme="majorEastAsia"/>
              </w:rPr>
              <w:t>重度子痫前期患者</w:t>
            </w:r>
          </w:p>
        </w:tc>
        <w:tc>
          <w:tcPr>
            <w:tcW w:w="684" w:type="pct"/>
          </w:tcPr>
          <w:p w14:paraId="26DE419F">
            <w:pPr>
              <w:tabs>
                <w:tab w:val="left" w:pos="312"/>
              </w:tabs>
              <w:rPr>
                <w:rFonts w:ascii="Times New Roman" w:hAnsi="Times New Roman" w:eastAsiaTheme="majorEastAsia"/>
              </w:rPr>
            </w:pPr>
            <w:r>
              <w:rPr>
                <w:rFonts w:hint="eastAsia" w:ascii="Times New Roman" w:hAnsi="Times New Roman" w:eastAsiaTheme="majorEastAsia"/>
                <w:lang w:bidi="ar"/>
              </w:rPr>
              <w:t>丹参注射液</w:t>
            </w:r>
            <w:r>
              <w:rPr>
                <w:rFonts w:hint="eastAsia" w:ascii="Times New Roman" w:hAnsi="Times New Roman" w:eastAsiaTheme="majorEastAsia"/>
              </w:rPr>
              <w:t>结合西医常规治疗</w:t>
            </w:r>
          </w:p>
        </w:tc>
        <w:tc>
          <w:tcPr>
            <w:tcW w:w="684" w:type="pct"/>
          </w:tcPr>
          <w:p w14:paraId="37882510">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7D02A868">
            <w:pPr>
              <w:tabs>
                <w:tab w:val="left" w:pos="312"/>
              </w:tabs>
              <w:rPr>
                <w:rFonts w:ascii="Times New Roman" w:hAnsi="Times New Roman" w:eastAsiaTheme="majorEastAsia"/>
              </w:rPr>
            </w:pPr>
            <w:r>
              <w:rPr>
                <w:rFonts w:hint="eastAsia" w:ascii="Times New Roman" w:hAnsi="Times New Roman" w:eastAsiaTheme="majorEastAsia"/>
                <w:lang w:bidi="ar"/>
              </w:rPr>
              <w:t>不良反应发生率</w:t>
            </w:r>
          </w:p>
        </w:tc>
      </w:tr>
      <w:tr w14:paraId="7BD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26B40B06">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65" w:type="pct"/>
            <w:gridSpan w:val="4"/>
          </w:tcPr>
          <w:p w14:paraId="6417B08E">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16F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F2563E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65" w:type="pct"/>
            <w:gridSpan w:val="4"/>
          </w:tcPr>
          <w:p w14:paraId="08766791">
            <w:pPr>
              <w:tabs>
                <w:tab w:val="left" w:pos="312"/>
              </w:tabs>
              <w:rPr>
                <w:rFonts w:ascii="Times New Roman" w:hAnsi="Times New Roman" w:eastAsiaTheme="majorEastAsia"/>
              </w:rPr>
            </w:pPr>
            <w:r>
              <w:rPr>
                <w:rFonts w:ascii="Times New Roman" w:hAnsi="Times New Roman" w:eastAsiaTheme="majorEastAsia"/>
              </w:rPr>
              <w:t>RR 0.33[95%CI:0.04,2.94]</w:t>
            </w:r>
          </w:p>
        </w:tc>
      </w:tr>
      <w:tr w14:paraId="1FD0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7CEFE78F">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65" w:type="pct"/>
            <w:gridSpan w:val="4"/>
          </w:tcPr>
          <w:p w14:paraId="1A934BD1">
            <w:pPr>
              <w:tabs>
                <w:tab w:val="left" w:pos="312"/>
              </w:tabs>
              <w:rPr>
                <w:rFonts w:ascii="Times New Roman" w:hAnsi="Times New Roman" w:eastAsiaTheme="majorEastAsia"/>
                <w:color w:val="000000"/>
              </w:rPr>
            </w:pPr>
            <w:r>
              <w:rPr>
                <w:rFonts w:ascii="Times New Roman" w:hAnsi="Times New Roman" w:eastAsiaTheme="majorEastAsia"/>
              </w:rPr>
              <w:t>D</w:t>
            </w:r>
            <w:r>
              <w:rPr>
                <w:rFonts w:hint="eastAsia" w:ascii="Times New Roman" w:hAnsi="Times New Roman" w:eastAsiaTheme="majorEastAsia"/>
              </w:rPr>
              <w:t>级证据（极低）</w:t>
            </w:r>
          </w:p>
        </w:tc>
      </w:tr>
      <w:tr w14:paraId="6355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167D96D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65" w:type="pct"/>
            <w:gridSpan w:val="4"/>
          </w:tcPr>
          <w:p w14:paraId="6B101728">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1D38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C467422">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65" w:type="pct"/>
            <w:gridSpan w:val="4"/>
          </w:tcPr>
          <w:p w14:paraId="15E21478">
            <w:pPr>
              <w:tabs>
                <w:tab w:val="left" w:pos="312"/>
              </w:tabs>
              <w:rPr>
                <w:rFonts w:ascii="Times New Roman" w:hAnsi="Times New Roman" w:eastAsiaTheme="majorEastAsia"/>
                <w:color w:val="000000"/>
              </w:rPr>
            </w:pPr>
            <w:r>
              <w:rPr>
                <w:rFonts w:hint="eastAsia" w:ascii="Times New Roman" w:hAnsi="Times New Roman" w:eastAsiaTheme="majorEastAsia"/>
              </w:rPr>
              <w:t>原始研究在盲法、分配隐藏存在缺陷、纳入研究样本量较小、怀疑存在发表偏倚</w:t>
            </w:r>
          </w:p>
        </w:tc>
      </w:tr>
      <w:tr w14:paraId="5302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9F5A2DD">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65" w:type="pct"/>
            <w:gridSpan w:val="4"/>
          </w:tcPr>
          <w:p w14:paraId="2F75BDE5">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丹参注射液结合西医常规治疗较西医常规治疗重度子痫前期不良反应发生率无差异</w:t>
            </w:r>
          </w:p>
        </w:tc>
      </w:tr>
    </w:tbl>
    <w:p w14:paraId="2D147985">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0"/>
        <w:gridCol w:w="997"/>
        <w:gridCol w:w="1291"/>
        <w:gridCol w:w="1291"/>
        <w:gridCol w:w="2206"/>
      </w:tblGrid>
      <w:tr w14:paraId="6B94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586BF7B">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28" w:type="pct"/>
          </w:tcPr>
          <w:p w14:paraId="1D6C9532">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69A46BE3">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63CBE3AA">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1FE9E8CC">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14D0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3CF745F1">
            <w:pPr>
              <w:tabs>
                <w:tab w:val="left" w:pos="312"/>
              </w:tabs>
              <w:rPr>
                <w:rFonts w:ascii="Times New Roman" w:hAnsi="Times New Roman" w:eastAsiaTheme="majorEastAsia"/>
              </w:rPr>
            </w:pPr>
            <w:r>
              <w:rPr>
                <w:rFonts w:hint="eastAsia" w:ascii="Times New Roman" w:hAnsi="Times New Roman" w:eastAsiaTheme="majorEastAsia"/>
                <w:lang w:bidi="ar"/>
              </w:rPr>
              <w:t>丹参注射液治疗重度子痫前期并发症如何</w:t>
            </w:r>
          </w:p>
        </w:tc>
        <w:tc>
          <w:tcPr>
            <w:tcW w:w="528" w:type="pct"/>
          </w:tcPr>
          <w:p w14:paraId="7542FA4D">
            <w:pPr>
              <w:tabs>
                <w:tab w:val="left" w:pos="312"/>
              </w:tabs>
              <w:rPr>
                <w:rFonts w:ascii="Times New Roman" w:hAnsi="Times New Roman" w:eastAsiaTheme="majorEastAsia"/>
              </w:rPr>
            </w:pPr>
            <w:r>
              <w:rPr>
                <w:rFonts w:hint="eastAsia" w:ascii="Times New Roman" w:hAnsi="Times New Roman" w:eastAsiaTheme="majorEastAsia"/>
              </w:rPr>
              <w:t>重度子痫前期患者</w:t>
            </w:r>
          </w:p>
        </w:tc>
        <w:tc>
          <w:tcPr>
            <w:tcW w:w="684" w:type="pct"/>
          </w:tcPr>
          <w:p w14:paraId="25894E51">
            <w:pPr>
              <w:tabs>
                <w:tab w:val="left" w:pos="312"/>
              </w:tabs>
              <w:rPr>
                <w:rFonts w:ascii="Times New Roman" w:hAnsi="Times New Roman" w:eastAsiaTheme="majorEastAsia"/>
              </w:rPr>
            </w:pPr>
            <w:r>
              <w:rPr>
                <w:rFonts w:hint="eastAsia" w:ascii="Times New Roman" w:hAnsi="Times New Roman" w:eastAsiaTheme="majorEastAsia"/>
                <w:lang w:bidi="ar"/>
              </w:rPr>
              <w:t>丹参注射液</w:t>
            </w:r>
            <w:r>
              <w:rPr>
                <w:rFonts w:hint="eastAsia" w:ascii="Times New Roman" w:hAnsi="Times New Roman" w:eastAsiaTheme="majorEastAsia"/>
              </w:rPr>
              <w:t>结合西医常规治疗</w:t>
            </w:r>
          </w:p>
        </w:tc>
        <w:tc>
          <w:tcPr>
            <w:tcW w:w="684" w:type="pct"/>
          </w:tcPr>
          <w:p w14:paraId="1F8E33F2">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2D6B9F6F">
            <w:pPr>
              <w:tabs>
                <w:tab w:val="left" w:pos="312"/>
              </w:tabs>
              <w:rPr>
                <w:rFonts w:ascii="Times New Roman" w:hAnsi="Times New Roman" w:eastAsiaTheme="majorEastAsia"/>
              </w:rPr>
            </w:pPr>
            <w:r>
              <w:rPr>
                <w:rFonts w:hint="eastAsia" w:ascii="Times New Roman" w:hAnsi="Times New Roman" w:eastAsiaTheme="majorEastAsia"/>
                <w:lang w:bidi="ar"/>
              </w:rPr>
              <w:t>并发症</w:t>
            </w:r>
          </w:p>
        </w:tc>
      </w:tr>
      <w:tr w14:paraId="3E83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1373072D">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65" w:type="pct"/>
            <w:gridSpan w:val="4"/>
          </w:tcPr>
          <w:p w14:paraId="3EE6FCF9">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3C3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ED2A952">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65" w:type="pct"/>
            <w:gridSpan w:val="4"/>
          </w:tcPr>
          <w:p w14:paraId="52B6A420">
            <w:pPr>
              <w:tabs>
                <w:tab w:val="left" w:pos="312"/>
              </w:tabs>
              <w:rPr>
                <w:rFonts w:ascii="Times New Roman" w:hAnsi="Times New Roman" w:eastAsiaTheme="majorEastAsia"/>
              </w:rPr>
            </w:pPr>
            <w:r>
              <w:rPr>
                <w:rFonts w:ascii="Times New Roman" w:hAnsi="Times New Roman" w:eastAsiaTheme="majorEastAsia"/>
              </w:rPr>
              <w:t>RR 0.43[95%CI:0.13,1.43]</w:t>
            </w:r>
          </w:p>
        </w:tc>
      </w:tr>
      <w:tr w14:paraId="1587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36157E29">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65" w:type="pct"/>
            <w:gridSpan w:val="4"/>
          </w:tcPr>
          <w:p w14:paraId="7195A928">
            <w:pPr>
              <w:tabs>
                <w:tab w:val="left" w:pos="312"/>
              </w:tabs>
              <w:rPr>
                <w:rFonts w:ascii="Times New Roman" w:hAnsi="Times New Roman" w:eastAsiaTheme="majorEastAsia"/>
                <w:color w:val="000000"/>
              </w:rPr>
            </w:pPr>
            <w:r>
              <w:rPr>
                <w:rFonts w:ascii="Times New Roman" w:hAnsi="Times New Roman" w:eastAsiaTheme="majorEastAsia"/>
              </w:rPr>
              <w:t>D</w:t>
            </w:r>
            <w:r>
              <w:rPr>
                <w:rFonts w:hint="eastAsia" w:ascii="Times New Roman" w:hAnsi="Times New Roman" w:eastAsiaTheme="majorEastAsia"/>
              </w:rPr>
              <w:t>级证据（极低）</w:t>
            </w:r>
          </w:p>
        </w:tc>
      </w:tr>
      <w:tr w14:paraId="2C0B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5B698B9">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65" w:type="pct"/>
            <w:gridSpan w:val="4"/>
          </w:tcPr>
          <w:p w14:paraId="490DA8A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7666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244F97B">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65" w:type="pct"/>
            <w:gridSpan w:val="4"/>
          </w:tcPr>
          <w:p w14:paraId="0B23C5C5">
            <w:pPr>
              <w:tabs>
                <w:tab w:val="left" w:pos="312"/>
              </w:tabs>
              <w:rPr>
                <w:rFonts w:ascii="Times New Roman" w:hAnsi="Times New Roman" w:eastAsiaTheme="majorEastAsia"/>
                <w:color w:val="000000"/>
              </w:rPr>
            </w:pPr>
            <w:r>
              <w:rPr>
                <w:rFonts w:hint="eastAsia" w:ascii="Times New Roman" w:hAnsi="Times New Roman" w:eastAsiaTheme="majorEastAsia"/>
              </w:rPr>
              <w:t>原始研究在盲法、分配隐藏存在缺陷、纳入研究样本量较小、怀疑存在发表偏倚</w:t>
            </w:r>
          </w:p>
        </w:tc>
      </w:tr>
      <w:tr w14:paraId="76A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F0BC90E">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65" w:type="pct"/>
            <w:gridSpan w:val="4"/>
          </w:tcPr>
          <w:p w14:paraId="622D1598">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丹参注射液结合西医常规治疗较西医常规治疗重度子痫前期并发症无差异</w:t>
            </w:r>
          </w:p>
        </w:tc>
      </w:tr>
    </w:tbl>
    <w:p w14:paraId="4DEBFBA8">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0"/>
        <w:gridCol w:w="997"/>
        <w:gridCol w:w="1291"/>
        <w:gridCol w:w="1291"/>
        <w:gridCol w:w="2206"/>
      </w:tblGrid>
      <w:tr w14:paraId="7A01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71224B99">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28" w:type="pct"/>
          </w:tcPr>
          <w:p w14:paraId="4BBB182E">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4" w:type="pct"/>
          </w:tcPr>
          <w:p w14:paraId="639B7041">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4" w:type="pct"/>
          </w:tcPr>
          <w:p w14:paraId="5D2E5BC2">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68" w:type="pct"/>
          </w:tcPr>
          <w:p w14:paraId="5682FBC4">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8B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224C27D1">
            <w:pPr>
              <w:tabs>
                <w:tab w:val="left" w:pos="312"/>
              </w:tabs>
              <w:rPr>
                <w:rFonts w:ascii="Times New Roman" w:hAnsi="Times New Roman" w:eastAsiaTheme="majorEastAsia"/>
              </w:rPr>
            </w:pPr>
            <w:r>
              <w:rPr>
                <w:rFonts w:hint="eastAsia" w:ascii="Times New Roman" w:hAnsi="Times New Roman" w:eastAsiaTheme="majorEastAsia"/>
                <w:lang w:bidi="ar"/>
              </w:rPr>
              <w:t>丹参注射液治疗重度子痫前期产后出血率如何</w:t>
            </w:r>
          </w:p>
        </w:tc>
        <w:tc>
          <w:tcPr>
            <w:tcW w:w="528" w:type="pct"/>
          </w:tcPr>
          <w:p w14:paraId="5EA04D79">
            <w:pPr>
              <w:tabs>
                <w:tab w:val="left" w:pos="312"/>
              </w:tabs>
              <w:rPr>
                <w:rFonts w:ascii="Times New Roman" w:hAnsi="Times New Roman" w:eastAsiaTheme="majorEastAsia"/>
              </w:rPr>
            </w:pPr>
            <w:r>
              <w:rPr>
                <w:rFonts w:hint="eastAsia" w:ascii="Times New Roman" w:hAnsi="Times New Roman" w:eastAsiaTheme="majorEastAsia"/>
              </w:rPr>
              <w:t>重度子痫前期患者</w:t>
            </w:r>
          </w:p>
        </w:tc>
        <w:tc>
          <w:tcPr>
            <w:tcW w:w="684" w:type="pct"/>
          </w:tcPr>
          <w:p w14:paraId="46C8FEE9">
            <w:pPr>
              <w:tabs>
                <w:tab w:val="left" w:pos="312"/>
              </w:tabs>
              <w:rPr>
                <w:rFonts w:ascii="Times New Roman" w:hAnsi="Times New Roman" w:eastAsiaTheme="majorEastAsia"/>
              </w:rPr>
            </w:pPr>
            <w:r>
              <w:rPr>
                <w:rFonts w:hint="eastAsia" w:ascii="Times New Roman" w:hAnsi="Times New Roman" w:eastAsiaTheme="majorEastAsia"/>
                <w:lang w:bidi="ar"/>
              </w:rPr>
              <w:t>丹参注射液</w:t>
            </w:r>
            <w:r>
              <w:rPr>
                <w:rFonts w:hint="eastAsia" w:ascii="Times New Roman" w:hAnsi="Times New Roman" w:eastAsiaTheme="majorEastAsia"/>
              </w:rPr>
              <w:t>结合西医常规治疗</w:t>
            </w:r>
          </w:p>
        </w:tc>
        <w:tc>
          <w:tcPr>
            <w:tcW w:w="684" w:type="pct"/>
          </w:tcPr>
          <w:p w14:paraId="27E81653">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68" w:type="pct"/>
          </w:tcPr>
          <w:p w14:paraId="0DAD344A">
            <w:pPr>
              <w:tabs>
                <w:tab w:val="left" w:pos="312"/>
              </w:tabs>
              <w:rPr>
                <w:rFonts w:ascii="Times New Roman" w:hAnsi="Times New Roman" w:eastAsiaTheme="majorEastAsia"/>
              </w:rPr>
            </w:pPr>
            <w:r>
              <w:rPr>
                <w:rFonts w:hint="eastAsia" w:ascii="Times New Roman" w:hAnsi="Times New Roman" w:eastAsiaTheme="majorEastAsia"/>
                <w:lang w:bidi="ar"/>
              </w:rPr>
              <w:t>产后出血率</w:t>
            </w:r>
          </w:p>
        </w:tc>
      </w:tr>
      <w:tr w14:paraId="0246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333D00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65" w:type="pct"/>
            <w:gridSpan w:val="4"/>
          </w:tcPr>
          <w:p w14:paraId="55C1AE3C">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0243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33B66C2">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65" w:type="pct"/>
            <w:gridSpan w:val="4"/>
          </w:tcPr>
          <w:p w14:paraId="28E2076F">
            <w:pPr>
              <w:tabs>
                <w:tab w:val="left" w:pos="312"/>
              </w:tabs>
              <w:rPr>
                <w:rFonts w:ascii="Times New Roman" w:hAnsi="Times New Roman" w:eastAsiaTheme="majorEastAsia"/>
              </w:rPr>
            </w:pPr>
            <w:r>
              <w:rPr>
                <w:rFonts w:ascii="Times New Roman" w:hAnsi="Times New Roman" w:eastAsiaTheme="majorEastAsia"/>
              </w:rPr>
              <w:t>RR 0.33[95%CI:0.04,2.94]</w:t>
            </w:r>
          </w:p>
        </w:tc>
      </w:tr>
      <w:tr w14:paraId="739F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0213BEA3">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65" w:type="pct"/>
            <w:gridSpan w:val="4"/>
          </w:tcPr>
          <w:p w14:paraId="4A85371A">
            <w:pPr>
              <w:tabs>
                <w:tab w:val="left" w:pos="312"/>
              </w:tabs>
              <w:rPr>
                <w:rFonts w:ascii="Times New Roman" w:hAnsi="Times New Roman" w:eastAsiaTheme="majorEastAsia"/>
                <w:color w:val="000000"/>
              </w:rPr>
            </w:pPr>
            <w:r>
              <w:rPr>
                <w:rFonts w:ascii="Times New Roman" w:hAnsi="Times New Roman" w:eastAsiaTheme="majorEastAsia"/>
              </w:rPr>
              <w:t>D</w:t>
            </w:r>
            <w:r>
              <w:rPr>
                <w:rFonts w:hint="eastAsia" w:ascii="Times New Roman" w:hAnsi="Times New Roman" w:eastAsiaTheme="majorEastAsia"/>
              </w:rPr>
              <w:t>级证据（极低）</w:t>
            </w:r>
          </w:p>
        </w:tc>
      </w:tr>
      <w:tr w14:paraId="7377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52AE7B31">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65" w:type="pct"/>
            <w:gridSpan w:val="4"/>
          </w:tcPr>
          <w:p w14:paraId="0AB8ED62">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70F7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47F4530D">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65" w:type="pct"/>
            <w:gridSpan w:val="4"/>
          </w:tcPr>
          <w:p w14:paraId="0323015A">
            <w:pPr>
              <w:tabs>
                <w:tab w:val="left" w:pos="312"/>
              </w:tabs>
              <w:rPr>
                <w:rFonts w:ascii="Times New Roman" w:hAnsi="Times New Roman" w:eastAsiaTheme="majorEastAsia"/>
                <w:color w:val="000000"/>
              </w:rPr>
            </w:pPr>
            <w:r>
              <w:rPr>
                <w:rFonts w:hint="eastAsia" w:ascii="Times New Roman" w:hAnsi="Times New Roman" w:eastAsiaTheme="majorEastAsia"/>
              </w:rPr>
              <w:t>原始研究在盲法、分配隐藏存在缺陷、纳入研究样本量较小、怀疑存在发表偏倚</w:t>
            </w:r>
          </w:p>
        </w:tc>
      </w:tr>
      <w:tr w14:paraId="40E9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tcPr>
          <w:p w14:paraId="652334D2">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65" w:type="pct"/>
            <w:gridSpan w:val="4"/>
          </w:tcPr>
          <w:p w14:paraId="12AE39BA">
            <w:pPr>
              <w:tabs>
                <w:tab w:val="left" w:pos="312"/>
              </w:tabs>
              <w:rPr>
                <w:rFonts w:ascii="Times New Roman" w:hAnsi="Times New Roman" w:eastAsiaTheme="majorEastAsia"/>
              </w:rPr>
            </w:pPr>
            <w:r>
              <w:rPr>
                <w:rFonts w:hint="eastAsia" w:ascii="Times New Roman" w:hAnsi="Times New Roman" w:eastAsiaTheme="majorEastAsia"/>
                <w:lang w:bidi="ar"/>
              </w:rPr>
              <w:t>丹参注射液结合西医常规治疗较西医常规治疗重度子痫前期产后出血率无差异</w:t>
            </w:r>
          </w:p>
        </w:tc>
      </w:tr>
    </w:tbl>
    <w:p w14:paraId="53664489">
      <w:pPr>
        <w:spacing w:line="140" w:lineRule="atLeast"/>
        <w:rPr>
          <w:rFonts w:ascii="Times New Roman" w:hAnsi="Times New Roman" w:eastAsiaTheme="majorEastAsia"/>
          <w:b/>
          <w:bCs/>
          <w:color w:val="000000"/>
          <w:lang w:val="en"/>
        </w:rPr>
      </w:pPr>
    </w:p>
    <w:p w14:paraId="15601BFB">
      <w:pPr>
        <w:spacing w:line="140" w:lineRule="atLeast"/>
        <w:rPr>
          <w:rFonts w:ascii="Times New Roman" w:hAnsi="Times New Roman" w:eastAsiaTheme="majorEastAsia"/>
          <w:b/>
          <w:bCs/>
          <w:color w:val="000000"/>
          <w:lang w:val="en"/>
        </w:rPr>
      </w:pPr>
      <w:r>
        <w:rPr>
          <w:rFonts w:hint="eastAsia" w:ascii="Times New Roman" w:hAnsi="Times New Roman" w:eastAsiaTheme="majorEastAsia"/>
          <w:b/>
          <w:bCs/>
          <w:color w:val="000000"/>
          <w:lang w:val="en"/>
        </w:rPr>
        <w:t>杞菊地黄丸</w:t>
      </w: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3BB3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31E285A">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6FED910">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09DA28E3">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115F396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D2ABD7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965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7B181AA">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杞菊地黄丸治疗子痫前期患者收缩压如何</w:t>
            </w:r>
          </w:p>
        </w:tc>
        <w:tc>
          <w:tcPr>
            <w:tcW w:w="1559" w:type="dxa"/>
          </w:tcPr>
          <w:p w14:paraId="6FC84859">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718C6641">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323BC96B">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3AAAE6D0">
            <w:pPr>
              <w:tabs>
                <w:tab w:val="left" w:pos="312"/>
              </w:tabs>
              <w:rPr>
                <w:rFonts w:ascii="Times New Roman" w:hAnsi="Times New Roman" w:eastAsiaTheme="majorEastAsia"/>
              </w:rPr>
            </w:pPr>
            <w:r>
              <w:rPr>
                <w:rFonts w:hint="eastAsia" w:ascii="Times New Roman" w:hAnsi="Times New Roman" w:eastAsiaTheme="majorEastAsia"/>
              </w:rPr>
              <w:t>收缩压</w:t>
            </w:r>
          </w:p>
        </w:tc>
      </w:tr>
      <w:tr w14:paraId="5B4B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692E215">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5BF82FB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3BA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EA6FD9E">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75C872A">
            <w:pPr>
              <w:tabs>
                <w:tab w:val="left" w:pos="312"/>
              </w:tabs>
              <w:rPr>
                <w:rFonts w:ascii="Times New Roman" w:hAnsi="Times New Roman" w:eastAsiaTheme="majorEastAsia"/>
              </w:rPr>
            </w:pPr>
            <w:r>
              <w:rPr>
                <w:rFonts w:ascii="Times New Roman" w:hAnsi="Times New Roman" w:eastAsiaTheme="majorEastAsia"/>
              </w:rPr>
              <w:t>MD -11.78[95%CI:-15.74,-7.82]</w:t>
            </w:r>
          </w:p>
        </w:tc>
      </w:tr>
      <w:tr w14:paraId="01A2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AF6282E">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0705CBA">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5C6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7B25A16">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2036EA44">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rPr>
              <w:t>存在降级</w:t>
            </w:r>
          </w:p>
        </w:tc>
      </w:tr>
      <w:tr w14:paraId="323C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888D16E">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43D735EA">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2301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6CD33A3">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942CEBA">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杞菊地黄丸结合西医常规治疗较西医常规治疗子痫前期收缩压更低</w:t>
            </w:r>
          </w:p>
        </w:tc>
      </w:tr>
    </w:tbl>
    <w:p w14:paraId="105464E3">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1544"/>
        <w:gridCol w:w="1418"/>
        <w:gridCol w:w="1417"/>
        <w:gridCol w:w="1418"/>
      </w:tblGrid>
      <w:tr w14:paraId="0F0C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10AF03B4">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44" w:type="dxa"/>
          </w:tcPr>
          <w:p w14:paraId="252DBC73">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66A35A1F">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23C54901">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628E7ADC">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248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63E971CA">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杞菊地黄丸治疗子痫前期患者舒张压如何</w:t>
            </w:r>
          </w:p>
        </w:tc>
        <w:tc>
          <w:tcPr>
            <w:tcW w:w="1544" w:type="dxa"/>
          </w:tcPr>
          <w:p w14:paraId="0DBF39A3">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7C12E13A">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7B57650E">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62CCB502">
            <w:pPr>
              <w:tabs>
                <w:tab w:val="left" w:pos="312"/>
              </w:tabs>
              <w:rPr>
                <w:rFonts w:ascii="Times New Roman" w:hAnsi="Times New Roman" w:eastAsiaTheme="majorEastAsia"/>
              </w:rPr>
            </w:pPr>
            <w:r>
              <w:rPr>
                <w:rFonts w:hint="eastAsia" w:ascii="Times New Roman" w:hAnsi="Times New Roman" w:eastAsiaTheme="majorEastAsia"/>
              </w:rPr>
              <w:t>舒张压</w:t>
            </w:r>
          </w:p>
        </w:tc>
      </w:tr>
      <w:tr w14:paraId="3606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231369E6">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797" w:type="dxa"/>
            <w:gridSpan w:val="4"/>
          </w:tcPr>
          <w:p w14:paraId="3AD26F5A">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5BDA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36FC3174">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797" w:type="dxa"/>
            <w:gridSpan w:val="4"/>
          </w:tcPr>
          <w:p w14:paraId="04020084">
            <w:pPr>
              <w:tabs>
                <w:tab w:val="left" w:pos="312"/>
              </w:tabs>
              <w:rPr>
                <w:rFonts w:ascii="Times New Roman" w:hAnsi="Times New Roman" w:eastAsiaTheme="majorEastAsia"/>
              </w:rPr>
            </w:pPr>
            <w:r>
              <w:rPr>
                <w:rFonts w:ascii="Times New Roman" w:hAnsi="Times New Roman" w:eastAsiaTheme="majorEastAsia"/>
              </w:rPr>
              <w:t>MD -10.35[95%CI:-12.00,-8.70]</w:t>
            </w:r>
          </w:p>
        </w:tc>
      </w:tr>
      <w:tr w14:paraId="6F7B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693F2B4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797" w:type="dxa"/>
            <w:gridSpan w:val="4"/>
          </w:tcPr>
          <w:p w14:paraId="376D1997">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5D77E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724D10F2">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797" w:type="dxa"/>
            <w:gridSpan w:val="4"/>
          </w:tcPr>
          <w:p w14:paraId="11900762">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rPr>
              <w:t>存在降级</w:t>
            </w:r>
          </w:p>
        </w:tc>
      </w:tr>
      <w:tr w14:paraId="6E4A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5C710CE3">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797" w:type="dxa"/>
            <w:gridSpan w:val="4"/>
          </w:tcPr>
          <w:p w14:paraId="7808379A">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40A5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0" w:type="dxa"/>
          </w:tcPr>
          <w:p w14:paraId="2BA1060E">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797" w:type="dxa"/>
            <w:gridSpan w:val="4"/>
          </w:tcPr>
          <w:p w14:paraId="5B7207E6">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杞菊地黄丸结合西医常规治疗较西医常规治疗子痫前期舒张压更低</w:t>
            </w:r>
          </w:p>
        </w:tc>
      </w:tr>
    </w:tbl>
    <w:p w14:paraId="36B4387A">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18CD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AE76481">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A078DF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6EDD31A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6C71BC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F82679C">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74CE9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ED5C381">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杞菊地黄丸治疗子痫前期患者平均动脉压如何</w:t>
            </w:r>
          </w:p>
        </w:tc>
        <w:tc>
          <w:tcPr>
            <w:tcW w:w="1559" w:type="dxa"/>
          </w:tcPr>
          <w:p w14:paraId="09B9F333">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3DB39C02">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2E74C036">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FFE9608">
            <w:pPr>
              <w:tabs>
                <w:tab w:val="left" w:pos="312"/>
              </w:tabs>
              <w:rPr>
                <w:rFonts w:ascii="Times New Roman" w:hAnsi="Times New Roman" w:eastAsiaTheme="majorEastAsia"/>
              </w:rPr>
            </w:pPr>
            <w:r>
              <w:rPr>
                <w:rFonts w:hint="eastAsia" w:ascii="Times New Roman" w:hAnsi="Times New Roman" w:eastAsiaTheme="majorEastAsia"/>
              </w:rPr>
              <w:t>平均动脉压</w:t>
            </w:r>
          </w:p>
        </w:tc>
      </w:tr>
      <w:tr w14:paraId="4FD8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470DEC1">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691E70BF">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304F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510EC75">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54C0457">
            <w:pPr>
              <w:tabs>
                <w:tab w:val="left" w:pos="312"/>
              </w:tabs>
              <w:rPr>
                <w:rFonts w:ascii="Times New Roman" w:hAnsi="Times New Roman" w:eastAsiaTheme="majorEastAsia"/>
              </w:rPr>
            </w:pPr>
            <w:r>
              <w:rPr>
                <w:rFonts w:ascii="Times New Roman" w:hAnsi="Times New Roman" w:eastAsiaTheme="majorEastAsia"/>
              </w:rPr>
              <w:t>MD -9.16[95%CI:-12.69,-5.63]</w:t>
            </w:r>
          </w:p>
        </w:tc>
      </w:tr>
      <w:tr w14:paraId="2EAA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335CFE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7275DCF5">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1DDF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052DBE2">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5CA5301">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36CA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51DC57F">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322E56F4">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65C8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6D6B20F">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5799EA6">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杞菊地黄丸结合西医常规治疗较西医常规治疗子痫前期平均动脉压更低</w:t>
            </w:r>
          </w:p>
        </w:tc>
      </w:tr>
    </w:tbl>
    <w:p w14:paraId="49523F71">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2DAC1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358A8E4">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2B5420AD">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55764B43">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6322EF2">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3E3FB914">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F38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D5B0B55">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杞菊地黄丸治疗子痫前期患者妊娠周数如何</w:t>
            </w:r>
          </w:p>
        </w:tc>
        <w:tc>
          <w:tcPr>
            <w:tcW w:w="1559" w:type="dxa"/>
          </w:tcPr>
          <w:p w14:paraId="68CE9E2F">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599756E7">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1DEDAFFD">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2854F1B">
            <w:pPr>
              <w:tabs>
                <w:tab w:val="left" w:pos="312"/>
              </w:tabs>
              <w:rPr>
                <w:rFonts w:ascii="Times New Roman" w:hAnsi="Times New Roman" w:eastAsiaTheme="majorEastAsia"/>
              </w:rPr>
            </w:pPr>
            <w:r>
              <w:rPr>
                <w:rFonts w:hint="eastAsia" w:ascii="Times New Roman" w:hAnsi="Times New Roman" w:eastAsiaTheme="majorEastAsia"/>
              </w:rPr>
              <w:t>妊娠周数</w:t>
            </w:r>
          </w:p>
        </w:tc>
      </w:tr>
      <w:tr w14:paraId="2901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AC338C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7E65F8AA">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1AAD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C439C60">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08D2D11E">
            <w:pPr>
              <w:tabs>
                <w:tab w:val="left" w:pos="312"/>
              </w:tabs>
              <w:rPr>
                <w:rFonts w:ascii="Times New Roman" w:hAnsi="Times New Roman" w:eastAsiaTheme="majorEastAsia"/>
              </w:rPr>
            </w:pPr>
            <w:r>
              <w:rPr>
                <w:rFonts w:ascii="Times New Roman" w:hAnsi="Times New Roman" w:eastAsiaTheme="majorEastAsia"/>
              </w:rPr>
              <w:t>MD 8.24[95%CI:6.29,10.19]</w:t>
            </w:r>
          </w:p>
        </w:tc>
      </w:tr>
      <w:tr w14:paraId="229C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C2113FF">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1C090F4E">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A90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91456C3">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1C516B5B">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6DE4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BFD7C71">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169BB114">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5665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4FD5028">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04F8C336">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杞菊地黄丸结合西医常规治疗较西医常规治疗子痫前期妊娠周数更长</w:t>
            </w:r>
          </w:p>
        </w:tc>
      </w:tr>
    </w:tbl>
    <w:p w14:paraId="1244F8B3">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2BFB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B0598E1">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20C6F63D">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0BE13770">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5A187CC8">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7877EE3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2CA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CB9DEA0">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杞菊地黄丸治疗子痫前期患者子痫发生率如何</w:t>
            </w:r>
          </w:p>
        </w:tc>
        <w:tc>
          <w:tcPr>
            <w:tcW w:w="1559" w:type="dxa"/>
          </w:tcPr>
          <w:p w14:paraId="619E96A9">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1C06B8DF">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48EF16EE">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174F9316">
            <w:pPr>
              <w:tabs>
                <w:tab w:val="left" w:pos="312"/>
              </w:tabs>
              <w:rPr>
                <w:rFonts w:ascii="Times New Roman" w:hAnsi="Times New Roman" w:eastAsiaTheme="majorEastAsia"/>
              </w:rPr>
            </w:pPr>
            <w:r>
              <w:rPr>
                <w:rFonts w:hint="eastAsia" w:ascii="Times New Roman" w:hAnsi="Times New Roman" w:eastAsiaTheme="majorEastAsia"/>
              </w:rPr>
              <w:t>子痫发生率</w:t>
            </w:r>
          </w:p>
        </w:tc>
      </w:tr>
      <w:tr w14:paraId="1A87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C845BD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4CC41C86">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75E2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C78AD55">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C9E745D">
            <w:pPr>
              <w:tabs>
                <w:tab w:val="left" w:pos="312"/>
              </w:tabs>
              <w:rPr>
                <w:rFonts w:ascii="Times New Roman" w:hAnsi="Times New Roman" w:eastAsiaTheme="majorEastAsia"/>
              </w:rPr>
            </w:pPr>
            <w:r>
              <w:rPr>
                <w:rFonts w:ascii="Times New Roman" w:hAnsi="Times New Roman" w:eastAsiaTheme="majorEastAsia"/>
              </w:rPr>
              <w:t>MD 0.97[95%CI:0.06,15.05]</w:t>
            </w:r>
          </w:p>
        </w:tc>
      </w:tr>
      <w:tr w14:paraId="1A97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E0AC191">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1DB096D8">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FD5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2F2070">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5EFC4AFE">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546A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9D03184">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3086726">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019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A6386B">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60CF08E2">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杞菊地黄丸结合西医常规治疗较西医常规治疗子痫前期子痫发生率无差异</w:t>
            </w:r>
          </w:p>
        </w:tc>
      </w:tr>
    </w:tbl>
    <w:p w14:paraId="3DC2FDF2">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47AB4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C950687">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C2857A2">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32B6E5F4">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2DA07E1C">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112C20E">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DE0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14E8D86">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杞菊地黄丸治疗子痫前期患者尿蛋白水平如何</w:t>
            </w:r>
          </w:p>
        </w:tc>
        <w:tc>
          <w:tcPr>
            <w:tcW w:w="1559" w:type="dxa"/>
          </w:tcPr>
          <w:p w14:paraId="0D97FDF0">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1AF592C4">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5A0C33FB">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213308AA">
            <w:pPr>
              <w:tabs>
                <w:tab w:val="left" w:pos="312"/>
              </w:tabs>
              <w:rPr>
                <w:rFonts w:ascii="Times New Roman" w:hAnsi="Times New Roman" w:eastAsiaTheme="majorEastAsia"/>
              </w:rPr>
            </w:pPr>
            <w:r>
              <w:rPr>
                <w:rFonts w:hint="eastAsia" w:ascii="Times New Roman" w:hAnsi="Times New Roman" w:eastAsiaTheme="majorEastAsia"/>
              </w:rPr>
              <w:t>尿蛋白水平</w:t>
            </w:r>
          </w:p>
        </w:tc>
      </w:tr>
      <w:tr w14:paraId="4021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F12A0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4DE75E82">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B34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2EAA54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5ED34CC3">
            <w:pPr>
              <w:tabs>
                <w:tab w:val="left" w:pos="312"/>
              </w:tabs>
              <w:rPr>
                <w:rFonts w:ascii="Times New Roman" w:hAnsi="Times New Roman" w:eastAsiaTheme="majorEastAsia"/>
              </w:rPr>
            </w:pPr>
            <w:r>
              <w:rPr>
                <w:rFonts w:ascii="Times New Roman" w:hAnsi="Times New Roman" w:eastAsiaTheme="majorEastAsia"/>
              </w:rPr>
              <w:t>MD -1.37[95%CI:-2.30,-0.44]</w:t>
            </w:r>
          </w:p>
        </w:tc>
      </w:tr>
      <w:tr w14:paraId="3DBB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30F0D7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3855930">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225F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A2CA129">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7D2F8073">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743C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F0E8EAB">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7C8422EA">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6F8F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B6E596F">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6369DEA6">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杞菊地黄丸结合西医常规治疗较西医常规治疗子痫前期尿蛋白水平更低</w:t>
            </w:r>
          </w:p>
        </w:tc>
      </w:tr>
    </w:tbl>
    <w:p w14:paraId="6D2E3D2B">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7A056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1ED85F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303A465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46A9C5CF">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7A166B3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491D0995">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6F3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D4F2ED2">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杞菊地黄丸治疗子痫前期患者中医证候积分如何</w:t>
            </w:r>
          </w:p>
        </w:tc>
        <w:tc>
          <w:tcPr>
            <w:tcW w:w="1559" w:type="dxa"/>
          </w:tcPr>
          <w:p w14:paraId="21C3F540">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75A44C3F">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3B0E0F56">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256F3939">
            <w:pPr>
              <w:tabs>
                <w:tab w:val="left" w:pos="312"/>
              </w:tabs>
              <w:rPr>
                <w:rFonts w:ascii="Times New Roman" w:hAnsi="Times New Roman" w:eastAsiaTheme="majorEastAsia"/>
              </w:rPr>
            </w:pPr>
            <w:r>
              <w:rPr>
                <w:rFonts w:hint="eastAsia" w:ascii="Times New Roman" w:hAnsi="Times New Roman" w:eastAsiaTheme="majorEastAsia"/>
              </w:rPr>
              <w:t>中医证候积分</w:t>
            </w:r>
          </w:p>
        </w:tc>
      </w:tr>
      <w:tr w14:paraId="1A39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6DA4506">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1E96CCC0">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8DE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09CC708">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098C5D25">
            <w:pPr>
              <w:tabs>
                <w:tab w:val="left" w:pos="312"/>
              </w:tabs>
              <w:rPr>
                <w:rFonts w:ascii="Times New Roman" w:hAnsi="Times New Roman" w:eastAsiaTheme="majorEastAsia"/>
              </w:rPr>
            </w:pPr>
            <w:r>
              <w:rPr>
                <w:rFonts w:ascii="Times New Roman" w:hAnsi="Times New Roman" w:eastAsiaTheme="majorEastAsia"/>
              </w:rPr>
              <w:t>MD -0.68[95%CI:-0.83,-0.53]</w:t>
            </w:r>
          </w:p>
        </w:tc>
      </w:tr>
      <w:tr w14:paraId="7FD2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81C3CF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E5BB8EE">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46F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4E4618">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09E3D506">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2756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5DEBCFD">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5D05172A">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02FF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0E99DCD">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5D578E6C">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杞菊地黄丸结合西医常规治疗较西医常规治疗子痫前期中医证候积分更低</w:t>
            </w:r>
          </w:p>
        </w:tc>
      </w:tr>
    </w:tbl>
    <w:p w14:paraId="26A8697E">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076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5E3E14B">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3246AE8C">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5CA30274">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74A214EC">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9099A73">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24F5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984651D">
            <w:pPr>
              <w:tabs>
                <w:tab w:val="left" w:pos="312"/>
              </w:tabs>
              <w:rPr>
                <w:rFonts w:ascii="Times New Roman" w:hAnsi="Times New Roman" w:eastAsiaTheme="majorEastAsia"/>
              </w:rPr>
            </w:pPr>
            <w:r>
              <w:rPr>
                <w:rFonts w:hint="eastAsia" w:ascii="Times New Roman" w:hAnsi="Times New Roman" w:eastAsiaTheme="majorEastAsia"/>
              </w:rPr>
              <w:t>与地西泮片比较，杞菊地黄丸治疗子痫前期患者临床有效率如何</w:t>
            </w:r>
          </w:p>
        </w:tc>
        <w:tc>
          <w:tcPr>
            <w:tcW w:w="1559" w:type="dxa"/>
          </w:tcPr>
          <w:p w14:paraId="6727FAE6">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03D14304">
            <w:pPr>
              <w:tabs>
                <w:tab w:val="left" w:pos="312"/>
              </w:tabs>
              <w:rPr>
                <w:rFonts w:ascii="Times New Roman" w:hAnsi="Times New Roman" w:eastAsiaTheme="majorEastAsia"/>
              </w:rPr>
            </w:pPr>
            <w:r>
              <w:rPr>
                <w:rFonts w:hint="eastAsia" w:ascii="Times New Roman" w:hAnsi="Times New Roman" w:eastAsiaTheme="majorEastAsia"/>
              </w:rPr>
              <w:t>杞菊地黄丸加减</w:t>
            </w:r>
          </w:p>
        </w:tc>
        <w:tc>
          <w:tcPr>
            <w:tcW w:w="1417" w:type="dxa"/>
          </w:tcPr>
          <w:p w14:paraId="0E04B4CB">
            <w:pPr>
              <w:tabs>
                <w:tab w:val="left" w:pos="312"/>
              </w:tabs>
              <w:rPr>
                <w:rFonts w:ascii="Times New Roman" w:hAnsi="Times New Roman" w:eastAsiaTheme="majorEastAsia"/>
              </w:rPr>
            </w:pPr>
            <w:r>
              <w:rPr>
                <w:rFonts w:hint="eastAsia" w:ascii="Times New Roman" w:hAnsi="Times New Roman" w:eastAsiaTheme="majorEastAsia"/>
              </w:rPr>
              <w:t>地西泮片</w:t>
            </w:r>
          </w:p>
        </w:tc>
        <w:tc>
          <w:tcPr>
            <w:tcW w:w="1418" w:type="dxa"/>
          </w:tcPr>
          <w:p w14:paraId="65987608">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3BAF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792DCDE">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0830300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2AA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F5B4D3D">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7CAF0DA0">
            <w:pPr>
              <w:tabs>
                <w:tab w:val="left" w:pos="312"/>
              </w:tabs>
              <w:rPr>
                <w:rFonts w:ascii="Times New Roman" w:hAnsi="Times New Roman" w:eastAsiaTheme="majorEastAsia"/>
              </w:rPr>
            </w:pPr>
            <w:r>
              <w:rPr>
                <w:rFonts w:ascii="Times New Roman" w:hAnsi="Times New Roman" w:eastAsiaTheme="majorEastAsia"/>
              </w:rPr>
              <w:t>RR 1.09[95%CI:0.95,1.25]</w:t>
            </w:r>
          </w:p>
        </w:tc>
      </w:tr>
      <w:tr w14:paraId="024B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7A066DB">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6F96ABD5">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D47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35D8DD4">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0716B5C5">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3859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BD1FADF">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191FB0D">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2CF2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B01FA9A">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25F7C2A2">
            <w:pPr>
              <w:tabs>
                <w:tab w:val="left" w:pos="312"/>
              </w:tabs>
              <w:rPr>
                <w:rFonts w:ascii="Times New Roman" w:hAnsi="Times New Roman" w:eastAsiaTheme="majorEastAsia"/>
              </w:rPr>
            </w:pPr>
            <w:r>
              <w:rPr>
                <w:rFonts w:hint="eastAsia" w:ascii="Times New Roman" w:hAnsi="Times New Roman" w:eastAsiaTheme="majorEastAsia"/>
              </w:rPr>
              <w:t>杞菊地黄丸较地西泮片治疗子痫前期临床有效率无差异</w:t>
            </w:r>
          </w:p>
        </w:tc>
      </w:tr>
    </w:tbl>
    <w:p w14:paraId="705C3E88">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7A57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DD7EA3C">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F41B8D0">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175C0C8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15998BE">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5459AF9">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2DBB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9F9ABE2">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杞菊地黄丸治疗子痫前期患者临床有效率如何</w:t>
            </w:r>
          </w:p>
        </w:tc>
        <w:tc>
          <w:tcPr>
            <w:tcW w:w="1559" w:type="dxa"/>
          </w:tcPr>
          <w:p w14:paraId="7A43F582">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1C2E7889">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3DD2E06F">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5DF8D2CC">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46CB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5B8B785">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6A652F13">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03A3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30BF49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CB2D50A">
            <w:pPr>
              <w:tabs>
                <w:tab w:val="left" w:pos="312"/>
              </w:tabs>
              <w:rPr>
                <w:rFonts w:ascii="Times New Roman" w:hAnsi="Times New Roman" w:eastAsiaTheme="majorEastAsia"/>
              </w:rPr>
            </w:pPr>
            <w:r>
              <w:rPr>
                <w:rFonts w:ascii="Times New Roman" w:hAnsi="Times New Roman" w:eastAsiaTheme="majorEastAsia"/>
              </w:rPr>
              <w:t>RR 1.31[95%CI:1.04,1.66]</w:t>
            </w:r>
          </w:p>
        </w:tc>
      </w:tr>
      <w:tr w14:paraId="3B8F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C8E761C">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4055EDC2">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C</w:t>
            </w:r>
            <w:r>
              <w:rPr>
                <w:rFonts w:hint="eastAsia" w:ascii="Times New Roman" w:hAnsi="Times New Roman" w:eastAsiaTheme="majorEastAsia"/>
                <w:color w:val="000000"/>
              </w:rPr>
              <w:t>级证据（低级）</w:t>
            </w:r>
          </w:p>
        </w:tc>
      </w:tr>
      <w:tr w14:paraId="0CE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80B2EC2">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00DCFCC">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49C3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9C2DF1A">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43F5DA43">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原始研究在盲法、分配隐藏存在缺陷、怀疑存在发表偏倚</w:t>
            </w:r>
          </w:p>
        </w:tc>
      </w:tr>
      <w:tr w14:paraId="0F1C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B83A12">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598B9CD">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杞菊地黄丸结合西医常规治疗较西医常规治疗子痫前期临床有效率更高</w:t>
            </w:r>
          </w:p>
        </w:tc>
      </w:tr>
    </w:tbl>
    <w:p w14:paraId="5FA0E804">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1C31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AF1C5B5">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683A8BF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29177890">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04790841">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323E5438">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210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BD6980A">
            <w:pPr>
              <w:tabs>
                <w:tab w:val="left" w:pos="312"/>
              </w:tabs>
              <w:rPr>
                <w:rFonts w:ascii="Times New Roman" w:hAnsi="Times New Roman" w:eastAsiaTheme="majorEastAsia"/>
              </w:rPr>
            </w:pPr>
            <w:r>
              <w:rPr>
                <w:rFonts w:hint="eastAsia" w:ascii="Times New Roman" w:hAnsi="Times New Roman" w:eastAsiaTheme="majorEastAsia"/>
              </w:rPr>
              <w:t>与地西泮片比较，杞菊地黄丸治疗子痫前期患者不良反应发生率如何</w:t>
            </w:r>
          </w:p>
        </w:tc>
        <w:tc>
          <w:tcPr>
            <w:tcW w:w="1559" w:type="dxa"/>
          </w:tcPr>
          <w:p w14:paraId="329393DF">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629C9C7D">
            <w:pPr>
              <w:tabs>
                <w:tab w:val="left" w:pos="312"/>
              </w:tabs>
              <w:rPr>
                <w:rFonts w:ascii="Times New Roman" w:hAnsi="Times New Roman" w:eastAsiaTheme="majorEastAsia"/>
              </w:rPr>
            </w:pPr>
            <w:r>
              <w:rPr>
                <w:rFonts w:hint="eastAsia" w:ascii="Times New Roman" w:hAnsi="Times New Roman" w:eastAsiaTheme="majorEastAsia"/>
              </w:rPr>
              <w:t>杞菊地黄丸加减</w:t>
            </w:r>
          </w:p>
        </w:tc>
        <w:tc>
          <w:tcPr>
            <w:tcW w:w="1417" w:type="dxa"/>
          </w:tcPr>
          <w:p w14:paraId="2D2C5661">
            <w:pPr>
              <w:tabs>
                <w:tab w:val="left" w:pos="312"/>
              </w:tabs>
              <w:rPr>
                <w:rFonts w:ascii="Times New Roman" w:hAnsi="Times New Roman" w:eastAsiaTheme="majorEastAsia"/>
              </w:rPr>
            </w:pPr>
            <w:r>
              <w:rPr>
                <w:rFonts w:hint="eastAsia" w:ascii="Times New Roman" w:hAnsi="Times New Roman" w:eastAsiaTheme="majorEastAsia"/>
              </w:rPr>
              <w:t>地西泮片</w:t>
            </w:r>
          </w:p>
        </w:tc>
        <w:tc>
          <w:tcPr>
            <w:tcW w:w="1418" w:type="dxa"/>
          </w:tcPr>
          <w:p w14:paraId="18FAA174">
            <w:pPr>
              <w:tabs>
                <w:tab w:val="left" w:pos="312"/>
              </w:tabs>
              <w:rPr>
                <w:rFonts w:ascii="Times New Roman" w:hAnsi="Times New Roman" w:eastAsiaTheme="majorEastAsia"/>
              </w:rPr>
            </w:pPr>
            <w:r>
              <w:rPr>
                <w:rFonts w:hint="eastAsia" w:ascii="Times New Roman" w:hAnsi="Times New Roman" w:eastAsiaTheme="majorEastAsia"/>
              </w:rPr>
              <w:t>不良反应发生率</w:t>
            </w:r>
          </w:p>
        </w:tc>
      </w:tr>
      <w:tr w14:paraId="0965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4D4DB0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64E39201">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7382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545130E">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5F8C3F9">
            <w:pPr>
              <w:tabs>
                <w:tab w:val="left" w:pos="312"/>
              </w:tabs>
              <w:rPr>
                <w:rFonts w:ascii="Times New Roman" w:hAnsi="Times New Roman" w:eastAsiaTheme="majorEastAsia"/>
              </w:rPr>
            </w:pPr>
            <w:r>
              <w:rPr>
                <w:rFonts w:ascii="Times New Roman" w:hAnsi="Times New Roman" w:eastAsiaTheme="majorEastAsia"/>
              </w:rPr>
              <w:t>RR 4.00[95%CI:0.47,34.24]</w:t>
            </w:r>
          </w:p>
        </w:tc>
      </w:tr>
      <w:tr w14:paraId="3636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576EFF">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1249D9D2">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w:t>
            </w:r>
            <w:r>
              <w:rPr>
                <w:rFonts w:ascii="Times New Roman" w:hAnsi="Times New Roman" w:eastAsiaTheme="majorEastAsia"/>
                <w:color w:val="000000"/>
              </w:rPr>
              <w:t>(</w:t>
            </w:r>
            <w:r>
              <w:rPr>
                <w:rFonts w:hint="eastAsia" w:ascii="Times New Roman" w:hAnsi="Times New Roman" w:eastAsiaTheme="majorEastAsia"/>
                <w:color w:val="000000"/>
              </w:rPr>
              <w:t>极低）</w:t>
            </w:r>
          </w:p>
        </w:tc>
      </w:tr>
      <w:tr w14:paraId="0463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3D33954">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94B2F51">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25254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CE313C7">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5E7AB958">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092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35A00AE">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ED8DC91">
            <w:pPr>
              <w:tabs>
                <w:tab w:val="left" w:pos="312"/>
              </w:tabs>
              <w:rPr>
                <w:rFonts w:ascii="Times New Roman" w:hAnsi="Times New Roman" w:eastAsiaTheme="majorEastAsia"/>
              </w:rPr>
            </w:pPr>
            <w:r>
              <w:rPr>
                <w:rFonts w:hint="eastAsia" w:ascii="Times New Roman" w:hAnsi="Times New Roman" w:eastAsiaTheme="majorEastAsia"/>
              </w:rPr>
              <w:t>杞菊地黄丸较地西泮片治疗子痫前期的不良反应发生率无差异</w:t>
            </w:r>
          </w:p>
        </w:tc>
      </w:tr>
    </w:tbl>
    <w:p w14:paraId="3E594523">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2001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BE1853">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4B7DC00">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4C7FE084">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60D503B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66FD570E">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ED2D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7CE01D5">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杞菊地黄丸治疗子痫前期患者不良反应发生率如何</w:t>
            </w:r>
          </w:p>
        </w:tc>
        <w:tc>
          <w:tcPr>
            <w:tcW w:w="1559" w:type="dxa"/>
          </w:tcPr>
          <w:p w14:paraId="35295206">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0D3C7D96">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64AA88F4">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7D54F1F2">
            <w:pPr>
              <w:tabs>
                <w:tab w:val="left" w:pos="312"/>
              </w:tabs>
              <w:rPr>
                <w:rFonts w:ascii="Times New Roman" w:hAnsi="Times New Roman" w:eastAsiaTheme="majorEastAsia"/>
              </w:rPr>
            </w:pPr>
            <w:r>
              <w:rPr>
                <w:rFonts w:hint="eastAsia" w:ascii="Times New Roman" w:hAnsi="Times New Roman" w:eastAsiaTheme="majorEastAsia"/>
              </w:rPr>
              <w:t>不良反应发生率</w:t>
            </w:r>
          </w:p>
        </w:tc>
      </w:tr>
      <w:tr w14:paraId="0804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91D5887">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35DA052A">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511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1D4E995">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2011C722">
            <w:pPr>
              <w:tabs>
                <w:tab w:val="left" w:pos="312"/>
              </w:tabs>
              <w:rPr>
                <w:rFonts w:ascii="Times New Roman" w:hAnsi="Times New Roman" w:eastAsiaTheme="majorEastAsia"/>
              </w:rPr>
            </w:pPr>
            <w:r>
              <w:rPr>
                <w:rFonts w:ascii="Times New Roman" w:hAnsi="Times New Roman" w:eastAsiaTheme="majorEastAsia"/>
              </w:rPr>
              <w:t>RR 0.67[95%CI:0.12,3.80]</w:t>
            </w:r>
          </w:p>
        </w:tc>
      </w:tr>
      <w:tr w14:paraId="7E7E6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C26EEDE">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CA69A68">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5BD4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23D1961">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0D038A10">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48C3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A23DE55">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4D1564A7">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原始研究在盲法、分配隐藏存在缺陷、纳入研究样本量较小、怀疑存在发表偏倚</w:t>
            </w:r>
          </w:p>
        </w:tc>
      </w:tr>
      <w:tr w14:paraId="19F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7378912">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78922744">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杞菊地黄丸结合西医常规治疗较西医常规治疗子痫前期不良反应发生率无差异</w:t>
            </w:r>
          </w:p>
        </w:tc>
      </w:tr>
    </w:tbl>
    <w:p w14:paraId="0C95987C">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4485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207888A">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60DF883">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7103A662">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412F3EA">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6242AA7">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1DE9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8C2FC0">
            <w:pPr>
              <w:tabs>
                <w:tab w:val="left" w:pos="312"/>
              </w:tabs>
              <w:rPr>
                <w:rFonts w:ascii="Times New Roman" w:hAnsi="Times New Roman" w:eastAsiaTheme="majorEastAsia"/>
              </w:rPr>
            </w:pPr>
            <w:r>
              <w:rPr>
                <w:rFonts w:hint="eastAsia" w:ascii="Times New Roman" w:hAnsi="Times New Roman" w:eastAsiaTheme="majorEastAsia"/>
              </w:rPr>
              <w:t>杞菊地黄丸治疗子痫前期患者并发症发生率如何</w:t>
            </w:r>
          </w:p>
        </w:tc>
        <w:tc>
          <w:tcPr>
            <w:tcW w:w="1559" w:type="dxa"/>
          </w:tcPr>
          <w:p w14:paraId="5110A95F">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073E8C70">
            <w:pPr>
              <w:tabs>
                <w:tab w:val="left" w:pos="312"/>
              </w:tabs>
              <w:rPr>
                <w:rFonts w:ascii="Times New Roman" w:hAnsi="Times New Roman" w:eastAsiaTheme="majorEastAsia"/>
              </w:rPr>
            </w:pPr>
            <w:r>
              <w:rPr>
                <w:rFonts w:hint="eastAsia" w:ascii="Times New Roman" w:hAnsi="Times New Roman" w:eastAsiaTheme="majorEastAsia"/>
              </w:rPr>
              <w:t>杞菊地黄丸加减结合西医常规治疗</w:t>
            </w:r>
          </w:p>
        </w:tc>
        <w:tc>
          <w:tcPr>
            <w:tcW w:w="1417" w:type="dxa"/>
          </w:tcPr>
          <w:p w14:paraId="059E5FE2">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27D1279C">
            <w:pPr>
              <w:tabs>
                <w:tab w:val="left" w:pos="312"/>
              </w:tabs>
              <w:rPr>
                <w:rFonts w:ascii="Times New Roman" w:hAnsi="Times New Roman" w:eastAsiaTheme="majorEastAsia"/>
              </w:rPr>
            </w:pPr>
            <w:r>
              <w:rPr>
                <w:rFonts w:hint="eastAsia" w:ascii="Times New Roman" w:hAnsi="Times New Roman" w:eastAsiaTheme="majorEastAsia"/>
              </w:rPr>
              <w:t>并发症发生率</w:t>
            </w:r>
          </w:p>
        </w:tc>
      </w:tr>
      <w:tr w14:paraId="1163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D78094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2109D5FF">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1AFE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B171442">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2F70F1EF">
            <w:pPr>
              <w:tabs>
                <w:tab w:val="left" w:pos="312"/>
              </w:tabs>
              <w:rPr>
                <w:rFonts w:ascii="Times New Roman" w:hAnsi="Times New Roman" w:eastAsiaTheme="majorEastAsia"/>
              </w:rPr>
            </w:pPr>
            <w:r>
              <w:rPr>
                <w:rFonts w:ascii="Times New Roman" w:hAnsi="Times New Roman" w:eastAsiaTheme="majorEastAsia"/>
              </w:rPr>
              <w:t>RR 0.79[95%CI:0.37,1.67]</w:t>
            </w:r>
          </w:p>
        </w:tc>
      </w:tr>
      <w:tr w14:paraId="10BF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1859627">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1CDE21B3">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5649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EAEB754">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2FBBE4EA">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存在降级</w:t>
            </w:r>
          </w:p>
        </w:tc>
      </w:tr>
      <w:tr w14:paraId="1B48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15FF3B9">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3915FAF1">
            <w:pPr>
              <w:tabs>
                <w:tab w:val="left" w:pos="312"/>
              </w:tabs>
              <w:rPr>
                <w:rFonts w:ascii="Times New Roman" w:hAnsi="Times New Roman" w:eastAsiaTheme="majorEastAsia"/>
                <w:color w:val="4F81BD" w:themeColor="accent1"/>
                <w14:textFill>
                  <w14:solidFill>
                    <w14:schemeClr w14:val="accent1"/>
                  </w14:solidFill>
                </w14:textFill>
              </w:rPr>
            </w:pPr>
            <w:r>
              <w:rPr>
                <w:rFonts w:hint="eastAsia" w:ascii="Times New Roman" w:hAnsi="Times New Roman" w:eastAsiaTheme="majorEastAsia"/>
                <w:color w:val="000000"/>
              </w:rPr>
              <w:t>原始研究在盲法、分配隐藏存在缺陷、怀疑存在发表偏倚</w:t>
            </w:r>
          </w:p>
        </w:tc>
      </w:tr>
      <w:tr w14:paraId="4B37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FAB324C">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75B566D9">
            <w:pPr>
              <w:tabs>
                <w:tab w:val="left" w:pos="312"/>
              </w:tabs>
              <w:rPr>
                <w:rFonts w:ascii="Times New Roman" w:hAnsi="Times New Roman" w:eastAsiaTheme="majorEastAsia"/>
              </w:rPr>
            </w:pPr>
            <w:r>
              <w:rPr>
                <w:rFonts w:hint="eastAsia" w:ascii="Times New Roman" w:hAnsi="Times New Roman" w:eastAsiaTheme="majorEastAsia"/>
              </w:rPr>
              <w:t>杞菊地黄丸结合西医常规治疗较西医常规治疗子痫前期并发症发生率无差异</w:t>
            </w:r>
          </w:p>
        </w:tc>
      </w:tr>
    </w:tbl>
    <w:p w14:paraId="2A3C5E0B">
      <w:pPr>
        <w:spacing w:line="140" w:lineRule="atLeast"/>
        <w:rPr>
          <w:rFonts w:ascii="Times New Roman" w:hAnsi="Times New Roman" w:eastAsiaTheme="majorEastAsia"/>
          <w:b/>
          <w:bCs/>
          <w:color w:val="000000"/>
          <w:lang w:val="en"/>
        </w:rPr>
      </w:pPr>
    </w:p>
    <w:p w14:paraId="68F09739">
      <w:pPr>
        <w:spacing w:line="140" w:lineRule="atLeast"/>
        <w:rPr>
          <w:rFonts w:ascii="Times New Roman" w:hAnsi="Times New Roman" w:eastAsiaTheme="majorEastAsia"/>
          <w:color w:val="000000"/>
          <w:lang w:val="en"/>
        </w:rPr>
      </w:pPr>
      <w:r>
        <w:rPr>
          <w:rFonts w:hint="eastAsia" w:ascii="Times New Roman" w:hAnsi="Times New Roman" w:eastAsiaTheme="majorEastAsia"/>
          <w:b/>
          <w:bCs/>
          <w:color w:val="000000"/>
          <w:lang w:val="en"/>
        </w:rPr>
        <w:t>天麻钩藤饮</w:t>
      </w: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6170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0E64DA1">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4E3D1738">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18B0913E">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8C0BF74">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57DAD5E">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1BD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CEA19F5">
            <w:pPr>
              <w:tabs>
                <w:tab w:val="left" w:pos="312"/>
              </w:tabs>
              <w:rPr>
                <w:rFonts w:ascii="Times New Roman" w:hAnsi="Times New Roman" w:eastAsiaTheme="majorEastAsia"/>
              </w:rPr>
            </w:pPr>
            <w:r>
              <w:rPr>
                <w:rFonts w:hint="eastAsia" w:ascii="Times New Roman" w:hAnsi="Times New Roman" w:eastAsiaTheme="majorEastAsia"/>
              </w:rPr>
              <w:t>天麻钩藤饮治疗子痫前期患者临床有效率如何</w:t>
            </w:r>
          </w:p>
        </w:tc>
        <w:tc>
          <w:tcPr>
            <w:tcW w:w="1559" w:type="dxa"/>
          </w:tcPr>
          <w:p w14:paraId="7BF2956E">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245B9D77">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w:t>
            </w:r>
          </w:p>
        </w:tc>
        <w:tc>
          <w:tcPr>
            <w:tcW w:w="1417" w:type="dxa"/>
          </w:tcPr>
          <w:p w14:paraId="69B4A57C">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523D7C48">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7C02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36B31AA">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725D2FE1">
            <w:pPr>
              <w:tabs>
                <w:tab w:val="left" w:pos="312"/>
              </w:tabs>
              <w:rPr>
                <w:rFonts w:ascii="Times New Roman" w:hAnsi="Times New Roman" w:eastAsiaTheme="majorEastAsia"/>
              </w:rPr>
            </w:pPr>
            <w:r>
              <w:rPr>
                <w:rFonts w:ascii="Times New Roman" w:hAnsi="Times New Roman" w:eastAsiaTheme="majorEastAsia"/>
              </w:rPr>
              <w:t>3</w:t>
            </w:r>
            <w:r>
              <w:rPr>
                <w:rFonts w:hint="eastAsia" w:ascii="Times New Roman" w:hAnsi="Times New Roman" w:eastAsiaTheme="majorEastAsia"/>
              </w:rPr>
              <w:t>个</w:t>
            </w:r>
            <w:r>
              <w:rPr>
                <w:rFonts w:ascii="Times New Roman" w:hAnsi="Times New Roman" w:eastAsiaTheme="majorEastAsia"/>
              </w:rPr>
              <w:t>RCT</w:t>
            </w:r>
          </w:p>
        </w:tc>
      </w:tr>
      <w:tr w14:paraId="67DA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14A5BA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CAA99C9">
            <w:pPr>
              <w:tabs>
                <w:tab w:val="left" w:pos="312"/>
              </w:tabs>
              <w:rPr>
                <w:rFonts w:ascii="Times New Roman" w:hAnsi="Times New Roman" w:eastAsiaTheme="majorEastAsia"/>
              </w:rPr>
            </w:pPr>
            <w:r>
              <w:rPr>
                <w:rFonts w:ascii="Times New Roman" w:hAnsi="Times New Roman" w:eastAsiaTheme="majorEastAsia"/>
              </w:rPr>
              <w:t>RR 1.21[95%CI:0.90,1.63]</w:t>
            </w:r>
          </w:p>
        </w:tc>
      </w:tr>
      <w:tr w14:paraId="60BC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C326106">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43C1112D">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28D2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2E02B63">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2CED5B3E">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25D2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2B02C78">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5BA6B748">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55E3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B40943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781B401">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天麻钩藤饮结合西医常规治疗较西医常规治疗子痫前期的临床有效率无差异</w:t>
            </w:r>
          </w:p>
        </w:tc>
      </w:tr>
    </w:tbl>
    <w:p w14:paraId="0DA2266C">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722A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0A8B62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0361DE5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5C9BDBCA">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624BBDF4">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EC33739">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FA8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58F54B">
            <w:pPr>
              <w:tabs>
                <w:tab w:val="left" w:pos="312"/>
              </w:tabs>
              <w:rPr>
                <w:rFonts w:ascii="Times New Roman" w:hAnsi="Times New Roman" w:eastAsiaTheme="majorEastAsia"/>
              </w:rPr>
            </w:pPr>
            <w:r>
              <w:rPr>
                <w:rFonts w:hint="eastAsia" w:ascii="Times New Roman" w:hAnsi="Times New Roman" w:eastAsiaTheme="majorEastAsia"/>
              </w:rPr>
              <w:t>天麻钩藤饮治疗子痫前期患者不良反应发生率如何</w:t>
            </w:r>
          </w:p>
        </w:tc>
        <w:tc>
          <w:tcPr>
            <w:tcW w:w="1559" w:type="dxa"/>
          </w:tcPr>
          <w:p w14:paraId="7EC725B8">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38FEFE21">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w:t>
            </w:r>
          </w:p>
        </w:tc>
        <w:tc>
          <w:tcPr>
            <w:tcW w:w="1417" w:type="dxa"/>
          </w:tcPr>
          <w:p w14:paraId="2967FC40">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1544E8F0">
            <w:pPr>
              <w:tabs>
                <w:tab w:val="left" w:pos="312"/>
              </w:tabs>
              <w:rPr>
                <w:rFonts w:ascii="Times New Roman" w:hAnsi="Times New Roman" w:eastAsiaTheme="majorEastAsia"/>
              </w:rPr>
            </w:pPr>
            <w:r>
              <w:rPr>
                <w:rFonts w:hint="eastAsia" w:ascii="Times New Roman" w:hAnsi="Times New Roman" w:eastAsiaTheme="majorEastAsia"/>
              </w:rPr>
              <w:t>不良反应发生率</w:t>
            </w:r>
          </w:p>
        </w:tc>
      </w:tr>
      <w:tr w14:paraId="1ED8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F04FA5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5D04DE81">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3DBA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44D978">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95785F1">
            <w:pPr>
              <w:tabs>
                <w:tab w:val="left" w:pos="312"/>
              </w:tabs>
              <w:rPr>
                <w:rFonts w:ascii="Times New Roman" w:hAnsi="Times New Roman" w:eastAsiaTheme="majorEastAsia"/>
              </w:rPr>
            </w:pPr>
            <w:r>
              <w:rPr>
                <w:rFonts w:ascii="Times New Roman" w:hAnsi="Times New Roman" w:eastAsiaTheme="majorEastAsia"/>
              </w:rPr>
              <w:t>RR 1.50[95%CI:0.44,5.17]</w:t>
            </w:r>
          </w:p>
        </w:tc>
      </w:tr>
      <w:tr w14:paraId="7FF4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05AEBB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2B12813C">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648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932E95A">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12F0952">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301E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E3F4C52">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0D5FD29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7B2E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03185A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26E0050C">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天麻钩藤饮结合西医常规治疗较西医常规治疗子痫前期的不良反应发生率无差异</w:t>
            </w:r>
          </w:p>
        </w:tc>
      </w:tr>
    </w:tbl>
    <w:p w14:paraId="3D38B863">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8"/>
        <w:gridCol w:w="1085"/>
        <w:gridCol w:w="1290"/>
        <w:gridCol w:w="1290"/>
        <w:gridCol w:w="2161"/>
      </w:tblGrid>
      <w:tr w14:paraId="00E1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4406761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78" w:type="pct"/>
          </w:tcPr>
          <w:p w14:paraId="46EE5A07">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7" w:type="pct"/>
          </w:tcPr>
          <w:p w14:paraId="4100A56B">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7" w:type="pct"/>
          </w:tcPr>
          <w:p w14:paraId="50D6E2C5">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48" w:type="pct"/>
          </w:tcPr>
          <w:p w14:paraId="5EC684CB">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59C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5DB286E9">
            <w:pPr>
              <w:tabs>
                <w:tab w:val="left" w:pos="312"/>
              </w:tabs>
              <w:rPr>
                <w:rFonts w:ascii="Times New Roman" w:hAnsi="Times New Roman" w:eastAsiaTheme="majorEastAsia"/>
              </w:rPr>
            </w:pPr>
            <w:r>
              <w:rPr>
                <w:rFonts w:hint="eastAsia" w:ascii="Times New Roman" w:hAnsi="Times New Roman" w:eastAsiaTheme="majorEastAsia"/>
              </w:rPr>
              <w:t>天麻钩藤饮治疗子痫前期尿蛋白水平如何</w:t>
            </w:r>
          </w:p>
        </w:tc>
        <w:tc>
          <w:tcPr>
            <w:tcW w:w="578" w:type="pct"/>
          </w:tcPr>
          <w:p w14:paraId="24EE7974">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7" w:type="pct"/>
          </w:tcPr>
          <w:p w14:paraId="6BB63027">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w:t>
            </w:r>
          </w:p>
        </w:tc>
        <w:tc>
          <w:tcPr>
            <w:tcW w:w="687" w:type="pct"/>
          </w:tcPr>
          <w:p w14:paraId="47624047">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48" w:type="pct"/>
          </w:tcPr>
          <w:p w14:paraId="1F48C43A">
            <w:pPr>
              <w:tabs>
                <w:tab w:val="left" w:pos="312"/>
              </w:tabs>
              <w:rPr>
                <w:rFonts w:ascii="Times New Roman" w:hAnsi="Times New Roman" w:eastAsiaTheme="majorEastAsia"/>
              </w:rPr>
            </w:pPr>
            <w:r>
              <w:rPr>
                <w:rFonts w:hint="eastAsia" w:ascii="Times New Roman" w:hAnsi="Times New Roman" w:eastAsiaTheme="majorEastAsia"/>
              </w:rPr>
              <w:t>尿蛋白水平</w:t>
            </w:r>
          </w:p>
        </w:tc>
      </w:tr>
      <w:tr w14:paraId="6B8D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28047173">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103" w:type="pct"/>
            <w:gridSpan w:val="4"/>
          </w:tcPr>
          <w:p w14:paraId="4D81119B">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DD0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28397BC0">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103" w:type="pct"/>
            <w:gridSpan w:val="4"/>
          </w:tcPr>
          <w:p w14:paraId="404D3AA9">
            <w:pPr>
              <w:tabs>
                <w:tab w:val="left" w:pos="312"/>
              </w:tabs>
              <w:rPr>
                <w:rFonts w:ascii="Times New Roman" w:hAnsi="Times New Roman" w:eastAsiaTheme="majorEastAsia"/>
              </w:rPr>
            </w:pPr>
            <w:r>
              <w:rPr>
                <w:rFonts w:ascii="Times New Roman" w:hAnsi="Times New Roman" w:eastAsiaTheme="majorEastAsia"/>
              </w:rPr>
              <w:t>MD 0.52[95%CI:0.42,0.62]</w:t>
            </w:r>
          </w:p>
        </w:tc>
      </w:tr>
      <w:tr w14:paraId="1D53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660BB584">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103" w:type="pct"/>
            <w:gridSpan w:val="4"/>
          </w:tcPr>
          <w:p w14:paraId="6A3F66B0">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E5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204B7F94">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103" w:type="pct"/>
            <w:gridSpan w:val="4"/>
          </w:tcPr>
          <w:p w14:paraId="0B6A0C1D">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84F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2C571613">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103" w:type="pct"/>
            <w:gridSpan w:val="4"/>
          </w:tcPr>
          <w:p w14:paraId="23F6A61B">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575F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pct"/>
          </w:tcPr>
          <w:p w14:paraId="1BB4DB95">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103" w:type="pct"/>
            <w:gridSpan w:val="4"/>
          </w:tcPr>
          <w:p w14:paraId="0458A286">
            <w:pPr>
              <w:tabs>
                <w:tab w:val="left" w:pos="312"/>
              </w:tabs>
              <w:rPr>
                <w:rFonts w:ascii="Times New Roman" w:hAnsi="Times New Roman" w:eastAsiaTheme="majorEastAsia"/>
              </w:rPr>
            </w:pPr>
            <w:r>
              <w:rPr>
                <w:rFonts w:hint="eastAsia" w:ascii="Times New Roman" w:hAnsi="Times New Roman" w:eastAsiaTheme="majorEastAsia"/>
              </w:rPr>
              <w:t>天麻钩藤饮结合西医常规治疗较西医常规治疗子痫前期的尿蛋白水平更低</w:t>
            </w:r>
          </w:p>
        </w:tc>
      </w:tr>
    </w:tbl>
    <w:p w14:paraId="08F40031">
      <w:pPr>
        <w:spacing w:line="140" w:lineRule="atLeast"/>
        <w:rPr>
          <w:rFonts w:ascii="Times New Roman" w:hAnsi="Times New Roman" w:eastAsiaTheme="majorEastAsia"/>
          <w:b/>
          <w:bCs/>
          <w:color w:val="000000"/>
          <w:lang w:val="en"/>
        </w:rPr>
      </w:pPr>
    </w:p>
    <w:p w14:paraId="13B814DF">
      <w:pPr>
        <w:spacing w:line="140" w:lineRule="atLeast"/>
        <w:rPr>
          <w:rFonts w:ascii="Times New Roman" w:hAnsi="Times New Roman" w:eastAsiaTheme="majorEastAsia"/>
          <w:color w:val="000000"/>
          <w:lang w:val="en"/>
        </w:rPr>
      </w:pPr>
      <w:r>
        <w:rPr>
          <w:rFonts w:hint="eastAsia" w:ascii="Times New Roman" w:hAnsi="Times New Roman" w:eastAsiaTheme="majorEastAsia"/>
          <w:b/>
          <w:bCs/>
          <w:color w:val="000000"/>
          <w:lang w:val="en"/>
        </w:rPr>
        <w:t>羚角钩藤汤</w:t>
      </w:r>
    </w:p>
    <w:tbl>
      <w:tblPr>
        <w:tblStyle w:val="23"/>
        <w:tblpPr w:leftFromText="180" w:rightFromText="180" w:vertAnchor="text" w:horzAnchor="page" w:tblpX="1378" w:tblpY="99"/>
        <w:tblOverlap w:val="never"/>
        <w:tblW w:w="55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1067"/>
        <w:gridCol w:w="1289"/>
        <w:gridCol w:w="1289"/>
        <w:gridCol w:w="2169"/>
      </w:tblGrid>
      <w:tr w14:paraId="1C38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180563EA">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68" w:type="pct"/>
          </w:tcPr>
          <w:p w14:paraId="21D6C4A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6" w:type="pct"/>
          </w:tcPr>
          <w:p w14:paraId="474205F1">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6" w:type="pct"/>
          </w:tcPr>
          <w:p w14:paraId="4AEAC3E5">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51" w:type="pct"/>
          </w:tcPr>
          <w:p w14:paraId="2B69FDC3">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5C5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4DDA7963">
            <w:pPr>
              <w:tabs>
                <w:tab w:val="left" w:pos="312"/>
              </w:tabs>
              <w:rPr>
                <w:rFonts w:ascii="Times New Roman" w:hAnsi="Times New Roman" w:eastAsiaTheme="majorEastAsia"/>
              </w:rPr>
            </w:pPr>
            <w:r>
              <w:rPr>
                <w:rFonts w:hint="eastAsia" w:ascii="Times New Roman" w:hAnsi="Times New Roman" w:eastAsiaTheme="majorEastAsia"/>
                <w:lang w:bidi="ar"/>
              </w:rPr>
              <w:t>羚角钩藤汤治疗子痫前期收缩压如何</w:t>
            </w:r>
          </w:p>
        </w:tc>
        <w:tc>
          <w:tcPr>
            <w:tcW w:w="568" w:type="pct"/>
          </w:tcPr>
          <w:p w14:paraId="516FAA33">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6" w:type="pct"/>
          </w:tcPr>
          <w:p w14:paraId="43E13B32">
            <w:pPr>
              <w:tabs>
                <w:tab w:val="left" w:pos="312"/>
              </w:tabs>
              <w:rPr>
                <w:rFonts w:ascii="Times New Roman" w:hAnsi="Times New Roman" w:eastAsiaTheme="majorEastAsia"/>
              </w:rPr>
            </w:pPr>
            <w:r>
              <w:rPr>
                <w:rFonts w:hint="eastAsia" w:ascii="Times New Roman" w:hAnsi="Times New Roman" w:eastAsiaTheme="majorEastAsia"/>
              </w:rPr>
              <w:t>羚角钩藤汤结合西医常规治疗</w:t>
            </w:r>
          </w:p>
        </w:tc>
        <w:tc>
          <w:tcPr>
            <w:tcW w:w="686" w:type="pct"/>
          </w:tcPr>
          <w:p w14:paraId="32A8D0BF">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51" w:type="pct"/>
          </w:tcPr>
          <w:p w14:paraId="115CF23A">
            <w:pPr>
              <w:tabs>
                <w:tab w:val="left" w:pos="312"/>
              </w:tabs>
              <w:rPr>
                <w:rFonts w:ascii="Times New Roman" w:hAnsi="Times New Roman" w:eastAsiaTheme="majorEastAsia"/>
              </w:rPr>
            </w:pPr>
            <w:r>
              <w:rPr>
                <w:rFonts w:hint="eastAsia" w:ascii="Times New Roman" w:hAnsi="Times New Roman" w:eastAsiaTheme="majorEastAsia"/>
              </w:rPr>
              <w:t>收缩压</w:t>
            </w:r>
          </w:p>
        </w:tc>
      </w:tr>
      <w:tr w14:paraId="7D5C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6D85A0FA">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94" w:type="pct"/>
            <w:gridSpan w:val="4"/>
          </w:tcPr>
          <w:p w14:paraId="3A7D8B7C">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2EA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7010BB4A">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94" w:type="pct"/>
            <w:gridSpan w:val="4"/>
          </w:tcPr>
          <w:p w14:paraId="4CEE0962">
            <w:pPr>
              <w:tabs>
                <w:tab w:val="left" w:pos="312"/>
              </w:tabs>
              <w:rPr>
                <w:rFonts w:ascii="Times New Roman" w:hAnsi="Times New Roman" w:eastAsiaTheme="majorEastAsia"/>
              </w:rPr>
            </w:pPr>
            <w:r>
              <w:rPr>
                <w:rFonts w:ascii="Times New Roman" w:hAnsi="Times New Roman" w:eastAsiaTheme="majorEastAsia"/>
              </w:rPr>
              <w:t>MD -10.52[95%CI:-15.68,-5.36]</w:t>
            </w:r>
          </w:p>
        </w:tc>
      </w:tr>
      <w:tr w14:paraId="37CB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63BCA535">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94" w:type="pct"/>
            <w:gridSpan w:val="4"/>
          </w:tcPr>
          <w:p w14:paraId="571ABCD7">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101D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135816A1">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94" w:type="pct"/>
            <w:gridSpan w:val="4"/>
          </w:tcPr>
          <w:p w14:paraId="3568CA19">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11C9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678C5449">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94" w:type="pct"/>
            <w:gridSpan w:val="4"/>
          </w:tcPr>
          <w:p w14:paraId="0D8A6823">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5566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pct"/>
          </w:tcPr>
          <w:p w14:paraId="0488498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94" w:type="pct"/>
            <w:gridSpan w:val="4"/>
          </w:tcPr>
          <w:p w14:paraId="7B786925">
            <w:pPr>
              <w:tabs>
                <w:tab w:val="left" w:pos="312"/>
              </w:tabs>
              <w:rPr>
                <w:rFonts w:ascii="Times New Roman" w:hAnsi="Times New Roman" w:eastAsiaTheme="majorEastAsia"/>
              </w:rPr>
            </w:pPr>
            <w:r>
              <w:rPr>
                <w:rFonts w:hint="eastAsia" w:ascii="Times New Roman" w:hAnsi="Times New Roman" w:eastAsiaTheme="majorEastAsia"/>
                <w:lang w:bidi="ar"/>
              </w:rPr>
              <w:t>羚角钩藤汤结合西医常规治疗较西医常规治疗子痫前期收缩压更低</w:t>
            </w:r>
          </w:p>
        </w:tc>
      </w:tr>
    </w:tbl>
    <w:p w14:paraId="5FE3F811">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55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1067"/>
        <w:gridCol w:w="1291"/>
        <w:gridCol w:w="1291"/>
        <w:gridCol w:w="2177"/>
      </w:tblGrid>
      <w:tr w14:paraId="7C2B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47B0843C">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567" w:type="pct"/>
          </w:tcPr>
          <w:p w14:paraId="59CDC664">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686" w:type="pct"/>
          </w:tcPr>
          <w:p w14:paraId="4640C6F0">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686" w:type="pct"/>
          </w:tcPr>
          <w:p w14:paraId="3E1CD282">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155" w:type="pct"/>
          </w:tcPr>
          <w:p w14:paraId="72C49F96">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F1C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2240E388">
            <w:pPr>
              <w:tabs>
                <w:tab w:val="left" w:pos="312"/>
              </w:tabs>
              <w:rPr>
                <w:rFonts w:ascii="Times New Roman" w:hAnsi="Times New Roman" w:eastAsiaTheme="majorEastAsia"/>
              </w:rPr>
            </w:pPr>
            <w:r>
              <w:rPr>
                <w:rFonts w:hint="eastAsia" w:ascii="Times New Roman" w:hAnsi="Times New Roman" w:eastAsiaTheme="majorEastAsia"/>
                <w:lang w:bidi="ar"/>
              </w:rPr>
              <w:t>羚角钩藤汤治疗子痫前期舒张压如何</w:t>
            </w:r>
          </w:p>
        </w:tc>
        <w:tc>
          <w:tcPr>
            <w:tcW w:w="567" w:type="pct"/>
          </w:tcPr>
          <w:p w14:paraId="2E65B04C">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686" w:type="pct"/>
          </w:tcPr>
          <w:p w14:paraId="0E292FED">
            <w:pPr>
              <w:tabs>
                <w:tab w:val="left" w:pos="312"/>
              </w:tabs>
              <w:rPr>
                <w:rFonts w:ascii="Times New Roman" w:hAnsi="Times New Roman" w:eastAsiaTheme="majorEastAsia"/>
              </w:rPr>
            </w:pPr>
            <w:r>
              <w:rPr>
                <w:rFonts w:hint="eastAsia" w:ascii="Times New Roman" w:hAnsi="Times New Roman" w:eastAsiaTheme="majorEastAsia"/>
              </w:rPr>
              <w:t>羚角钩藤汤结合西医常规治疗</w:t>
            </w:r>
          </w:p>
        </w:tc>
        <w:tc>
          <w:tcPr>
            <w:tcW w:w="686" w:type="pct"/>
          </w:tcPr>
          <w:p w14:paraId="5D20422E">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155" w:type="pct"/>
          </w:tcPr>
          <w:p w14:paraId="3997C98F">
            <w:pPr>
              <w:tabs>
                <w:tab w:val="left" w:pos="312"/>
              </w:tabs>
              <w:rPr>
                <w:rFonts w:ascii="Times New Roman" w:hAnsi="Times New Roman" w:eastAsiaTheme="majorEastAsia"/>
              </w:rPr>
            </w:pPr>
            <w:r>
              <w:rPr>
                <w:rFonts w:hint="eastAsia" w:ascii="Times New Roman" w:hAnsi="Times New Roman" w:eastAsiaTheme="majorEastAsia"/>
              </w:rPr>
              <w:t>舒张压</w:t>
            </w:r>
          </w:p>
        </w:tc>
      </w:tr>
      <w:tr w14:paraId="2131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4BD771C3">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96" w:type="pct"/>
            <w:gridSpan w:val="4"/>
          </w:tcPr>
          <w:p w14:paraId="23341C62">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FBC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09DCAF4E">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96" w:type="pct"/>
            <w:gridSpan w:val="4"/>
          </w:tcPr>
          <w:p w14:paraId="723E0113">
            <w:pPr>
              <w:tabs>
                <w:tab w:val="left" w:pos="312"/>
              </w:tabs>
              <w:rPr>
                <w:rFonts w:ascii="Times New Roman" w:hAnsi="Times New Roman" w:eastAsiaTheme="majorEastAsia"/>
              </w:rPr>
            </w:pPr>
            <w:r>
              <w:rPr>
                <w:rFonts w:ascii="Times New Roman" w:hAnsi="Times New Roman" w:eastAsiaTheme="majorEastAsia"/>
              </w:rPr>
              <w:t>MD -7.84[95%CI:-11.11,-4.57]</w:t>
            </w:r>
          </w:p>
        </w:tc>
      </w:tr>
      <w:tr w14:paraId="0F92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00919149">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96" w:type="pct"/>
            <w:gridSpan w:val="4"/>
          </w:tcPr>
          <w:p w14:paraId="6B7F594F">
            <w:pPr>
              <w:tabs>
                <w:tab w:val="left" w:pos="312"/>
              </w:tabs>
              <w:rPr>
                <w:rFonts w:ascii="Times New Roman" w:hAnsi="Times New Roman" w:eastAsiaTheme="majorEastAsia"/>
                <w:color w:val="000000"/>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6C0E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75605D6A">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96" w:type="pct"/>
            <w:gridSpan w:val="4"/>
          </w:tcPr>
          <w:p w14:paraId="0CEC9B4E">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1CCA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0AFA26B8">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96" w:type="pct"/>
            <w:gridSpan w:val="4"/>
          </w:tcPr>
          <w:p w14:paraId="39AC29C0">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3CE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pct"/>
          </w:tcPr>
          <w:p w14:paraId="1EC957FD">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96" w:type="pct"/>
            <w:gridSpan w:val="4"/>
          </w:tcPr>
          <w:p w14:paraId="2D414B32">
            <w:pPr>
              <w:tabs>
                <w:tab w:val="left" w:pos="312"/>
              </w:tabs>
              <w:rPr>
                <w:rFonts w:ascii="Times New Roman" w:hAnsi="Times New Roman" w:eastAsiaTheme="majorEastAsia"/>
              </w:rPr>
            </w:pPr>
            <w:r>
              <w:rPr>
                <w:rFonts w:hint="eastAsia" w:ascii="Times New Roman" w:hAnsi="Times New Roman" w:eastAsiaTheme="majorEastAsia"/>
                <w:lang w:bidi="ar"/>
              </w:rPr>
              <w:t>羚角钩藤汤结合西医常规治疗较西医常规治疗子痫前期舒张压更低</w:t>
            </w:r>
          </w:p>
        </w:tc>
      </w:tr>
    </w:tbl>
    <w:p w14:paraId="2491BC2A">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6623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5EC506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5D65624">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1AB3762D">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71C960AE">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58EE63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B15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A770036">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羚角钩藤汤治疗子痫前期患者平均动脉压如何</w:t>
            </w:r>
          </w:p>
        </w:tc>
        <w:tc>
          <w:tcPr>
            <w:tcW w:w="1559" w:type="dxa"/>
          </w:tcPr>
          <w:p w14:paraId="725012DF">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04F0ED80">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29D3FDF9">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4C31552">
            <w:pPr>
              <w:tabs>
                <w:tab w:val="left" w:pos="312"/>
              </w:tabs>
              <w:rPr>
                <w:rFonts w:ascii="Times New Roman" w:hAnsi="Times New Roman" w:eastAsiaTheme="majorEastAsia"/>
              </w:rPr>
            </w:pPr>
            <w:r>
              <w:rPr>
                <w:rFonts w:hint="eastAsia" w:ascii="Times New Roman" w:hAnsi="Times New Roman" w:eastAsiaTheme="majorEastAsia"/>
              </w:rPr>
              <w:t>平均动脉压</w:t>
            </w:r>
          </w:p>
        </w:tc>
      </w:tr>
      <w:tr w14:paraId="22D1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5EFA98">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65C0718F">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D8C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491B0D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7439EED6">
            <w:pPr>
              <w:tabs>
                <w:tab w:val="left" w:pos="312"/>
              </w:tabs>
              <w:rPr>
                <w:rFonts w:ascii="Times New Roman" w:hAnsi="Times New Roman" w:eastAsiaTheme="majorEastAsia"/>
              </w:rPr>
            </w:pPr>
            <w:r>
              <w:rPr>
                <w:rFonts w:ascii="Times New Roman" w:hAnsi="Times New Roman" w:eastAsiaTheme="majorEastAsia"/>
              </w:rPr>
              <w:t>MD -6.93[95%CI:-10.17,-3.69]</w:t>
            </w:r>
          </w:p>
        </w:tc>
      </w:tr>
      <w:tr w14:paraId="15CB0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03A43D6">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16495192">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EB5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8AF8EFF">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720D9910">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0384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23E4A4E">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5AB5978F">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EDE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EF833E5">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12EBE5E2">
            <w:pPr>
              <w:tabs>
                <w:tab w:val="left" w:pos="312"/>
              </w:tabs>
              <w:rPr>
                <w:rFonts w:ascii="Times New Roman" w:hAnsi="Times New Roman" w:eastAsiaTheme="majorEastAsia"/>
              </w:rPr>
            </w:pPr>
            <w:r>
              <w:rPr>
                <w:rFonts w:hint="eastAsia" w:ascii="Times New Roman" w:hAnsi="Times New Roman" w:eastAsiaTheme="majorEastAsia"/>
              </w:rPr>
              <w:t>羚角钩藤汤结合西医常规治疗较西医常规治疗子痫前期平均动脉压更低</w:t>
            </w:r>
          </w:p>
        </w:tc>
      </w:tr>
    </w:tbl>
    <w:p w14:paraId="45A4595D">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3571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D052BF6">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A745AC7">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3CCB590A">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602398D1">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0AA6F01">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DE3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7C2A15D">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羚角钩藤汤治疗子痫前期患者妊娠周数如何</w:t>
            </w:r>
          </w:p>
        </w:tc>
        <w:tc>
          <w:tcPr>
            <w:tcW w:w="1559" w:type="dxa"/>
          </w:tcPr>
          <w:p w14:paraId="60B54CD7">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2651CF11">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2B81756D">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20829D8F">
            <w:pPr>
              <w:tabs>
                <w:tab w:val="left" w:pos="312"/>
              </w:tabs>
              <w:rPr>
                <w:rFonts w:ascii="Times New Roman" w:hAnsi="Times New Roman" w:eastAsiaTheme="majorEastAsia"/>
              </w:rPr>
            </w:pPr>
            <w:r>
              <w:rPr>
                <w:rFonts w:hint="eastAsia" w:ascii="Times New Roman" w:hAnsi="Times New Roman" w:eastAsiaTheme="majorEastAsia"/>
              </w:rPr>
              <w:t>妊娠周数</w:t>
            </w:r>
          </w:p>
        </w:tc>
      </w:tr>
      <w:tr w14:paraId="7FAF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EF3885E">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7FC33AB0">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0BF6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761B059">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9B6FC35">
            <w:pPr>
              <w:tabs>
                <w:tab w:val="left" w:pos="312"/>
              </w:tabs>
              <w:rPr>
                <w:rFonts w:ascii="Times New Roman" w:hAnsi="Times New Roman" w:eastAsiaTheme="majorEastAsia"/>
              </w:rPr>
            </w:pPr>
            <w:r>
              <w:rPr>
                <w:rFonts w:ascii="Times New Roman" w:hAnsi="Times New Roman" w:eastAsiaTheme="majorEastAsia"/>
              </w:rPr>
              <w:t>MD 1.39[95%CI:-7.86,10.64]</w:t>
            </w:r>
          </w:p>
        </w:tc>
      </w:tr>
      <w:tr w14:paraId="4AB3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22ABFE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3D10DB22">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0BF0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1AFB1A6">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2C3F1AB4">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CC4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6FC6F64">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D4A0C3E">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74CB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D5CF4D7">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6229B32C">
            <w:pPr>
              <w:tabs>
                <w:tab w:val="left" w:pos="312"/>
              </w:tabs>
              <w:rPr>
                <w:rFonts w:ascii="Times New Roman" w:hAnsi="Times New Roman" w:eastAsiaTheme="majorEastAsia"/>
              </w:rPr>
            </w:pPr>
            <w:r>
              <w:rPr>
                <w:rFonts w:hint="eastAsia" w:ascii="Times New Roman" w:hAnsi="Times New Roman" w:eastAsiaTheme="majorEastAsia"/>
              </w:rPr>
              <w:t>羚角钩藤汤结合西医常规治疗较西医常规治疗子痫前期妊娠周数无差异</w:t>
            </w:r>
          </w:p>
        </w:tc>
      </w:tr>
    </w:tbl>
    <w:p w14:paraId="3D48C3ED">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3C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B9141D3">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E97169D">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054B7282">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A74A73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840A9FA">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B33B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DF19E73">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羚角钩藤汤治疗子痫前期患者头晕症状如何</w:t>
            </w:r>
          </w:p>
        </w:tc>
        <w:tc>
          <w:tcPr>
            <w:tcW w:w="1559" w:type="dxa"/>
          </w:tcPr>
          <w:p w14:paraId="19589B3D">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7748377E">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2885CFCA">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30814B54">
            <w:pPr>
              <w:tabs>
                <w:tab w:val="left" w:pos="312"/>
              </w:tabs>
              <w:rPr>
                <w:rFonts w:ascii="Times New Roman" w:hAnsi="Times New Roman" w:eastAsiaTheme="majorEastAsia"/>
              </w:rPr>
            </w:pPr>
            <w:r>
              <w:rPr>
                <w:rFonts w:hint="eastAsia" w:ascii="Times New Roman" w:hAnsi="Times New Roman" w:eastAsiaTheme="majorEastAsia"/>
              </w:rPr>
              <w:t>头晕症状</w:t>
            </w:r>
          </w:p>
        </w:tc>
      </w:tr>
      <w:tr w14:paraId="1BD2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94B22B0">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127E8C23">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076A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2BB4E47">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6B6A1CD">
            <w:pPr>
              <w:tabs>
                <w:tab w:val="left" w:pos="312"/>
              </w:tabs>
              <w:rPr>
                <w:rFonts w:ascii="Times New Roman" w:hAnsi="Times New Roman" w:eastAsiaTheme="majorEastAsia"/>
              </w:rPr>
            </w:pPr>
            <w:r>
              <w:rPr>
                <w:rFonts w:ascii="Times New Roman" w:hAnsi="Times New Roman" w:eastAsiaTheme="majorEastAsia"/>
              </w:rPr>
              <w:t>MD -0.53 [95%CI:-0.61,-0.45]</w:t>
            </w:r>
          </w:p>
        </w:tc>
      </w:tr>
      <w:tr w14:paraId="069E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09456C9">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25D20F39">
            <w:pPr>
              <w:tabs>
                <w:tab w:val="left" w:pos="312"/>
              </w:tabs>
              <w:rPr>
                <w:rFonts w:ascii="Times New Roman" w:hAnsi="Times New Roman" w:eastAsiaTheme="majorEastAsia"/>
                <w:color w:val="000000"/>
              </w:rPr>
            </w:pPr>
            <w:r>
              <w:rPr>
                <w:rFonts w:ascii="Times New Roman" w:hAnsi="Times New Roman" w:eastAsiaTheme="majorEastAsia"/>
                <w:color w:val="000000"/>
              </w:rPr>
              <w:t>C</w:t>
            </w:r>
            <w:r>
              <w:rPr>
                <w:rFonts w:hint="eastAsia" w:ascii="Times New Roman" w:hAnsi="Times New Roman" w:eastAsiaTheme="majorEastAsia"/>
                <w:color w:val="000000"/>
              </w:rPr>
              <w:t>级证据（低）</w:t>
            </w:r>
          </w:p>
        </w:tc>
      </w:tr>
      <w:tr w14:paraId="4C28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5053B73">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04C672A3">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61B8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B7A0D2B">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24581206">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原始研究在盲法、分配隐藏存在缺陷、怀疑存在发表偏倚</w:t>
            </w:r>
          </w:p>
        </w:tc>
      </w:tr>
      <w:tr w14:paraId="3F73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40E09BB">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5998369B">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羚角钩藤汤加减结合西医常规治疗较西医常规治疗子痫前期头晕症状积分更低</w:t>
            </w:r>
          </w:p>
        </w:tc>
      </w:tr>
    </w:tbl>
    <w:p w14:paraId="54A2EC2F">
      <w:pPr>
        <w:widowControl/>
        <w:jc w:val="left"/>
        <w:rPr>
          <w:rFonts w:ascii="Times New Roman" w:hAnsi="Times New Roman" w:eastAsiaTheme="majorEastAsia"/>
          <w:b/>
          <w:bCs/>
          <w:color w:val="000000"/>
          <w:kern w:val="0"/>
          <w:lang w:bidi="ar"/>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A044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94B9D9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34EA885F">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247E736A">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221E6740">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036BCF81">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5131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0F4D84C">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羚角钩藤汤治疗子痫前期患者临床有效率如何</w:t>
            </w:r>
          </w:p>
        </w:tc>
        <w:tc>
          <w:tcPr>
            <w:tcW w:w="1559" w:type="dxa"/>
          </w:tcPr>
          <w:p w14:paraId="7C1ADDFB">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2DC2E87C">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295DB218">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0A85FC6B">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5326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9E8190E">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08161B69">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7EFB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D514A8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32A4FFF3">
            <w:pPr>
              <w:tabs>
                <w:tab w:val="left" w:pos="312"/>
              </w:tabs>
              <w:rPr>
                <w:rFonts w:ascii="Times New Roman" w:hAnsi="Times New Roman" w:eastAsiaTheme="majorEastAsia"/>
              </w:rPr>
            </w:pPr>
            <w:r>
              <w:rPr>
                <w:rFonts w:ascii="Times New Roman" w:hAnsi="Times New Roman" w:eastAsiaTheme="majorEastAsia"/>
              </w:rPr>
              <w:t>RR 1.25[95%CI:1.04,1.50]</w:t>
            </w:r>
          </w:p>
        </w:tc>
      </w:tr>
      <w:tr w14:paraId="779C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F854B17">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79E868C">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713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D541BE9">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2EBF9715">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6ABA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CD9BFFD">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8A706C1">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B1A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27B1A5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67AD36C4">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羚角钩藤汤加减结合西医常规治疗较西医常规治疗子痫前期临床有效率更高</w:t>
            </w:r>
          </w:p>
        </w:tc>
      </w:tr>
    </w:tbl>
    <w:p w14:paraId="547E3BB4">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7B2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9C54F1F">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1790CDC">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4BEF4164">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4AC81B4">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8F8B134">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504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7CADAC8">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羚角钩藤汤治疗子痫前期患者并发症发生率如何</w:t>
            </w:r>
          </w:p>
        </w:tc>
        <w:tc>
          <w:tcPr>
            <w:tcW w:w="1559" w:type="dxa"/>
          </w:tcPr>
          <w:p w14:paraId="0C37D764">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554EDBA9">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4D4DD569">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3E00F004">
            <w:pPr>
              <w:tabs>
                <w:tab w:val="left" w:pos="312"/>
              </w:tabs>
              <w:rPr>
                <w:rFonts w:ascii="Times New Roman" w:hAnsi="Times New Roman" w:eastAsiaTheme="majorEastAsia"/>
              </w:rPr>
            </w:pPr>
            <w:r>
              <w:rPr>
                <w:rFonts w:hint="eastAsia" w:ascii="Times New Roman" w:hAnsi="Times New Roman" w:eastAsiaTheme="majorEastAsia"/>
              </w:rPr>
              <w:t>并发症发生率</w:t>
            </w:r>
          </w:p>
        </w:tc>
      </w:tr>
      <w:tr w14:paraId="378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D5E0CE6">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7C21CBA9">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518A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7C35E02">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CFA187D">
            <w:pPr>
              <w:tabs>
                <w:tab w:val="left" w:pos="312"/>
              </w:tabs>
              <w:rPr>
                <w:rFonts w:ascii="Times New Roman" w:hAnsi="Times New Roman" w:eastAsiaTheme="majorEastAsia"/>
              </w:rPr>
            </w:pPr>
            <w:r>
              <w:rPr>
                <w:rFonts w:ascii="Times New Roman" w:hAnsi="Times New Roman" w:eastAsiaTheme="majorEastAsia"/>
              </w:rPr>
              <w:t>RR 0.42[95%CI:0.22,0.80]</w:t>
            </w:r>
          </w:p>
        </w:tc>
      </w:tr>
      <w:tr w14:paraId="2FB8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4E73DC9">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763A2561">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8B7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289FF8B">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31D5E4C">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376E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FA5767C">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79BF355B">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3209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2CAA07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2279B45E">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羚角钩藤汤加减结合西医常规治疗较西医常规治疗子痫前期并发症发生率更低</w:t>
            </w:r>
          </w:p>
        </w:tc>
      </w:tr>
    </w:tbl>
    <w:p w14:paraId="27C8C689">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619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C7549EA">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1AA16F2D">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3E32CAAB">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3D95DA3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38E22104">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2D0F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5D982BE">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羚角钩藤汤治疗子痫前期患者产后出血率如何</w:t>
            </w:r>
          </w:p>
        </w:tc>
        <w:tc>
          <w:tcPr>
            <w:tcW w:w="1559" w:type="dxa"/>
          </w:tcPr>
          <w:p w14:paraId="2479830D">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64A53CE6">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321E1FB8">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8B3995B">
            <w:pPr>
              <w:tabs>
                <w:tab w:val="left" w:pos="312"/>
              </w:tabs>
              <w:rPr>
                <w:rFonts w:ascii="Times New Roman" w:hAnsi="Times New Roman" w:eastAsiaTheme="majorEastAsia"/>
              </w:rPr>
            </w:pPr>
            <w:r>
              <w:rPr>
                <w:rFonts w:hint="eastAsia" w:ascii="Times New Roman" w:hAnsi="Times New Roman" w:eastAsiaTheme="majorEastAsia"/>
              </w:rPr>
              <w:t>产后出血率</w:t>
            </w:r>
          </w:p>
        </w:tc>
      </w:tr>
      <w:tr w14:paraId="44DB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4376CDC">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4D58059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225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1A23BE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37E0B24F">
            <w:pPr>
              <w:tabs>
                <w:tab w:val="left" w:pos="312"/>
              </w:tabs>
              <w:rPr>
                <w:rFonts w:ascii="Times New Roman" w:hAnsi="Times New Roman" w:eastAsiaTheme="majorEastAsia"/>
              </w:rPr>
            </w:pPr>
            <w:r>
              <w:rPr>
                <w:rFonts w:ascii="Times New Roman" w:hAnsi="Times New Roman" w:eastAsiaTheme="majorEastAsia"/>
              </w:rPr>
              <w:t>RR 0.36[95%CI:0.14,0.93]</w:t>
            </w:r>
          </w:p>
        </w:tc>
      </w:tr>
      <w:tr w14:paraId="053B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BFB69BB">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6713FF73">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ABC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4451C19">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4A53C512">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3B4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E9D39F3">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20C5149E">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24B3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6BB194E">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52C6839A">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羚角钩藤汤加减结合西医常规治疗较西医常规治疗子痫前期产后出血率更低</w:t>
            </w:r>
          </w:p>
        </w:tc>
      </w:tr>
    </w:tbl>
    <w:p w14:paraId="15A68872">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75D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0CD34DD">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4B71C5A5">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66B83018">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319EACD">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4518B65">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051C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955D6B3">
            <w:pPr>
              <w:tabs>
                <w:tab w:val="left" w:pos="312"/>
              </w:tabs>
              <w:rPr>
                <w:rFonts w:ascii="Times New Roman" w:hAnsi="Times New Roman" w:eastAsiaTheme="majorEastAsia"/>
              </w:rPr>
            </w:pPr>
            <w:r>
              <w:rPr>
                <w:rFonts w:hint="eastAsia" w:ascii="Times New Roman" w:hAnsi="Times New Roman" w:eastAsiaTheme="majorEastAsia"/>
              </w:rPr>
              <w:t>羚角钩藤汤治疗子痫前期患者产后出血量如何</w:t>
            </w:r>
          </w:p>
        </w:tc>
        <w:tc>
          <w:tcPr>
            <w:tcW w:w="1559" w:type="dxa"/>
          </w:tcPr>
          <w:p w14:paraId="2D1A5909">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66D67719">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w:t>
            </w:r>
          </w:p>
        </w:tc>
        <w:tc>
          <w:tcPr>
            <w:tcW w:w="1417" w:type="dxa"/>
          </w:tcPr>
          <w:p w14:paraId="4CA3E933">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73631AD">
            <w:pPr>
              <w:tabs>
                <w:tab w:val="left" w:pos="312"/>
              </w:tabs>
              <w:rPr>
                <w:rFonts w:ascii="Times New Roman" w:hAnsi="Times New Roman" w:eastAsiaTheme="majorEastAsia"/>
              </w:rPr>
            </w:pPr>
            <w:r>
              <w:rPr>
                <w:rFonts w:hint="eastAsia" w:ascii="Times New Roman" w:hAnsi="Times New Roman" w:eastAsiaTheme="majorEastAsia"/>
              </w:rPr>
              <w:t>产后出血量</w:t>
            </w:r>
          </w:p>
        </w:tc>
      </w:tr>
      <w:tr w14:paraId="688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71DB8CC">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0A47332B">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23FD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8A3A628">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392A39ED">
            <w:pPr>
              <w:tabs>
                <w:tab w:val="left" w:pos="312"/>
              </w:tabs>
              <w:rPr>
                <w:rFonts w:ascii="Times New Roman" w:hAnsi="Times New Roman" w:eastAsiaTheme="majorEastAsia"/>
              </w:rPr>
            </w:pPr>
            <w:r>
              <w:rPr>
                <w:rFonts w:ascii="Times New Roman" w:hAnsi="Times New Roman" w:eastAsiaTheme="majorEastAsia"/>
              </w:rPr>
              <w:t>MD 0.88[95%CI:-8.85,10.61]</w:t>
            </w:r>
          </w:p>
        </w:tc>
      </w:tr>
      <w:tr w14:paraId="6689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FEBC5E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314F860">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9B7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1637589">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1FA0DFD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7A1A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0AA5768">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41E7F125">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08CF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6F8A3E3">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3BB423D7">
            <w:pPr>
              <w:tabs>
                <w:tab w:val="left" w:pos="312"/>
              </w:tabs>
              <w:rPr>
                <w:rFonts w:ascii="Times New Roman" w:hAnsi="Times New Roman" w:eastAsiaTheme="majorEastAsia"/>
              </w:rPr>
            </w:pPr>
            <w:r>
              <w:rPr>
                <w:rFonts w:hint="eastAsia" w:ascii="Times New Roman" w:hAnsi="Times New Roman" w:eastAsiaTheme="majorEastAsia"/>
              </w:rPr>
              <w:t>羚角钩藤汤加减结合西医常规治疗较西医常规治疗子痫前期产后出血量无差异</w:t>
            </w:r>
          </w:p>
        </w:tc>
      </w:tr>
    </w:tbl>
    <w:p w14:paraId="2684FBC7">
      <w:pPr>
        <w:spacing w:line="140" w:lineRule="atLeast"/>
        <w:rPr>
          <w:rFonts w:ascii="Times New Roman" w:hAnsi="Times New Roman" w:eastAsiaTheme="majorEastAsia"/>
          <w:b/>
          <w:bCs/>
          <w:color w:val="000000"/>
          <w:lang w:val="en"/>
        </w:rPr>
      </w:pPr>
    </w:p>
    <w:p w14:paraId="56BBC75A">
      <w:pPr>
        <w:spacing w:line="140" w:lineRule="atLeast"/>
        <w:rPr>
          <w:rFonts w:ascii="Times New Roman" w:hAnsi="Times New Roman" w:eastAsiaTheme="majorEastAsia"/>
          <w:b/>
          <w:bCs/>
          <w:color w:val="000000"/>
          <w:lang w:val="en"/>
        </w:rPr>
      </w:pPr>
      <w:r>
        <w:rPr>
          <w:rFonts w:hint="eastAsia" w:ascii="Times New Roman" w:hAnsi="Times New Roman" w:eastAsiaTheme="majorEastAsia"/>
          <w:b/>
          <w:bCs/>
          <w:color w:val="000000"/>
          <w:lang w:val="en"/>
        </w:rPr>
        <w:t>半夏白术天麻汤</w:t>
      </w: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4CC7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CDB9B29">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0FDC8170">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195E5DD0">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5441A9E9">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76203612">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1F0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16F28DE">
            <w:pPr>
              <w:tabs>
                <w:tab w:val="left" w:pos="312"/>
              </w:tabs>
              <w:rPr>
                <w:rFonts w:ascii="Times New Roman" w:hAnsi="Times New Roman" w:eastAsiaTheme="majorEastAsia"/>
              </w:rPr>
            </w:pPr>
            <w:r>
              <w:rPr>
                <w:rFonts w:hint="eastAsia" w:ascii="Times New Roman" w:hAnsi="Times New Roman" w:eastAsiaTheme="majorEastAsia"/>
              </w:rPr>
              <w:t>半夏白术天麻汤治疗子痫前期患者收缩压如何</w:t>
            </w:r>
          </w:p>
        </w:tc>
        <w:tc>
          <w:tcPr>
            <w:tcW w:w="1559" w:type="dxa"/>
          </w:tcPr>
          <w:p w14:paraId="707F8D16">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685466EC">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w:t>
            </w:r>
          </w:p>
        </w:tc>
        <w:tc>
          <w:tcPr>
            <w:tcW w:w="1417" w:type="dxa"/>
          </w:tcPr>
          <w:p w14:paraId="08FD552A">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79B8CF2C">
            <w:pPr>
              <w:tabs>
                <w:tab w:val="left" w:pos="312"/>
              </w:tabs>
              <w:rPr>
                <w:rFonts w:ascii="Times New Roman" w:hAnsi="Times New Roman" w:eastAsiaTheme="majorEastAsia"/>
              </w:rPr>
            </w:pPr>
            <w:r>
              <w:rPr>
                <w:rFonts w:hint="eastAsia" w:ascii="Times New Roman" w:hAnsi="Times New Roman" w:eastAsiaTheme="majorEastAsia"/>
              </w:rPr>
              <w:t>收缩压</w:t>
            </w:r>
          </w:p>
        </w:tc>
      </w:tr>
      <w:tr w14:paraId="0D34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BA499B9">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04AA1D56">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5903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29DB3EF">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170C96D7">
            <w:pPr>
              <w:tabs>
                <w:tab w:val="left" w:pos="312"/>
              </w:tabs>
              <w:rPr>
                <w:rFonts w:ascii="Times New Roman" w:hAnsi="Times New Roman" w:eastAsiaTheme="majorEastAsia"/>
              </w:rPr>
            </w:pPr>
            <w:r>
              <w:rPr>
                <w:rFonts w:ascii="Times New Roman" w:hAnsi="Times New Roman" w:eastAsiaTheme="majorEastAsia"/>
              </w:rPr>
              <w:t>MD -17.48[95%CI:-21.12,-13.84]</w:t>
            </w:r>
          </w:p>
        </w:tc>
      </w:tr>
      <w:tr w14:paraId="427F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754787D">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7E9F5B54">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2E28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31FB6F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2BAAA6C">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5704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E6AE4EA">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15DCE9DC">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49E4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D7E75D">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04D3BC1F">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半夏白术天麻汤加减结合西医常规治疗较西医常规治疗子痫前期收缩压更低</w:t>
            </w:r>
          </w:p>
        </w:tc>
      </w:tr>
    </w:tbl>
    <w:p w14:paraId="6348DB90">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4ACC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5" w:type="dxa"/>
          </w:tcPr>
          <w:p w14:paraId="7D1C1700">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39AB4639">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7AB1CFD8">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127F9B31">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447154BB">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2108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0193DB7">
            <w:pPr>
              <w:tabs>
                <w:tab w:val="left" w:pos="312"/>
              </w:tabs>
              <w:rPr>
                <w:rFonts w:ascii="Times New Roman" w:hAnsi="Times New Roman" w:eastAsiaTheme="majorEastAsia"/>
              </w:rPr>
            </w:pPr>
            <w:r>
              <w:rPr>
                <w:rFonts w:hint="eastAsia" w:ascii="Times New Roman" w:hAnsi="Times New Roman" w:eastAsiaTheme="majorEastAsia"/>
              </w:rPr>
              <w:t>半夏白术天麻汤治疗子痫前期患者舒张压如何</w:t>
            </w:r>
          </w:p>
        </w:tc>
        <w:tc>
          <w:tcPr>
            <w:tcW w:w="1559" w:type="dxa"/>
          </w:tcPr>
          <w:p w14:paraId="036147FC">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4613525B">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w:t>
            </w:r>
          </w:p>
        </w:tc>
        <w:tc>
          <w:tcPr>
            <w:tcW w:w="1417" w:type="dxa"/>
          </w:tcPr>
          <w:p w14:paraId="6E4B55A8">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5B21FDBF">
            <w:pPr>
              <w:tabs>
                <w:tab w:val="left" w:pos="312"/>
              </w:tabs>
              <w:rPr>
                <w:rFonts w:ascii="Times New Roman" w:hAnsi="Times New Roman" w:eastAsiaTheme="majorEastAsia"/>
              </w:rPr>
            </w:pPr>
            <w:r>
              <w:rPr>
                <w:rFonts w:hint="eastAsia" w:ascii="Times New Roman" w:hAnsi="Times New Roman" w:eastAsiaTheme="majorEastAsia"/>
              </w:rPr>
              <w:t>舒张压</w:t>
            </w:r>
          </w:p>
        </w:tc>
      </w:tr>
      <w:tr w14:paraId="116F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E57E5E9">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5D1BE00D">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09BC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5DE8A80">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75744D07">
            <w:pPr>
              <w:tabs>
                <w:tab w:val="left" w:pos="312"/>
              </w:tabs>
              <w:rPr>
                <w:rFonts w:ascii="Times New Roman" w:hAnsi="Times New Roman" w:eastAsiaTheme="majorEastAsia"/>
              </w:rPr>
            </w:pPr>
            <w:r>
              <w:rPr>
                <w:rFonts w:ascii="Times New Roman" w:hAnsi="Times New Roman" w:eastAsiaTheme="majorEastAsia"/>
              </w:rPr>
              <w:t>MD -11.13[95%CI:-13.24,-9.02]</w:t>
            </w:r>
          </w:p>
        </w:tc>
      </w:tr>
      <w:tr w14:paraId="4ABF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C8E89A3">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5342F50D">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79C8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B605D6F">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7AED399F">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205E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C2A29B1">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188E2646">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55F1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71DFF2F">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54D3A1C3">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半夏白术天麻汤加减结合西医常规治疗较西医常规治疗子痫前期舒张压更低</w:t>
            </w:r>
          </w:p>
        </w:tc>
      </w:tr>
    </w:tbl>
    <w:p w14:paraId="31BCB9E1">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2D4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033C920">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4DB7A90A">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19DCCB5D">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6726362">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D5B9413">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729F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5DF31F3">
            <w:pPr>
              <w:tabs>
                <w:tab w:val="left" w:pos="312"/>
              </w:tabs>
              <w:rPr>
                <w:rFonts w:ascii="Times New Roman" w:hAnsi="Times New Roman" w:eastAsiaTheme="majorEastAsia"/>
              </w:rPr>
            </w:pPr>
            <w:r>
              <w:rPr>
                <w:rFonts w:hint="eastAsia" w:ascii="Times New Roman" w:hAnsi="Times New Roman" w:eastAsiaTheme="majorEastAsia"/>
              </w:rPr>
              <w:t>半夏白术天麻汤治疗子痫前期患者尿蛋白水平如何</w:t>
            </w:r>
          </w:p>
        </w:tc>
        <w:tc>
          <w:tcPr>
            <w:tcW w:w="1559" w:type="dxa"/>
          </w:tcPr>
          <w:p w14:paraId="3E8C1AEF">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1FF20CA2">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w:t>
            </w:r>
          </w:p>
        </w:tc>
        <w:tc>
          <w:tcPr>
            <w:tcW w:w="1417" w:type="dxa"/>
          </w:tcPr>
          <w:p w14:paraId="23DB531C">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30100BC0">
            <w:pPr>
              <w:tabs>
                <w:tab w:val="left" w:pos="312"/>
              </w:tabs>
              <w:rPr>
                <w:rFonts w:ascii="Times New Roman" w:hAnsi="Times New Roman" w:eastAsiaTheme="majorEastAsia"/>
              </w:rPr>
            </w:pPr>
            <w:r>
              <w:rPr>
                <w:rFonts w:hint="eastAsia" w:ascii="Times New Roman" w:hAnsi="Times New Roman" w:eastAsiaTheme="majorEastAsia"/>
              </w:rPr>
              <w:t>尿蛋白水平</w:t>
            </w:r>
          </w:p>
        </w:tc>
      </w:tr>
      <w:tr w14:paraId="7ABE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E521285">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5D9D687C">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2D59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DD3B991">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E82DCB2">
            <w:pPr>
              <w:tabs>
                <w:tab w:val="left" w:pos="312"/>
              </w:tabs>
              <w:rPr>
                <w:rFonts w:ascii="Times New Roman" w:hAnsi="Times New Roman" w:eastAsiaTheme="majorEastAsia"/>
              </w:rPr>
            </w:pPr>
            <w:r>
              <w:rPr>
                <w:rFonts w:ascii="Times New Roman" w:hAnsi="Times New Roman" w:eastAsiaTheme="majorEastAsia"/>
              </w:rPr>
              <w:t>MD -1.09[95%CI:-1.54,-0.64]</w:t>
            </w:r>
          </w:p>
        </w:tc>
      </w:tr>
      <w:tr w14:paraId="5D19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D33FD7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2E8FC8D9">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0002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45583D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7FAF37F3">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781F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64119C2">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3A86268F">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79FE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137DE55">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37595AD7">
            <w:pPr>
              <w:tabs>
                <w:tab w:val="left" w:pos="312"/>
              </w:tabs>
              <w:rPr>
                <w:rFonts w:ascii="Times New Roman" w:hAnsi="Times New Roman" w:eastAsiaTheme="majorEastAsia"/>
              </w:rPr>
            </w:pPr>
            <w:r>
              <w:rPr>
                <w:rFonts w:hint="eastAsia" w:ascii="Times New Roman" w:hAnsi="Times New Roman" w:eastAsiaTheme="majorEastAsia"/>
              </w:rPr>
              <w:t>半夏白术天麻汤加减结合西医常规治疗较西医常规治疗子痫前期尿蛋白水平更低</w:t>
            </w:r>
          </w:p>
        </w:tc>
      </w:tr>
    </w:tbl>
    <w:p w14:paraId="3C935964">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76A4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BD91CC7">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5331FB1F">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3F7BC5A1">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0A598483">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73D52F5">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77BC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8E211CB">
            <w:pPr>
              <w:tabs>
                <w:tab w:val="left" w:pos="312"/>
              </w:tabs>
              <w:rPr>
                <w:rFonts w:ascii="Times New Roman" w:hAnsi="Times New Roman" w:eastAsiaTheme="majorEastAsia"/>
              </w:rPr>
            </w:pPr>
            <w:r>
              <w:rPr>
                <w:rFonts w:hint="eastAsia" w:ascii="Times New Roman" w:hAnsi="Times New Roman" w:eastAsiaTheme="majorEastAsia"/>
              </w:rPr>
              <w:t>与地西泮片</w:t>
            </w:r>
            <w:r>
              <w:rPr>
                <w:rFonts w:ascii="Times New Roman" w:hAnsi="Times New Roman" w:eastAsiaTheme="majorEastAsia"/>
              </w:rPr>
              <w:t>/</w:t>
            </w:r>
            <w:r>
              <w:rPr>
                <w:rFonts w:hint="eastAsia" w:ascii="Times New Roman" w:hAnsi="Times New Roman" w:eastAsiaTheme="majorEastAsia"/>
              </w:rPr>
              <w:t>硝苯地平缓释片比较，半夏白术天麻汤治疗子痫前期患者临床有效率如何</w:t>
            </w:r>
          </w:p>
        </w:tc>
        <w:tc>
          <w:tcPr>
            <w:tcW w:w="1559" w:type="dxa"/>
          </w:tcPr>
          <w:p w14:paraId="33D14BC6">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7F54B927">
            <w:pPr>
              <w:tabs>
                <w:tab w:val="left" w:pos="312"/>
              </w:tabs>
              <w:rPr>
                <w:rFonts w:ascii="Times New Roman" w:hAnsi="Times New Roman" w:eastAsiaTheme="majorEastAsia"/>
              </w:rPr>
            </w:pPr>
            <w:r>
              <w:rPr>
                <w:rFonts w:hint="eastAsia" w:ascii="Times New Roman" w:hAnsi="Times New Roman" w:eastAsiaTheme="majorEastAsia"/>
              </w:rPr>
              <w:t>半夏白术天麻汤加减</w:t>
            </w:r>
          </w:p>
        </w:tc>
        <w:tc>
          <w:tcPr>
            <w:tcW w:w="1417" w:type="dxa"/>
          </w:tcPr>
          <w:p w14:paraId="704FFF48">
            <w:pPr>
              <w:tabs>
                <w:tab w:val="left" w:pos="312"/>
              </w:tabs>
              <w:rPr>
                <w:rFonts w:ascii="Times New Roman" w:hAnsi="Times New Roman" w:eastAsiaTheme="majorEastAsia"/>
              </w:rPr>
            </w:pPr>
            <w:r>
              <w:rPr>
                <w:rFonts w:hint="eastAsia" w:ascii="Times New Roman" w:hAnsi="Times New Roman" w:eastAsiaTheme="majorEastAsia"/>
              </w:rPr>
              <w:t>地西泮片</w:t>
            </w:r>
            <w:r>
              <w:rPr>
                <w:rFonts w:ascii="Times New Roman" w:hAnsi="Times New Roman" w:eastAsiaTheme="majorEastAsia"/>
              </w:rPr>
              <w:t>/</w:t>
            </w:r>
            <w:r>
              <w:rPr>
                <w:rFonts w:hint="eastAsia" w:ascii="Times New Roman" w:hAnsi="Times New Roman" w:eastAsiaTheme="majorEastAsia"/>
              </w:rPr>
              <w:t>硝苯地平缓释片</w:t>
            </w:r>
          </w:p>
        </w:tc>
        <w:tc>
          <w:tcPr>
            <w:tcW w:w="1418" w:type="dxa"/>
          </w:tcPr>
          <w:p w14:paraId="48015F92">
            <w:pPr>
              <w:tabs>
                <w:tab w:val="left" w:pos="312"/>
              </w:tabs>
              <w:rPr>
                <w:rFonts w:ascii="Times New Roman" w:hAnsi="Times New Roman" w:eastAsiaTheme="majorEastAsia"/>
              </w:rPr>
            </w:pPr>
            <w:r>
              <w:rPr>
                <w:rFonts w:hint="eastAsia" w:ascii="Times New Roman" w:hAnsi="Times New Roman" w:eastAsiaTheme="majorEastAsia"/>
              </w:rPr>
              <w:t>临床有效率</w:t>
            </w:r>
          </w:p>
        </w:tc>
      </w:tr>
      <w:tr w14:paraId="35B01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DBB1A1A">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5DE502FA">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249E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0A683C3">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F199CB7">
            <w:pPr>
              <w:tabs>
                <w:tab w:val="left" w:pos="312"/>
              </w:tabs>
              <w:rPr>
                <w:rFonts w:ascii="Times New Roman" w:hAnsi="Times New Roman" w:eastAsiaTheme="majorEastAsia"/>
              </w:rPr>
            </w:pPr>
            <w:r>
              <w:rPr>
                <w:rFonts w:ascii="Times New Roman" w:hAnsi="Times New Roman" w:eastAsiaTheme="majorEastAsia"/>
              </w:rPr>
              <w:t>RR 1.09[95%CI:0.95,1.25]</w:t>
            </w:r>
          </w:p>
        </w:tc>
      </w:tr>
      <w:tr w14:paraId="699B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C7CAD68">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361548EC">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3DCF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5E29C48">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61921F84">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4DD6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D0FFFD4">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19D65065">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26CE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8710F7B">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346BCE1B">
            <w:pPr>
              <w:tabs>
                <w:tab w:val="left" w:pos="312"/>
              </w:tabs>
              <w:rPr>
                <w:rFonts w:ascii="Times New Roman" w:hAnsi="Times New Roman" w:eastAsiaTheme="majorEastAsia"/>
              </w:rPr>
            </w:pPr>
            <w:r>
              <w:rPr>
                <w:rFonts w:hint="eastAsia" w:ascii="Times New Roman" w:hAnsi="Times New Roman" w:eastAsiaTheme="majorEastAsia"/>
              </w:rPr>
              <w:t>半夏白术天麻汤较地西泮片</w:t>
            </w:r>
            <w:r>
              <w:rPr>
                <w:rFonts w:ascii="Times New Roman" w:hAnsi="Times New Roman" w:eastAsiaTheme="majorEastAsia"/>
              </w:rPr>
              <w:t>/</w:t>
            </w:r>
            <w:r>
              <w:rPr>
                <w:rFonts w:hint="eastAsia" w:ascii="Times New Roman" w:hAnsi="Times New Roman" w:eastAsiaTheme="majorEastAsia"/>
              </w:rPr>
              <w:t>硝苯地平缓释片治疗子痫前期临床有效率无差异</w:t>
            </w:r>
          </w:p>
        </w:tc>
      </w:tr>
    </w:tbl>
    <w:p w14:paraId="630D4BF8">
      <w:pPr>
        <w:tabs>
          <w:tab w:val="left" w:pos="312"/>
        </w:tabs>
        <w:rPr>
          <w:rFonts w:ascii="Times New Roman" w:hAnsi="Times New Roman" w:eastAsiaTheme="majorEastAsia"/>
          <w:color w:val="00B0F0"/>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5199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0284782">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744BF49B">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20F3C8DC">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36D5EA3">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55D46E54">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30E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4408B03">
            <w:pPr>
              <w:tabs>
                <w:tab w:val="left" w:pos="312"/>
              </w:tabs>
              <w:rPr>
                <w:rFonts w:ascii="Times New Roman" w:hAnsi="Times New Roman" w:eastAsiaTheme="majorEastAsia"/>
              </w:rPr>
            </w:pPr>
            <w:r>
              <w:rPr>
                <w:rFonts w:hint="eastAsia" w:ascii="Times New Roman" w:hAnsi="Times New Roman" w:eastAsiaTheme="majorEastAsia"/>
              </w:rPr>
              <w:t>与地西泮片</w:t>
            </w:r>
            <w:r>
              <w:rPr>
                <w:rFonts w:ascii="Times New Roman" w:hAnsi="Times New Roman" w:eastAsiaTheme="majorEastAsia"/>
              </w:rPr>
              <w:t>/</w:t>
            </w:r>
            <w:r>
              <w:rPr>
                <w:rFonts w:hint="eastAsia" w:ascii="Times New Roman" w:hAnsi="Times New Roman" w:eastAsiaTheme="majorEastAsia"/>
              </w:rPr>
              <w:t>硝苯地平缓释片比较，半夏白术天麻汤治疗子痫前期患者不良反应发生率如何</w:t>
            </w:r>
          </w:p>
        </w:tc>
        <w:tc>
          <w:tcPr>
            <w:tcW w:w="1559" w:type="dxa"/>
          </w:tcPr>
          <w:p w14:paraId="3B21A052">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14104667">
            <w:pPr>
              <w:tabs>
                <w:tab w:val="left" w:pos="312"/>
              </w:tabs>
              <w:rPr>
                <w:rFonts w:ascii="Times New Roman" w:hAnsi="Times New Roman" w:eastAsiaTheme="majorEastAsia"/>
              </w:rPr>
            </w:pPr>
            <w:r>
              <w:rPr>
                <w:rFonts w:hint="eastAsia" w:ascii="Times New Roman" w:hAnsi="Times New Roman" w:eastAsiaTheme="majorEastAsia"/>
              </w:rPr>
              <w:t>半夏白术天麻汤加减</w:t>
            </w:r>
          </w:p>
        </w:tc>
        <w:tc>
          <w:tcPr>
            <w:tcW w:w="1417" w:type="dxa"/>
          </w:tcPr>
          <w:p w14:paraId="4F69A460">
            <w:pPr>
              <w:tabs>
                <w:tab w:val="left" w:pos="312"/>
              </w:tabs>
              <w:rPr>
                <w:rFonts w:ascii="Times New Roman" w:hAnsi="Times New Roman" w:eastAsiaTheme="majorEastAsia"/>
              </w:rPr>
            </w:pPr>
            <w:r>
              <w:rPr>
                <w:rFonts w:hint="eastAsia" w:ascii="Times New Roman" w:hAnsi="Times New Roman" w:eastAsiaTheme="majorEastAsia"/>
              </w:rPr>
              <w:t>地西泮片</w:t>
            </w:r>
            <w:r>
              <w:rPr>
                <w:rFonts w:ascii="Times New Roman" w:hAnsi="Times New Roman" w:eastAsiaTheme="majorEastAsia"/>
              </w:rPr>
              <w:t>/</w:t>
            </w:r>
            <w:r>
              <w:rPr>
                <w:rFonts w:hint="eastAsia" w:ascii="Times New Roman" w:hAnsi="Times New Roman" w:eastAsiaTheme="majorEastAsia"/>
              </w:rPr>
              <w:t>硝苯地平缓释片</w:t>
            </w:r>
          </w:p>
        </w:tc>
        <w:tc>
          <w:tcPr>
            <w:tcW w:w="1418" w:type="dxa"/>
          </w:tcPr>
          <w:p w14:paraId="22D3D13E">
            <w:pPr>
              <w:tabs>
                <w:tab w:val="left" w:pos="312"/>
              </w:tabs>
              <w:rPr>
                <w:rFonts w:ascii="Times New Roman" w:hAnsi="Times New Roman" w:eastAsiaTheme="majorEastAsia"/>
              </w:rPr>
            </w:pPr>
            <w:r>
              <w:rPr>
                <w:rFonts w:hint="eastAsia" w:ascii="Times New Roman" w:hAnsi="Times New Roman" w:eastAsiaTheme="majorEastAsia"/>
              </w:rPr>
              <w:t>不良反应发生率</w:t>
            </w:r>
          </w:p>
        </w:tc>
      </w:tr>
      <w:tr w14:paraId="1101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EB06CCA">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314A7898">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4AA6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6E866C4">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4CBB5B33">
            <w:pPr>
              <w:tabs>
                <w:tab w:val="left" w:pos="312"/>
              </w:tabs>
              <w:rPr>
                <w:rFonts w:ascii="Times New Roman" w:hAnsi="Times New Roman" w:eastAsiaTheme="majorEastAsia"/>
              </w:rPr>
            </w:pPr>
            <w:r>
              <w:rPr>
                <w:rFonts w:ascii="Times New Roman" w:hAnsi="Times New Roman" w:eastAsiaTheme="majorEastAsia"/>
              </w:rPr>
              <w:t>RR 4.00[95%CI:0.47,34.24]</w:t>
            </w:r>
          </w:p>
        </w:tc>
      </w:tr>
      <w:tr w14:paraId="04B1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084B819">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2E977D5C">
            <w:pPr>
              <w:tabs>
                <w:tab w:val="left" w:pos="312"/>
              </w:tabs>
              <w:rPr>
                <w:rFonts w:ascii="Times New Roman" w:hAnsi="Times New Roman" w:eastAsiaTheme="majorEastAsia"/>
                <w:color w:val="4F81BD" w:themeColor="accent1"/>
                <w14:textFill>
                  <w14:solidFill>
                    <w14:schemeClr w14:val="accent1"/>
                  </w14:solidFill>
                </w14:textFill>
              </w:rPr>
            </w:pPr>
            <w:r>
              <w:rPr>
                <w:rFonts w:ascii="Times New Roman" w:hAnsi="Times New Roman" w:eastAsiaTheme="majorEastAsia"/>
                <w:color w:val="000000"/>
              </w:rPr>
              <w:t>D</w:t>
            </w:r>
            <w:r>
              <w:rPr>
                <w:rFonts w:hint="eastAsia" w:ascii="Times New Roman" w:hAnsi="Times New Roman" w:eastAsiaTheme="majorEastAsia"/>
                <w:color w:val="000000"/>
              </w:rPr>
              <w:t>级证据（极低）</w:t>
            </w:r>
          </w:p>
        </w:tc>
      </w:tr>
      <w:tr w14:paraId="1B7E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6D9FBE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43A13BC2">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存在降级</w:t>
            </w:r>
          </w:p>
        </w:tc>
      </w:tr>
      <w:tr w14:paraId="5174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BD50953">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16D3ABD7">
            <w:pPr>
              <w:tabs>
                <w:tab w:val="left" w:pos="312"/>
              </w:tabs>
              <w:rPr>
                <w:rFonts w:ascii="Times New Roman" w:hAnsi="Times New Roman" w:eastAsiaTheme="majorEastAsia"/>
                <w:color w:val="000000"/>
              </w:rPr>
            </w:pPr>
            <w:r>
              <w:rPr>
                <w:rFonts w:hint="eastAsia" w:ascii="Times New Roman" w:hAnsi="Times New Roman" w:eastAsiaTheme="majorEastAsia"/>
                <w:color w:val="000000"/>
              </w:rPr>
              <w:t>原始研究在盲法、分配隐藏存在缺陷、纳入研究样本量较小、怀疑存在发表偏倚</w:t>
            </w:r>
          </w:p>
        </w:tc>
      </w:tr>
      <w:tr w14:paraId="0838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FE89835">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492414A0">
            <w:pPr>
              <w:tabs>
                <w:tab w:val="left" w:pos="312"/>
              </w:tabs>
              <w:rPr>
                <w:rFonts w:ascii="Times New Roman" w:hAnsi="Times New Roman" w:eastAsiaTheme="majorEastAsia"/>
              </w:rPr>
            </w:pPr>
            <w:r>
              <w:rPr>
                <w:rFonts w:hint="eastAsia" w:ascii="Times New Roman" w:hAnsi="Times New Roman" w:eastAsiaTheme="majorEastAsia"/>
              </w:rPr>
              <w:t>半夏白术天麻汤较地西泮片</w:t>
            </w:r>
            <w:r>
              <w:rPr>
                <w:rFonts w:ascii="Times New Roman" w:hAnsi="Times New Roman" w:eastAsiaTheme="majorEastAsia"/>
              </w:rPr>
              <w:t>/</w:t>
            </w:r>
            <w:r>
              <w:rPr>
                <w:rFonts w:hint="eastAsia" w:ascii="Times New Roman" w:hAnsi="Times New Roman" w:eastAsiaTheme="majorEastAsia"/>
              </w:rPr>
              <w:t>硝苯地平缓释片治疗子痫前期不良反应发生率无差异</w:t>
            </w:r>
          </w:p>
        </w:tc>
      </w:tr>
    </w:tbl>
    <w:p w14:paraId="6CAB5D00">
      <w:pPr>
        <w:spacing w:line="140" w:lineRule="atLeast"/>
        <w:rPr>
          <w:rFonts w:ascii="Times New Roman" w:hAnsi="Times New Roman" w:eastAsiaTheme="majorEastAsia"/>
          <w:color w:val="000000"/>
        </w:rPr>
      </w:pPr>
    </w:p>
    <w:p w14:paraId="051BC469">
      <w:pPr>
        <w:spacing w:line="140" w:lineRule="atLeast"/>
        <w:rPr>
          <w:rFonts w:ascii="Times New Roman" w:hAnsi="Times New Roman" w:eastAsiaTheme="majorEastAsia"/>
          <w:b/>
          <w:bCs/>
          <w:color w:val="000000"/>
          <w:lang w:val="en"/>
        </w:rPr>
      </w:pPr>
      <w:r>
        <w:rPr>
          <w:rFonts w:hint="eastAsia" w:ascii="Times New Roman" w:hAnsi="Times New Roman" w:eastAsiaTheme="majorEastAsia"/>
          <w:b/>
          <w:bCs/>
          <w:color w:val="000000"/>
          <w:lang w:val="en"/>
        </w:rPr>
        <w:t>非药物疗法</w:t>
      </w:r>
    </w:p>
    <w:tbl>
      <w:tblPr>
        <w:tblStyle w:val="23"/>
        <w:tblpPr w:leftFromText="180" w:rightFromText="180" w:vertAnchor="text" w:horzAnchor="page" w:tblpX="1378" w:tblpY="99"/>
        <w:tblOverlap w:val="never"/>
        <w:tblW w:w="55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0"/>
        <w:gridCol w:w="1605"/>
        <w:gridCol w:w="1430"/>
        <w:gridCol w:w="1429"/>
        <w:gridCol w:w="1431"/>
      </w:tblGrid>
      <w:tr w14:paraId="288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154AA9EB">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844" w:type="pct"/>
          </w:tcPr>
          <w:p w14:paraId="6C65519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752" w:type="pct"/>
          </w:tcPr>
          <w:p w14:paraId="05F7268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751" w:type="pct"/>
          </w:tcPr>
          <w:p w14:paraId="758DF6CF">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752" w:type="pct"/>
          </w:tcPr>
          <w:p w14:paraId="6242675F">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4207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00C48FF4">
            <w:pPr>
              <w:tabs>
                <w:tab w:val="left" w:pos="312"/>
              </w:tabs>
              <w:rPr>
                <w:rFonts w:ascii="Times New Roman" w:hAnsi="Times New Roman" w:eastAsiaTheme="majorEastAsia"/>
              </w:rPr>
            </w:pPr>
            <w:r>
              <w:rPr>
                <w:rFonts w:hint="eastAsia" w:ascii="Times New Roman" w:hAnsi="Times New Roman" w:eastAsiaTheme="majorEastAsia"/>
              </w:rPr>
              <w:t>非药物疗法治疗子痫前期收缩压如何</w:t>
            </w:r>
          </w:p>
        </w:tc>
        <w:tc>
          <w:tcPr>
            <w:tcW w:w="844" w:type="pct"/>
          </w:tcPr>
          <w:p w14:paraId="0FD33F5D">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752" w:type="pct"/>
          </w:tcPr>
          <w:p w14:paraId="36327D59">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w:t>
            </w:r>
          </w:p>
        </w:tc>
        <w:tc>
          <w:tcPr>
            <w:tcW w:w="751" w:type="pct"/>
          </w:tcPr>
          <w:p w14:paraId="49FF84E7">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752" w:type="pct"/>
          </w:tcPr>
          <w:p w14:paraId="6A9A71AD">
            <w:pPr>
              <w:tabs>
                <w:tab w:val="left" w:pos="312"/>
              </w:tabs>
              <w:rPr>
                <w:rFonts w:ascii="Times New Roman" w:hAnsi="Times New Roman" w:eastAsiaTheme="majorEastAsia"/>
              </w:rPr>
            </w:pPr>
            <w:r>
              <w:rPr>
                <w:rFonts w:hint="eastAsia" w:ascii="Times New Roman" w:hAnsi="Times New Roman" w:eastAsiaTheme="majorEastAsia"/>
              </w:rPr>
              <w:t>收缩压</w:t>
            </w:r>
          </w:p>
        </w:tc>
      </w:tr>
      <w:tr w14:paraId="5EA3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421A0F8F">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3099" w:type="pct"/>
            <w:gridSpan w:val="4"/>
          </w:tcPr>
          <w:p w14:paraId="7CD3A668">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5CB2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4CDED537">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3099" w:type="pct"/>
            <w:gridSpan w:val="4"/>
          </w:tcPr>
          <w:p w14:paraId="1BA67A65">
            <w:pPr>
              <w:tabs>
                <w:tab w:val="left" w:pos="312"/>
              </w:tabs>
              <w:rPr>
                <w:rFonts w:ascii="Times New Roman" w:hAnsi="Times New Roman" w:eastAsiaTheme="majorEastAsia"/>
                <w:color w:val="376092" w:themeColor="accent1" w:themeShade="BF"/>
              </w:rPr>
            </w:pPr>
            <w:r>
              <w:rPr>
                <w:rFonts w:ascii="Times New Roman" w:hAnsi="Times New Roman" w:eastAsiaTheme="majorEastAsia"/>
              </w:rPr>
              <w:t>MD -10.73[95%CI:-12.42,-9.03]</w:t>
            </w:r>
          </w:p>
        </w:tc>
      </w:tr>
      <w:tr w14:paraId="6C4B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3D312376">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3099" w:type="pct"/>
            <w:gridSpan w:val="4"/>
          </w:tcPr>
          <w:p w14:paraId="212A3BF6">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级证据（低）</w:t>
            </w:r>
          </w:p>
        </w:tc>
      </w:tr>
      <w:tr w14:paraId="312C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18538475">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3099" w:type="pct"/>
            <w:gridSpan w:val="4"/>
          </w:tcPr>
          <w:p w14:paraId="570D3812">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5121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24953424">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3099" w:type="pct"/>
            <w:gridSpan w:val="4"/>
          </w:tcPr>
          <w:p w14:paraId="0AFE1968">
            <w:pPr>
              <w:tabs>
                <w:tab w:val="left" w:pos="312"/>
              </w:tabs>
              <w:rPr>
                <w:rFonts w:ascii="Times New Roman" w:hAnsi="Times New Roman" w:eastAsiaTheme="majorEastAsia"/>
              </w:rPr>
            </w:pPr>
            <w:r>
              <w:rPr>
                <w:rFonts w:hint="eastAsia" w:ascii="Times New Roman" w:hAnsi="Times New Roman" w:eastAsiaTheme="majorEastAsia"/>
              </w:rPr>
              <w:t>原始研究在盲法、分配隐藏存在缺陷、怀疑存在发表偏倚</w:t>
            </w:r>
          </w:p>
        </w:tc>
      </w:tr>
      <w:tr w14:paraId="6AF0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pct"/>
          </w:tcPr>
          <w:p w14:paraId="068BEE46">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3099" w:type="pct"/>
            <w:gridSpan w:val="4"/>
          </w:tcPr>
          <w:p w14:paraId="4140B870">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穴位按摩结合西医常规治疗较西医常规治疗子痫前期收缩压更低</w:t>
            </w:r>
          </w:p>
        </w:tc>
      </w:tr>
    </w:tbl>
    <w:p w14:paraId="2845AB72">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9"/>
        <w:gridCol w:w="1475"/>
        <w:gridCol w:w="1418"/>
        <w:gridCol w:w="1417"/>
        <w:gridCol w:w="1418"/>
      </w:tblGrid>
      <w:tr w14:paraId="307F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13CF0DA8">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475" w:type="dxa"/>
          </w:tcPr>
          <w:p w14:paraId="094BA653">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36386BC9">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2D8BC940">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66B45DCF">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31D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31BF3B5C">
            <w:pPr>
              <w:tabs>
                <w:tab w:val="left" w:pos="312"/>
              </w:tabs>
              <w:rPr>
                <w:rFonts w:ascii="Times New Roman" w:hAnsi="Times New Roman" w:eastAsiaTheme="majorEastAsia"/>
              </w:rPr>
            </w:pPr>
            <w:r>
              <w:rPr>
                <w:rFonts w:hint="eastAsia" w:ascii="Times New Roman" w:hAnsi="Times New Roman" w:eastAsiaTheme="majorEastAsia"/>
              </w:rPr>
              <w:t>非药物疗法治疗子痫前期舒张压如何</w:t>
            </w:r>
          </w:p>
        </w:tc>
        <w:tc>
          <w:tcPr>
            <w:tcW w:w="1475" w:type="dxa"/>
          </w:tcPr>
          <w:p w14:paraId="1055005B">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27FB64EC">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w:t>
            </w:r>
          </w:p>
        </w:tc>
        <w:tc>
          <w:tcPr>
            <w:tcW w:w="1417" w:type="dxa"/>
          </w:tcPr>
          <w:p w14:paraId="725B7E9C">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3B150E73">
            <w:pPr>
              <w:tabs>
                <w:tab w:val="left" w:pos="312"/>
              </w:tabs>
              <w:rPr>
                <w:rFonts w:ascii="Times New Roman" w:hAnsi="Times New Roman" w:eastAsiaTheme="majorEastAsia"/>
              </w:rPr>
            </w:pPr>
            <w:r>
              <w:rPr>
                <w:rFonts w:hint="eastAsia" w:ascii="Times New Roman" w:hAnsi="Times New Roman" w:eastAsiaTheme="majorEastAsia"/>
              </w:rPr>
              <w:t>舒张压</w:t>
            </w:r>
          </w:p>
        </w:tc>
      </w:tr>
      <w:tr w14:paraId="3DB7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4A9B7A43">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728" w:type="dxa"/>
            <w:gridSpan w:val="4"/>
          </w:tcPr>
          <w:p w14:paraId="49AE45C4">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6ECA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39251640">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728" w:type="dxa"/>
            <w:gridSpan w:val="4"/>
          </w:tcPr>
          <w:p w14:paraId="5ED364AC">
            <w:pPr>
              <w:tabs>
                <w:tab w:val="left" w:pos="312"/>
              </w:tabs>
              <w:rPr>
                <w:rFonts w:ascii="Times New Roman" w:hAnsi="Times New Roman" w:eastAsiaTheme="majorEastAsia"/>
              </w:rPr>
            </w:pPr>
            <w:r>
              <w:rPr>
                <w:rFonts w:ascii="Times New Roman" w:hAnsi="Times New Roman" w:eastAsiaTheme="majorEastAsia"/>
              </w:rPr>
              <w:t>MD -6.78[95%CI:-7.74,-5.82]</w:t>
            </w:r>
          </w:p>
        </w:tc>
      </w:tr>
      <w:tr w14:paraId="19AF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57C84221">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728" w:type="dxa"/>
            <w:gridSpan w:val="4"/>
          </w:tcPr>
          <w:p w14:paraId="389DD2DE">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级证据（低）</w:t>
            </w:r>
          </w:p>
        </w:tc>
      </w:tr>
      <w:tr w14:paraId="598D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75CA5D4D">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728" w:type="dxa"/>
            <w:gridSpan w:val="4"/>
          </w:tcPr>
          <w:p w14:paraId="6F6A3C05">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7FDB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244D4411">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728" w:type="dxa"/>
            <w:gridSpan w:val="4"/>
          </w:tcPr>
          <w:p w14:paraId="433914B2">
            <w:pPr>
              <w:tabs>
                <w:tab w:val="left" w:pos="312"/>
              </w:tabs>
              <w:rPr>
                <w:rFonts w:ascii="Times New Roman" w:hAnsi="Times New Roman" w:eastAsiaTheme="majorEastAsia"/>
              </w:rPr>
            </w:pPr>
            <w:r>
              <w:rPr>
                <w:rFonts w:hint="eastAsia" w:ascii="Times New Roman" w:hAnsi="Times New Roman" w:eastAsiaTheme="majorEastAsia"/>
              </w:rPr>
              <w:t>原始研究在盲法、分配隐藏存在缺陷、怀疑存在发表偏倚</w:t>
            </w:r>
          </w:p>
        </w:tc>
      </w:tr>
      <w:tr w14:paraId="474E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9" w:type="dxa"/>
          </w:tcPr>
          <w:p w14:paraId="2D538FC7">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728" w:type="dxa"/>
            <w:gridSpan w:val="4"/>
          </w:tcPr>
          <w:p w14:paraId="79BF9F47">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穴位按摩结合西医常规治疗较西医常规治疗子痫前期舒张压更低</w:t>
            </w:r>
          </w:p>
        </w:tc>
      </w:tr>
    </w:tbl>
    <w:p w14:paraId="26AF6C5A">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9"/>
        <w:gridCol w:w="1495"/>
        <w:gridCol w:w="1418"/>
        <w:gridCol w:w="1417"/>
        <w:gridCol w:w="1418"/>
      </w:tblGrid>
      <w:tr w14:paraId="4F5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32DC87AC">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495" w:type="dxa"/>
          </w:tcPr>
          <w:p w14:paraId="514D9631">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2887C54C">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7BA8B2DF">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11E3130B">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5222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70D8D13A">
            <w:pPr>
              <w:tabs>
                <w:tab w:val="left" w:pos="312"/>
              </w:tabs>
              <w:rPr>
                <w:rFonts w:ascii="Times New Roman" w:hAnsi="Times New Roman" w:eastAsiaTheme="majorEastAsia"/>
              </w:rPr>
            </w:pPr>
            <w:r>
              <w:rPr>
                <w:rFonts w:hint="eastAsia" w:ascii="Times New Roman" w:hAnsi="Times New Roman" w:eastAsiaTheme="majorEastAsia"/>
              </w:rPr>
              <w:t>非药物疗法治疗子痫前期患者睡眠质量指数如何</w:t>
            </w:r>
          </w:p>
        </w:tc>
        <w:tc>
          <w:tcPr>
            <w:tcW w:w="1495" w:type="dxa"/>
          </w:tcPr>
          <w:p w14:paraId="48DF87CB">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42695BF9">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w:t>
            </w:r>
          </w:p>
        </w:tc>
        <w:tc>
          <w:tcPr>
            <w:tcW w:w="1417" w:type="dxa"/>
          </w:tcPr>
          <w:p w14:paraId="5EFA4881">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42BC7007">
            <w:pPr>
              <w:tabs>
                <w:tab w:val="left" w:pos="312"/>
              </w:tabs>
              <w:rPr>
                <w:rFonts w:ascii="Times New Roman" w:hAnsi="Times New Roman" w:eastAsiaTheme="majorEastAsia"/>
              </w:rPr>
            </w:pPr>
            <w:r>
              <w:rPr>
                <w:rFonts w:hint="eastAsia" w:ascii="Times New Roman" w:hAnsi="Times New Roman" w:eastAsiaTheme="majorEastAsia"/>
              </w:rPr>
              <w:t>睡眠质量指数</w:t>
            </w:r>
          </w:p>
        </w:tc>
      </w:tr>
      <w:tr w14:paraId="33D5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14FB5340">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748" w:type="dxa"/>
            <w:gridSpan w:val="4"/>
          </w:tcPr>
          <w:p w14:paraId="08B571A8">
            <w:pPr>
              <w:tabs>
                <w:tab w:val="left" w:pos="312"/>
              </w:tabs>
              <w:rPr>
                <w:rFonts w:ascii="Times New Roman" w:hAnsi="Times New Roman" w:eastAsiaTheme="majorEastAsia"/>
              </w:rPr>
            </w:pPr>
            <w:r>
              <w:rPr>
                <w:rFonts w:ascii="Times New Roman" w:hAnsi="Times New Roman" w:eastAsiaTheme="majorEastAsia"/>
              </w:rPr>
              <w:t>2</w:t>
            </w:r>
            <w:r>
              <w:rPr>
                <w:rFonts w:hint="eastAsia" w:ascii="Times New Roman" w:hAnsi="Times New Roman" w:eastAsiaTheme="majorEastAsia"/>
              </w:rPr>
              <w:t>个</w:t>
            </w:r>
            <w:r>
              <w:rPr>
                <w:rFonts w:ascii="Times New Roman" w:hAnsi="Times New Roman" w:eastAsiaTheme="majorEastAsia"/>
              </w:rPr>
              <w:t>RCT</w:t>
            </w:r>
          </w:p>
        </w:tc>
      </w:tr>
      <w:tr w14:paraId="3AD7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2EC0C006">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748" w:type="dxa"/>
            <w:gridSpan w:val="4"/>
          </w:tcPr>
          <w:p w14:paraId="33937408">
            <w:pPr>
              <w:tabs>
                <w:tab w:val="left" w:pos="312"/>
              </w:tabs>
              <w:rPr>
                <w:rFonts w:ascii="Times New Roman" w:hAnsi="Times New Roman" w:eastAsiaTheme="majorEastAsia"/>
              </w:rPr>
            </w:pPr>
            <w:r>
              <w:rPr>
                <w:rFonts w:ascii="Times New Roman" w:hAnsi="Times New Roman" w:eastAsiaTheme="majorEastAsia"/>
                <w:color w:val="000000"/>
              </w:rPr>
              <w:t>MD -2.76[95%CI:-5.43,-0.08]</w:t>
            </w:r>
          </w:p>
        </w:tc>
      </w:tr>
      <w:tr w14:paraId="6ADB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6AE0934B">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748" w:type="dxa"/>
            <w:gridSpan w:val="4"/>
          </w:tcPr>
          <w:p w14:paraId="447F8341">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级证据（低）</w:t>
            </w:r>
          </w:p>
        </w:tc>
      </w:tr>
      <w:tr w14:paraId="7F3F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7769549A">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748" w:type="dxa"/>
            <w:gridSpan w:val="4"/>
          </w:tcPr>
          <w:p w14:paraId="1EDF8006">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1FD4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3482BFCA">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748" w:type="dxa"/>
            <w:gridSpan w:val="4"/>
          </w:tcPr>
          <w:p w14:paraId="17046CF2">
            <w:pPr>
              <w:tabs>
                <w:tab w:val="left" w:pos="312"/>
              </w:tabs>
              <w:rPr>
                <w:rFonts w:ascii="Times New Roman" w:hAnsi="Times New Roman" w:eastAsiaTheme="majorEastAsia"/>
              </w:rPr>
            </w:pPr>
            <w:r>
              <w:rPr>
                <w:rFonts w:hint="eastAsia" w:ascii="Times New Roman" w:hAnsi="Times New Roman" w:eastAsiaTheme="majorEastAsia"/>
              </w:rPr>
              <w:t>原始研究在盲法、分配隐藏存在缺陷、怀疑存在发表偏倚</w:t>
            </w:r>
          </w:p>
        </w:tc>
      </w:tr>
      <w:tr w14:paraId="1C98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9" w:type="dxa"/>
          </w:tcPr>
          <w:p w14:paraId="2BEC67AE">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748" w:type="dxa"/>
            <w:gridSpan w:val="4"/>
          </w:tcPr>
          <w:p w14:paraId="27525521">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穴位按摩结合西医常规治疗较西医常规治疗子痫前期睡眠质量指数更低</w:t>
            </w:r>
          </w:p>
        </w:tc>
      </w:tr>
    </w:tbl>
    <w:p w14:paraId="26762659">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1C7D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1DA9E3F3">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199A9CEC">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5B82D3B0">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44FFEB7E">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28FA1179">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12B2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66DE47C">
            <w:pPr>
              <w:tabs>
                <w:tab w:val="left" w:pos="312"/>
              </w:tabs>
              <w:rPr>
                <w:rFonts w:ascii="Times New Roman" w:hAnsi="Times New Roman" w:eastAsiaTheme="majorEastAsia"/>
              </w:rPr>
            </w:pPr>
            <w:r>
              <w:rPr>
                <w:rFonts w:hint="eastAsia" w:ascii="Times New Roman" w:hAnsi="Times New Roman" w:eastAsiaTheme="majorEastAsia"/>
              </w:rPr>
              <w:t>非药物疗法治疗子痫前期患者术后并发症如何</w:t>
            </w:r>
          </w:p>
        </w:tc>
        <w:tc>
          <w:tcPr>
            <w:tcW w:w="1559" w:type="dxa"/>
          </w:tcPr>
          <w:p w14:paraId="40E32FEE">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66B290DB">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w:t>
            </w:r>
          </w:p>
        </w:tc>
        <w:tc>
          <w:tcPr>
            <w:tcW w:w="1417" w:type="dxa"/>
          </w:tcPr>
          <w:p w14:paraId="6B6C01C4">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298C9EBC">
            <w:pPr>
              <w:tabs>
                <w:tab w:val="left" w:pos="312"/>
              </w:tabs>
              <w:rPr>
                <w:rFonts w:ascii="Times New Roman" w:hAnsi="Times New Roman" w:eastAsiaTheme="majorEastAsia"/>
              </w:rPr>
            </w:pPr>
            <w:r>
              <w:rPr>
                <w:rFonts w:hint="eastAsia" w:ascii="Times New Roman" w:hAnsi="Times New Roman" w:eastAsiaTheme="majorEastAsia"/>
              </w:rPr>
              <w:t>术后并发症</w:t>
            </w:r>
          </w:p>
        </w:tc>
      </w:tr>
      <w:tr w14:paraId="6F87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611C55B2">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1710833B">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6B77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E2419B5">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39FAF438">
            <w:pPr>
              <w:tabs>
                <w:tab w:val="left" w:pos="312"/>
              </w:tabs>
              <w:rPr>
                <w:rFonts w:ascii="Times New Roman" w:hAnsi="Times New Roman" w:eastAsiaTheme="majorEastAsia"/>
              </w:rPr>
            </w:pPr>
            <w:r>
              <w:rPr>
                <w:rFonts w:ascii="Times New Roman" w:hAnsi="Times New Roman" w:eastAsiaTheme="majorEastAsia"/>
                <w:color w:val="000000"/>
              </w:rPr>
              <w:t>RR 0.25[95%CI:0.06,1.11]</w:t>
            </w:r>
          </w:p>
        </w:tc>
      </w:tr>
      <w:tr w14:paraId="3B05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04FA0B4">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39D4FD45">
            <w:pPr>
              <w:tabs>
                <w:tab w:val="left" w:pos="312"/>
              </w:tabs>
              <w:rPr>
                <w:rFonts w:ascii="Times New Roman" w:hAnsi="Times New Roman" w:eastAsiaTheme="majorEastAsia"/>
              </w:rPr>
            </w:pPr>
            <w:r>
              <w:rPr>
                <w:rFonts w:ascii="Times New Roman" w:hAnsi="Times New Roman" w:eastAsiaTheme="majorEastAsia"/>
              </w:rPr>
              <w:t>D</w:t>
            </w:r>
            <w:r>
              <w:rPr>
                <w:rFonts w:hint="eastAsia" w:ascii="Times New Roman" w:hAnsi="Times New Roman" w:eastAsiaTheme="majorEastAsia"/>
              </w:rPr>
              <w:t>级证据（极低）</w:t>
            </w:r>
          </w:p>
        </w:tc>
      </w:tr>
      <w:tr w14:paraId="0D68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E7D626B">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3B3578D1">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2540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3625376">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E28909C">
            <w:pPr>
              <w:tabs>
                <w:tab w:val="left" w:pos="312"/>
              </w:tabs>
              <w:rPr>
                <w:rFonts w:ascii="Times New Roman" w:hAnsi="Times New Roman" w:eastAsiaTheme="majorEastAsia"/>
              </w:rPr>
            </w:pPr>
            <w:r>
              <w:rPr>
                <w:rFonts w:hint="eastAsia" w:ascii="Times New Roman" w:hAnsi="Times New Roman" w:eastAsiaTheme="majorEastAsia"/>
              </w:rPr>
              <w:t>原始研究在盲法、分配隐藏存在缺陷、纳入研究样本量较小、怀疑存在发表偏倚</w:t>
            </w:r>
          </w:p>
        </w:tc>
      </w:tr>
      <w:tr w14:paraId="66E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A647A70">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3BB9EDDC">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穴位按摩结合西医常规治疗较西医常规治疗子痫前期术后并发症无差异</w:t>
            </w:r>
          </w:p>
        </w:tc>
      </w:tr>
    </w:tbl>
    <w:p w14:paraId="419B659A">
      <w:pPr>
        <w:tabs>
          <w:tab w:val="left" w:pos="312"/>
        </w:tabs>
        <w:rPr>
          <w:rFonts w:ascii="Times New Roman" w:hAnsi="Times New Roman" w:eastAsiaTheme="majorEastAsia"/>
        </w:rPr>
      </w:pPr>
    </w:p>
    <w:tbl>
      <w:tblPr>
        <w:tblStyle w:val="23"/>
        <w:tblpPr w:leftFromText="180" w:rightFromText="180" w:vertAnchor="text" w:horzAnchor="page" w:tblpX="1378" w:tblpY="99"/>
        <w:tblOverlap w:val="never"/>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1559"/>
        <w:gridCol w:w="1418"/>
        <w:gridCol w:w="1417"/>
        <w:gridCol w:w="1418"/>
      </w:tblGrid>
      <w:tr w14:paraId="3007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01959832">
            <w:pPr>
              <w:tabs>
                <w:tab w:val="left" w:pos="312"/>
              </w:tabs>
              <w:rPr>
                <w:rFonts w:ascii="Times New Roman" w:hAnsi="Times New Roman" w:eastAsiaTheme="majorEastAsia"/>
              </w:rPr>
            </w:pPr>
            <w:r>
              <w:rPr>
                <w:rFonts w:hint="eastAsia" w:ascii="Times New Roman" w:hAnsi="Times New Roman" w:eastAsiaTheme="majorEastAsia"/>
              </w:rPr>
              <w:t>临床问题</w:t>
            </w:r>
          </w:p>
        </w:tc>
        <w:tc>
          <w:tcPr>
            <w:tcW w:w="1559" w:type="dxa"/>
          </w:tcPr>
          <w:p w14:paraId="62FC6212">
            <w:pPr>
              <w:tabs>
                <w:tab w:val="left" w:pos="312"/>
              </w:tabs>
              <w:rPr>
                <w:rFonts w:ascii="Times New Roman" w:hAnsi="Times New Roman" w:eastAsiaTheme="majorEastAsia"/>
              </w:rPr>
            </w:pPr>
            <w:r>
              <w:rPr>
                <w:rFonts w:ascii="Times New Roman" w:hAnsi="Times New Roman" w:eastAsiaTheme="majorEastAsia"/>
              </w:rPr>
              <w:t>P</w:t>
            </w:r>
            <w:r>
              <w:rPr>
                <w:rFonts w:hint="eastAsia" w:ascii="Times New Roman" w:hAnsi="Times New Roman" w:eastAsiaTheme="majorEastAsia"/>
              </w:rPr>
              <w:t>（研究对象）</w:t>
            </w:r>
          </w:p>
        </w:tc>
        <w:tc>
          <w:tcPr>
            <w:tcW w:w="1418" w:type="dxa"/>
          </w:tcPr>
          <w:p w14:paraId="074B3751">
            <w:pPr>
              <w:tabs>
                <w:tab w:val="left" w:pos="312"/>
              </w:tabs>
              <w:rPr>
                <w:rFonts w:ascii="Times New Roman" w:hAnsi="Times New Roman" w:eastAsiaTheme="majorEastAsia"/>
              </w:rPr>
            </w:pPr>
            <w:r>
              <w:rPr>
                <w:rFonts w:ascii="Times New Roman" w:hAnsi="Times New Roman" w:eastAsiaTheme="majorEastAsia"/>
              </w:rPr>
              <w:t>I</w:t>
            </w:r>
            <w:r>
              <w:rPr>
                <w:rFonts w:hint="eastAsia" w:ascii="Times New Roman" w:hAnsi="Times New Roman" w:eastAsiaTheme="majorEastAsia"/>
              </w:rPr>
              <w:t>（干预措施）</w:t>
            </w:r>
          </w:p>
        </w:tc>
        <w:tc>
          <w:tcPr>
            <w:tcW w:w="1417" w:type="dxa"/>
          </w:tcPr>
          <w:p w14:paraId="6B95D725">
            <w:pPr>
              <w:tabs>
                <w:tab w:val="left" w:pos="312"/>
              </w:tabs>
              <w:rPr>
                <w:rFonts w:ascii="Times New Roman" w:hAnsi="Times New Roman" w:eastAsiaTheme="majorEastAsia"/>
              </w:rPr>
            </w:pPr>
            <w:r>
              <w:rPr>
                <w:rFonts w:ascii="Times New Roman" w:hAnsi="Times New Roman" w:eastAsiaTheme="majorEastAsia"/>
              </w:rPr>
              <w:t>C</w:t>
            </w:r>
            <w:r>
              <w:rPr>
                <w:rFonts w:hint="eastAsia" w:ascii="Times New Roman" w:hAnsi="Times New Roman" w:eastAsiaTheme="majorEastAsia"/>
              </w:rPr>
              <w:t>（对照措施）</w:t>
            </w:r>
          </w:p>
        </w:tc>
        <w:tc>
          <w:tcPr>
            <w:tcW w:w="1418" w:type="dxa"/>
          </w:tcPr>
          <w:p w14:paraId="6E6B9389">
            <w:pPr>
              <w:tabs>
                <w:tab w:val="left" w:pos="312"/>
              </w:tabs>
              <w:rPr>
                <w:rFonts w:ascii="Times New Roman" w:hAnsi="Times New Roman" w:eastAsiaTheme="majorEastAsia"/>
              </w:rPr>
            </w:pPr>
            <w:r>
              <w:rPr>
                <w:rFonts w:ascii="Times New Roman" w:hAnsi="Times New Roman" w:eastAsiaTheme="majorEastAsia"/>
              </w:rPr>
              <w:t>O</w:t>
            </w:r>
            <w:r>
              <w:rPr>
                <w:rFonts w:hint="eastAsia" w:ascii="Times New Roman" w:hAnsi="Times New Roman" w:eastAsiaTheme="majorEastAsia"/>
              </w:rPr>
              <w:t>（结局指标）</w:t>
            </w:r>
          </w:p>
        </w:tc>
      </w:tr>
      <w:tr w14:paraId="647A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859BB62">
            <w:pPr>
              <w:tabs>
                <w:tab w:val="left" w:pos="312"/>
              </w:tabs>
              <w:rPr>
                <w:rFonts w:ascii="Times New Roman" w:hAnsi="Times New Roman" w:eastAsiaTheme="majorEastAsia"/>
              </w:rPr>
            </w:pPr>
            <w:r>
              <w:rPr>
                <w:rFonts w:hint="eastAsia" w:ascii="Times New Roman" w:hAnsi="Times New Roman" w:eastAsiaTheme="majorEastAsia"/>
              </w:rPr>
              <w:t>非药物疗法治疗子痫前期患者满意度如何</w:t>
            </w:r>
          </w:p>
        </w:tc>
        <w:tc>
          <w:tcPr>
            <w:tcW w:w="1559" w:type="dxa"/>
          </w:tcPr>
          <w:p w14:paraId="657660FC">
            <w:pPr>
              <w:tabs>
                <w:tab w:val="left" w:pos="312"/>
              </w:tabs>
              <w:rPr>
                <w:rFonts w:ascii="Times New Roman" w:hAnsi="Times New Roman" w:eastAsiaTheme="majorEastAsia"/>
              </w:rPr>
            </w:pPr>
            <w:r>
              <w:rPr>
                <w:rFonts w:hint="eastAsia" w:ascii="Times New Roman" w:hAnsi="Times New Roman" w:eastAsiaTheme="majorEastAsia"/>
              </w:rPr>
              <w:t>子痫前期患者</w:t>
            </w:r>
          </w:p>
        </w:tc>
        <w:tc>
          <w:tcPr>
            <w:tcW w:w="1418" w:type="dxa"/>
          </w:tcPr>
          <w:p w14:paraId="0973A135">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w:t>
            </w:r>
          </w:p>
        </w:tc>
        <w:tc>
          <w:tcPr>
            <w:tcW w:w="1417" w:type="dxa"/>
          </w:tcPr>
          <w:p w14:paraId="33FC12D2">
            <w:pPr>
              <w:tabs>
                <w:tab w:val="left" w:pos="312"/>
              </w:tabs>
              <w:rPr>
                <w:rFonts w:ascii="Times New Roman" w:hAnsi="Times New Roman" w:eastAsiaTheme="majorEastAsia"/>
              </w:rPr>
            </w:pPr>
            <w:r>
              <w:rPr>
                <w:rFonts w:hint="eastAsia" w:ascii="Times New Roman" w:hAnsi="Times New Roman" w:eastAsiaTheme="majorEastAsia"/>
              </w:rPr>
              <w:t>西医常规治疗</w:t>
            </w:r>
          </w:p>
        </w:tc>
        <w:tc>
          <w:tcPr>
            <w:tcW w:w="1418" w:type="dxa"/>
          </w:tcPr>
          <w:p w14:paraId="686ACE57">
            <w:pPr>
              <w:tabs>
                <w:tab w:val="left" w:pos="312"/>
              </w:tabs>
              <w:rPr>
                <w:rFonts w:ascii="Times New Roman" w:hAnsi="Times New Roman" w:eastAsiaTheme="majorEastAsia"/>
              </w:rPr>
            </w:pPr>
            <w:r>
              <w:rPr>
                <w:rFonts w:hint="eastAsia" w:ascii="Times New Roman" w:hAnsi="Times New Roman" w:eastAsiaTheme="majorEastAsia"/>
              </w:rPr>
              <w:t>满意度</w:t>
            </w:r>
          </w:p>
        </w:tc>
      </w:tr>
      <w:tr w14:paraId="4728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5542A3E7">
            <w:pPr>
              <w:tabs>
                <w:tab w:val="left" w:pos="312"/>
              </w:tabs>
              <w:rPr>
                <w:rFonts w:ascii="Times New Roman" w:hAnsi="Times New Roman" w:eastAsiaTheme="majorEastAsia"/>
              </w:rPr>
            </w:pPr>
            <w:r>
              <w:rPr>
                <w:rFonts w:hint="eastAsia" w:ascii="Times New Roman" w:hAnsi="Times New Roman" w:eastAsiaTheme="majorEastAsia"/>
              </w:rPr>
              <w:t>研究类型及数量</w:t>
            </w:r>
          </w:p>
        </w:tc>
        <w:tc>
          <w:tcPr>
            <w:tcW w:w="5812" w:type="dxa"/>
            <w:gridSpan w:val="4"/>
          </w:tcPr>
          <w:p w14:paraId="7896AAEF">
            <w:pPr>
              <w:tabs>
                <w:tab w:val="left" w:pos="312"/>
              </w:tabs>
              <w:rPr>
                <w:rFonts w:ascii="Times New Roman" w:hAnsi="Times New Roman" w:eastAsiaTheme="majorEastAsia"/>
              </w:rPr>
            </w:pPr>
            <w:r>
              <w:rPr>
                <w:rFonts w:ascii="Times New Roman" w:hAnsi="Times New Roman" w:eastAsiaTheme="majorEastAsia"/>
              </w:rPr>
              <w:t>1</w:t>
            </w:r>
            <w:r>
              <w:rPr>
                <w:rFonts w:hint="eastAsia" w:ascii="Times New Roman" w:hAnsi="Times New Roman" w:eastAsiaTheme="majorEastAsia"/>
              </w:rPr>
              <w:t>个</w:t>
            </w:r>
            <w:r>
              <w:rPr>
                <w:rFonts w:ascii="Times New Roman" w:hAnsi="Times New Roman" w:eastAsiaTheme="majorEastAsia"/>
              </w:rPr>
              <w:t>RCT</w:t>
            </w:r>
          </w:p>
        </w:tc>
      </w:tr>
      <w:tr w14:paraId="3924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77DFE4D8">
            <w:pPr>
              <w:tabs>
                <w:tab w:val="left" w:pos="312"/>
              </w:tabs>
              <w:rPr>
                <w:rFonts w:ascii="Times New Roman" w:hAnsi="Times New Roman" w:eastAsiaTheme="majorEastAsia"/>
              </w:rPr>
            </w:pPr>
            <w:r>
              <w:rPr>
                <w:rFonts w:hint="eastAsia" w:ascii="Times New Roman" w:hAnsi="Times New Roman" w:eastAsiaTheme="majorEastAsia"/>
              </w:rPr>
              <w:t>效应值及可信区间</w:t>
            </w:r>
          </w:p>
        </w:tc>
        <w:tc>
          <w:tcPr>
            <w:tcW w:w="5812" w:type="dxa"/>
            <w:gridSpan w:val="4"/>
          </w:tcPr>
          <w:p w14:paraId="635B1AEB">
            <w:pPr>
              <w:tabs>
                <w:tab w:val="left" w:pos="312"/>
              </w:tabs>
              <w:rPr>
                <w:rFonts w:ascii="Times New Roman" w:hAnsi="Times New Roman" w:eastAsiaTheme="majorEastAsia"/>
              </w:rPr>
            </w:pPr>
            <w:r>
              <w:rPr>
                <w:rFonts w:ascii="Times New Roman" w:hAnsi="Times New Roman" w:eastAsiaTheme="majorEastAsia"/>
                <w:color w:val="000000"/>
              </w:rPr>
              <w:t>RR 1.13[95%CI:1.00,1.28]</w:t>
            </w:r>
          </w:p>
        </w:tc>
      </w:tr>
      <w:tr w14:paraId="0581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9FB3295">
            <w:pPr>
              <w:tabs>
                <w:tab w:val="left" w:pos="312"/>
              </w:tabs>
              <w:rPr>
                <w:rFonts w:ascii="Times New Roman" w:hAnsi="Times New Roman" w:eastAsiaTheme="majorEastAsia"/>
              </w:rPr>
            </w:pPr>
            <w:r>
              <w:rPr>
                <w:rFonts w:hint="eastAsia" w:ascii="Times New Roman" w:hAnsi="Times New Roman" w:eastAsiaTheme="majorEastAsia"/>
              </w:rPr>
              <w:t>证据等级</w:t>
            </w:r>
          </w:p>
        </w:tc>
        <w:tc>
          <w:tcPr>
            <w:tcW w:w="5812" w:type="dxa"/>
            <w:gridSpan w:val="4"/>
          </w:tcPr>
          <w:p w14:paraId="44D048AF">
            <w:pPr>
              <w:tabs>
                <w:tab w:val="left" w:pos="312"/>
              </w:tabs>
              <w:rPr>
                <w:rFonts w:ascii="Times New Roman" w:hAnsi="Times New Roman" w:eastAsiaTheme="majorEastAsia"/>
              </w:rPr>
            </w:pPr>
            <w:r>
              <w:rPr>
                <w:rFonts w:ascii="Times New Roman" w:hAnsi="Times New Roman" w:eastAsiaTheme="majorEastAsia"/>
              </w:rPr>
              <w:t>D</w:t>
            </w:r>
            <w:r>
              <w:rPr>
                <w:rFonts w:hint="eastAsia" w:ascii="Times New Roman" w:hAnsi="Times New Roman" w:eastAsiaTheme="majorEastAsia"/>
              </w:rPr>
              <w:t>级证据（极低）</w:t>
            </w:r>
          </w:p>
        </w:tc>
      </w:tr>
      <w:tr w14:paraId="14A54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484754E6">
            <w:pPr>
              <w:tabs>
                <w:tab w:val="left" w:pos="312"/>
              </w:tabs>
              <w:rPr>
                <w:rFonts w:ascii="Times New Roman" w:hAnsi="Times New Roman" w:eastAsiaTheme="majorEastAsia"/>
              </w:rPr>
            </w:pPr>
            <w:r>
              <w:rPr>
                <w:rFonts w:hint="eastAsia" w:ascii="Times New Roman" w:hAnsi="Times New Roman" w:eastAsiaTheme="majorEastAsia"/>
              </w:rPr>
              <w:t>是否升级或降级</w:t>
            </w:r>
          </w:p>
        </w:tc>
        <w:tc>
          <w:tcPr>
            <w:tcW w:w="5812" w:type="dxa"/>
            <w:gridSpan w:val="4"/>
          </w:tcPr>
          <w:p w14:paraId="7390CA14">
            <w:pPr>
              <w:tabs>
                <w:tab w:val="left" w:pos="312"/>
              </w:tabs>
              <w:rPr>
                <w:rFonts w:ascii="Times New Roman" w:hAnsi="Times New Roman" w:eastAsiaTheme="majorEastAsia"/>
              </w:rPr>
            </w:pPr>
            <w:r>
              <w:rPr>
                <w:rFonts w:hint="eastAsia" w:ascii="Times New Roman" w:hAnsi="Times New Roman" w:eastAsiaTheme="majorEastAsia"/>
              </w:rPr>
              <w:t>存在降级</w:t>
            </w:r>
          </w:p>
        </w:tc>
      </w:tr>
      <w:tr w14:paraId="1BF5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23EA34C3">
            <w:pPr>
              <w:tabs>
                <w:tab w:val="left" w:pos="312"/>
              </w:tabs>
              <w:rPr>
                <w:rFonts w:ascii="Times New Roman" w:hAnsi="Times New Roman" w:eastAsiaTheme="majorEastAsia"/>
              </w:rPr>
            </w:pPr>
            <w:r>
              <w:rPr>
                <w:rFonts w:hint="eastAsia" w:ascii="Times New Roman" w:hAnsi="Times New Roman" w:eastAsiaTheme="majorEastAsia"/>
              </w:rPr>
              <w:t>升级或降级因素</w:t>
            </w:r>
          </w:p>
        </w:tc>
        <w:tc>
          <w:tcPr>
            <w:tcW w:w="5812" w:type="dxa"/>
            <w:gridSpan w:val="4"/>
          </w:tcPr>
          <w:p w14:paraId="6AF6DFD3">
            <w:pPr>
              <w:tabs>
                <w:tab w:val="left" w:pos="312"/>
              </w:tabs>
              <w:rPr>
                <w:rFonts w:ascii="Times New Roman" w:hAnsi="Times New Roman" w:eastAsiaTheme="majorEastAsia"/>
              </w:rPr>
            </w:pPr>
            <w:r>
              <w:rPr>
                <w:rFonts w:hint="eastAsia" w:ascii="Times New Roman" w:hAnsi="Times New Roman" w:eastAsiaTheme="majorEastAsia"/>
              </w:rPr>
              <w:t>原始研究在盲法、分配隐藏存在缺陷、纳入研究样本量较小、怀疑存在发表偏倚</w:t>
            </w:r>
          </w:p>
        </w:tc>
      </w:tr>
      <w:tr w14:paraId="5699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Pr>
          <w:p w14:paraId="35C888EA">
            <w:pPr>
              <w:tabs>
                <w:tab w:val="left" w:pos="312"/>
              </w:tabs>
              <w:rPr>
                <w:rFonts w:ascii="Times New Roman" w:hAnsi="Times New Roman" w:eastAsiaTheme="majorEastAsia"/>
              </w:rPr>
            </w:pPr>
            <w:r>
              <w:rPr>
                <w:rFonts w:hint="eastAsia" w:ascii="Times New Roman" w:hAnsi="Times New Roman" w:eastAsiaTheme="majorEastAsia"/>
              </w:rPr>
              <w:t>结论</w:t>
            </w:r>
          </w:p>
        </w:tc>
        <w:tc>
          <w:tcPr>
            <w:tcW w:w="5812" w:type="dxa"/>
            <w:gridSpan w:val="4"/>
          </w:tcPr>
          <w:p w14:paraId="69394F06">
            <w:pPr>
              <w:tabs>
                <w:tab w:val="left" w:pos="312"/>
              </w:tabs>
              <w:rPr>
                <w:rFonts w:ascii="Times New Roman" w:hAnsi="Times New Roman" w:eastAsiaTheme="majorEastAsia"/>
              </w:rPr>
            </w:pPr>
            <w:r>
              <w:rPr>
                <w:rFonts w:hint="eastAsia" w:ascii="Times New Roman" w:hAnsi="Times New Roman" w:eastAsiaTheme="majorEastAsia"/>
              </w:rPr>
              <w:t>穴位按摩结合西医常规治疗较西医常规治疗子痫前期满意度无差异</w:t>
            </w:r>
          </w:p>
        </w:tc>
      </w:tr>
    </w:tbl>
    <w:p w14:paraId="5AE0B5D4">
      <w:pPr>
        <w:spacing w:line="140" w:lineRule="atLeast"/>
        <w:rPr>
          <w:rFonts w:ascii="Times New Roman" w:hAnsi="Times New Roman" w:eastAsiaTheme="majorEastAsia"/>
          <w:b/>
          <w:bCs/>
          <w:color w:val="000000"/>
        </w:rPr>
      </w:pPr>
    </w:p>
    <w:p w14:paraId="79AC677E">
      <w:pPr>
        <w:spacing w:line="360" w:lineRule="auto"/>
        <w:jc w:val="center"/>
        <w:rPr>
          <w:rFonts w:ascii="Times New Roman" w:hAnsi="Times New Roman"/>
          <w:color w:val="000000" w:themeColor="text1"/>
          <w:spacing w:val="2"/>
          <w:lang w:val="en"/>
          <w14:textFill>
            <w14:solidFill>
              <w14:schemeClr w14:val="tx1"/>
            </w14:solidFill>
          </w14:textFill>
        </w:rPr>
      </w:pPr>
    </w:p>
    <w:p w14:paraId="660B590A">
      <w:pPr>
        <w:widowControl/>
        <w:jc w:val="left"/>
        <w:rPr>
          <w:rFonts w:ascii="Times New Roman" w:hAnsi="Times New Roman"/>
          <w:color w:val="000000" w:themeColor="text1"/>
          <w:spacing w:val="2"/>
          <w:lang w:val="en"/>
          <w14:textFill>
            <w14:solidFill>
              <w14:schemeClr w14:val="tx1"/>
            </w14:solidFill>
          </w14:textFill>
        </w:rPr>
      </w:pPr>
      <w:r>
        <w:rPr>
          <w:rFonts w:ascii="Times New Roman" w:hAnsi="Times New Roman"/>
          <w:color w:val="000000" w:themeColor="text1"/>
          <w:spacing w:val="2"/>
          <w14:textFill>
            <w14:solidFill>
              <w14:schemeClr w14:val="tx1"/>
            </w14:solidFill>
          </w14:textFill>
        </w:rPr>
        <w:br w:type="page"/>
      </w:r>
    </w:p>
    <w:p w14:paraId="5C63AFAB">
      <w:pPr>
        <w:widowControl/>
        <w:jc w:val="center"/>
        <w:rPr>
          <w:rFonts w:ascii="Times New Roman" w:hAnsi="Times New Roman"/>
          <w:color w:val="000000" w:themeColor="text1"/>
          <w:sz w:val="24"/>
          <w:szCs w:val="24"/>
          <w14:textFill>
            <w14:solidFill>
              <w14:schemeClr w14:val="tx1"/>
            </w14:solidFill>
          </w14:textFill>
        </w:rPr>
      </w:pPr>
      <w:bookmarkStart w:id="89" w:name="_Hlk156744934"/>
      <w:bookmarkEnd w:id="89"/>
      <w:r>
        <w:rPr>
          <w:rFonts w:ascii="Times New Roman Regular" w:hAnsi="Times New Roman Regular" w:cs="Times New Roman Regular" w:eastAsiaTheme="minorEastAsia"/>
          <w:color w:val="000000" w:themeColor="text1"/>
          <w14:textFill>
            <w14:solidFill>
              <w14:schemeClr w14:val="tx1"/>
            </w14:solidFill>
          </w14:textFill>
        </w:rPr>
        <w:t>参考文献</w:t>
      </w:r>
    </w:p>
    <w:p w14:paraId="7757278E">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 中华医学会妇产科学分会妊娠期高血压疾病学组.妊娠期高血压疾病诊治指南(2020)[J].中华妇产科杂志,2020,55(04):227-238.</w:t>
      </w:r>
    </w:p>
    <w:p w14:paraId="65957D20">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[2] Yang Y, Le Ray I, Zhu J, et al. Preeclampsia Prevalence, Risk Factors, and Pregnancy Outcomes in Sweden and China[J]. JAMA Netw Open, 2021, 4(5): e218401. </w:t>
      </w:r>
    </w:p>
    <w:p w14:paraId="32EE2F49">
      <w:pPr>
        <w:pStyle w:val="34"/>
        <w:spacing w:line="360" w:lineRule="exact"/>
        <w:ind w:firstLine="0" w:firstLineChars="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[3] 国家市场监督管理总局</w:t>
      </w:r>
      <w:r>
        <w:rPr>
          <w:rFonts w:hint="eastAsia"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 国家标谁化管理委员会. 中医病证分类与代码</w:t>
      </w:r>
      <w:r>
        <w:rPr>
          <w:rFonts w:hint="eastAsia"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 GB/T 15657-2021[S]. 北京</w:t>
      </w:r>
      <w:r>
        <w:rPr>
          <w:rFonts w:hint="eastAsia"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 中国标准出版社,2021:1.</w:t>
      </w:r>
    </w:p>
    <w:p w14:paraId="7698C441">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 US Preventive Services Task Force. Screening for Hypertensive Disorders of Pregnancy: US Preventive Services Task Force Final Recommendation Statement[J]. JAMA, 2023(330)11: 1074-1082.</w:t>
      </w:r>
    </w:p>
    <w:p w14:paraId="5DADEF6B">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 Poon LC, Shennan A, Hyett JA, et al. The International Federation of Gynecology and Obstetrics (FIGO) initiative on pre-eclampsia: A pragmatic guide for first-trimester screening and prevention[J]. Int J Gynaecol Obstet, 2019,145 Suppl 1(Suppl 1):1-33</w:t>
      </w:r>
    </w:p>
    <w:p w14:paraId="74C6B4CF">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6</w:t>
      </w:r>
      <w:r>
        <w:rPr>
          <w:rFonts w:ascii="Times New Roman" w:hAnsi="Times New Roman" w:eastAsia="宋体" w:cs="Times New Roman"/>
          <w:color w:val="000000" w:themeColor="text1"/>
          <w:sz w:val="21"/>
          <w:szCs w:val="21"/>
          <w14:textFill>
            <w14:solidFill>
              <w14:schemeClr w14:val="tx1"/>
            </w14:solidFill>
          </w14:textFill>
        </w:rPr>
        <w:t>] 谢幸，孔北华，段涛.妇产科学[M].北京</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人民卫生出版社</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2018.</w:t>
      </w:r>
    </w:p>
    <w:p w14:paraId="06135A58">
      <w:pPr>
        <w:pStyle w:val="34"/>
        <w:spacing w:line="360" w:lineRule="exact"/>
        <w:ind w:firstLine="0" w:firstLineChars="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7</w:t>
      </w:r>
      <w:r>
        <w:rPr>
          <w:rFonts w:ascii="Times New Roman" w:hAnsi="Times New Roman" w:eastAsia="宋体" w:cs="Times New Roman"/>
          <w:color w:val="000000" w:themeColor="text1"/>
          <w:sz w:val="21"/>
          <w:szCs w:val="21"/>
          <w14:textFill>
            <w14:solidFill>
              <w14:schemeClr w14:val="tx1"/>
            </w14:solidFill>
          </w14:textFill>
        </w:rPr>
        <w:t>] 冯晓玲, 张婷婷.中医妇科学[M].北京</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中国中医药出版社</w:t>
      </w:r>
      <w:r>
        <w:rPr>
          <w:rFonts w:hint="eastAsia"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2021.</w:t>
      </w:r>
    </w:p>
    <w:p w14:paraId="2F7DA016">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8</w:t>
      </w:r>
      <w:r>
        <w:rPr>
          <w:rFonts w:ascii="Times New Roman" w:hAnsi="Times New Roman"/>
          <w:color w:val="000000" w:themeColor="text1"/>
          <w14:textFill>
            <w14:solidFill>
              <w14:schemeClr w14:val="tx1"/>
            </w14:solidFill>
          </w14:textFill>
        </w:rPr>
        <w:t>] 朱一麟,周萍,高雪梅.复方丹参注射液联合硫酸镁治疗早发型子痫前期血瘀证的临床观察[J].陕西中医,2016,37(08):1037-1039.</w:t>
      </w:r>
    </w:p>
    <w:p w14:paraId="017335BA">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9</w:t>
      </w:r>
      <w:r>
        <w:rPr>
          <w:rFonts w:ascii="Times New Roman" w:hAnsi="Times New Roman"/>
          <w:color w:val="000000" w:themeColor="text1"/>
          <w14:textFill>
            <w14:solidFill>
              <w14:schemeClr w14:val="tx1"/>
            </w14:solidFill>
          </w14:textFill>
        </w:rPr>
        <w:t>] 高珊.丹参注射液治疗子痫前期（血瘀证）的临床与实验研究[D].北京中医药大学,2008.</w:t>
      </w:r>
    </w:p>
    <w:p w14:paraId="39ACB39F">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t>] Zhou Y, Wang J, Wang L, Tang J, Zhang C. Effect of Compound Danshen Injection Combined with Magnesium Sulfate on Oxidative Stress, TNF-α, NO, and Therapeutic Efficacy in Severe Preeclampsia. Comput Intell Neurosci. 2022;2022:9789066. Published 2022 Jul 18.</w:t>
      </w:r>
    </w:p>
    <w:p w14:paraId="3173B0A1">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刘义环.中西医结合治疗妊娠高血压早发型重度子痫前期临床效果分析[J].内蒙古中医药,2017,36(08):73.</w:t>
      </w:r>
    </w:p>
    <w:p w14:paraId="3E4BF079">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 Yang K, Dong G, Tian Y, Li J. Effects of compound Danshen injection combined with magnesium sulfate on serum MPO and hs-CRP in patients with severe preeclampsia. Exp Ther Med. 2018;16(1):167-170.</w:t>
      </w:r>
    </w:p>
    <w:p w14:paraId="02551F96">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王玉双,文亚南,司亚茹.复方丹参注射液治疗重度妊娠期高血压疾病的临床研究[J].中国中西医结合杂志,2017,37(11):1400-1402.</w:t>
      </w:r>
    </w:p>
    <w:p w14:paraId="16A977DD">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马银瑶,严思萍,覃光地,等.丹参注射液治疗轻度子痫前期的临床研究[J].广西中医药,2012(01),12-14.</w:t>
      </w:r>
    </w:p>
    <w:p w14:paraId="7E681FDE">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谢宁,李红岩,韩晓云.加减杞菊地黄汤联合西药治疗子痫前期疗效及对患者外周血sFlt/PIGF和妊娠结局的影响[J].陕西中医,2021,42(09):1189-1192.</w:t>
      </w:r>
    </w:p>
    <w:p w14:paraId="7B9B7C89">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t>] 林红华.中西医结合治疗轻度子痫前期60例[J].光明中医,2013,28(11):2362-2363.</w:t>
      </w:r>
    </w:p>
    <w:p w14:paraId="17057B66">
      <w:pPr>
        <w:spacing w:line="360" w:lineRule="exact"/>
        <w:rPr>
          <w:rFonts w:ascii="Times New Roman" w:hAnsi="Times New Roman"/>
          <w:color w:val="000000" w:themeColor="text1"/>
          <w14:textFill>
            <w14:solidFill>
              <w14:schemeClr w14:val="tx1"/>
            </w14:solidFill>
          </w14:textFill>
        </w:rPr>
      </w:pPr>
      <w:bookmarkStart w:id="90" w:name="OLE_LINK15"/>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17</w:t>
      </w:r>
      <w:r>
        <w:rPr>
          <w:rFonts w:ascii="Times New Roman" w:hAnsi="Times New Roman"/>
          <w:color w:val="000000" w:themeColor="text1"/>
          <w14:textFill>
            <w14:solidFill>
              <w14:schemeClr w14:val="tx1"/>
            </w14:solidFill>
          </w14:textFill>
        </w:rPr>
        <w:t>] 郭瑞新,胥文萍,刘以欣.自拟中药联合西药治疗早发型重度子痫前期的临床观察 [J]. 中国中医急症, 2015, 24 (07): 1283-1285+1313</w:t>
      </w:r>
      <w:bookmarkEnd w:id="90"/>
      <w:r>
        <w:rPr>
          <w:rFonts w:ascii="Times New Roman" w:hAnsi="Times New Roman"/>
          <w:color w:val="000000" w:themeColor="text1"/>
          <w14:textFill>
            <w14:solidFill>
              <w14:schemeClr w14:val="tx1"/>
            </w14:solidFill>
          </w14:textFill>
        </w:rPr>
        <w:t>.</w:t>
      </w:r>
    </w:p>
    <w:p w14:paraId="485BB39F">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18</w:t>
      </w:r>
      <w:r>
        <w:rPr>
          <w:rFonts w:ascii="Times New Roman" w:hAnsi="Times New Roman"/>
          <w:color w:val="000000" w:themeColor="text1"/>
          <w14:textFill>
            <w14:solidFill>
              <w14:schemeClr w14:val="tx1"/>
            </w14:solidFill>
          </w14:textFill>
        </w:rPr>
        <w:t>] 成丹.子痫前期的中西医治疗[J].湖北文理学院学报,2014,35(08):83-85.</w:t>
      </w:r>
    </w:p>
    <w:p w14:paraId="0106C41D">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19</w:t>
      </w:r>
      <w:r>
        <w:rPr>
          <w:rFonts w:ascii="Times New Roman" w:hAnsi="Times New Roman"/>
          <w:color w:val="000000" w:themeColor="text1"/>
          <w14:textFill>
            <w14:solidFill>
              <w14:schemeClr w14:val="tx1"/>
            </w14:solidFill>
          </w14:textFill>
        </w:rPr>
        <w:t xml:space="preserve">] 赵亚宁,曹静,杨静.天麻钩藤饮加减对重度子痫前期患者微炎症状态、凝血功能及肾功能影响[J].辽宁中医药大学学报,2019, 21(04): 35-38. </w:t>
      </w:r>
    </w:p>
    <w:p w14:paraId="7B9E4ED8">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t xml:space="preserve">] 金美媛,郑能能,熊智慧.中西医结合治疗重度子痫前期与子痫型妊娠期高血压的临床分析[J].中华中医药学刊, 2018, 36(04): 949-951. </w:t>
      </w:r>
    </w:p>
    <w:p w14:paraId="0343AB29">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成静.补气活血滋阴汤对子痫前期患者血清胱抑素C及尿微量白蛋白水平的影响 [J]. 四川中医, 2018, 36 (11): 158-160.</w:t>
      </w:r>
    </w:p>
    <w:p w14:paraId="5609F81E">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 庞桂珍.羚角钩藤汤对早发型重度子痫前期孕妇母婴结局及子代预后的影响分析[J].四川中医,2018,36(11):154-156.</w:t>
      </w:r>
    </w:p>
    <w:p w14:paraId="578087E4">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杨学芳,王爱蓉,陈庆昭.滋阴平肝法对子痫前期孕妇血脂水平及妊娠结局的影响[J].世界中医药,2018,13(05):1115-1118.</w:t>
      </w:r>
    </w:p>
    <w:p w14:paraId="78EA235F">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雷娜.中西医结合治疗重度子痫前期临床观察[J].中医临床研究,2017,9(23):86-87.</w:t>
      </w:r>
    </w:p>
    <w:p w14:paraId="495BE2C8">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党婷.观察穴位按摩对子痫前期患者睡眠及血压控制的临床影响[J].世界睡眠医学杂志,2023,10(03):491-493.</w:t>
      </w:r>
    </w:p>
    <w:p w14:paraId="6517E274">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26</w:t>
      </w:r>
      <w:r>
        <w:rPr>
          <w:rFonts w:ascii="Times New Roman" w:hAnsi="Times New Roman"/>
          <w:color w:val="000000" w:themeColor="text1"/>
          <w14:textFill>
            <w14:solidFill>
              <w14:schemeClr w14:val="tx1"/>
            </w14:solidFill>
          </w14:textFill>
        </w:rPr>
        <w:t>] 韩秀红,赵作华,邱忠君.穴位按摩对子痫前期患者睡眠及血压控制的临床疗效[J].中国妇幼保健,2019,34(11):2640-2643.</w:t>
      </w:r>
    </w:p>
    <w:p w14:paraId="60576723">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27</w:t>
      </w:r>
      <w:r>
        <w:rPr>
          <w:rFonts w:ascii="Times New Roman" w:hAnsi="Times New Roman"/>
          <w:color w:val="000000" w:themeColor="text1"/>
          <w14:textFill>
            <w14:solidFill>
              <w14:schemeClr w14:val="tx1"/>
            </w14:solidFill>
          </w14:textFill>
        </w:rPr>
        <w:t xml:space="preserve">] 顾蔚蓉,李笑天.子痫前期的预测和预警[J].中国实用妇科与产科杂志,2021,37(11):1087-1092. </w:t>
      </w:r>
    </w:p>
    <w:p w14:paraId="141C923E">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28</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贺晶,梁琤.子痫前期再发的防范[J].中国实用妇科与产科杂志,2018,34(05):503-508.</w:t>
      </w:r>
    </w:p>
    <w:p w14:paraId="272316E9">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29</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张亚光,刘琴,谢燕丽,等.妊娠期高血压患者再次妊娠发生子痫前期的危险因素分析[J].大连医科大学学报,2023,45(05):427-430+438.</w:t>
      </w:r>
    </w:p>
    <w:p w14:paraId="0832BFF1">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0</w:t>
      </w:r>
      <w:r>
        <w:rPr>
          <w:rFonts w:ascii="Times New Roman" w:hAnsi="Times New Roman"/>
          <w:color w:val="000000" w:themeColor="text1"/>
          <w14:textFill>
            <w14:solidFill>
              <w14:schemeClr w14:val="tx1"/>
            </w14:solidFill>
          </w14:textFill>
        </w:rPr>
        <w:t>] 马安莉,柴春英.健康教育结合中医情志护理在妊娠期高血压疾病护理教学中的应用[J].环球中医药,2014,7(S2):80-81.</w:t>
      </w:r>
    </w:p>
    <w:p w14:paraId="1DFA251E">
      <w:pPr>
        <w:spacing w:line="36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张远.放松训练结合情志疗法对妊娠高血压疾病的影响[J].中国民族民间医药,2010,19(23):103.</w:t>
      </w:r>
    </w:p>
    <w:sectPr>
      <w:headerReference r:id="rId7" w:type="default"/>
      <w:footerReference r:id="rId8" w:type="default"/>
      <w:pgSz w:w="11906" w:h="16838"/>
      <w:pgMar w:top="1440" w:right="1797" w:bottom="1440"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wiss"/>
    <w:pitch w:val="default"/>
    <w:sig w:usb0="00000001" w:usb1="080E0000" w:usb2="00000000" w:usb3="00000000" w:csb0="00040000" w:csb1="00000000"/>
  </w:font>
  <w:font w:name="Times New Roman Regular">
    <w:altName w:val="Times New Roman"/>
    <w:panose1 w:val="020B06040202020202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1F80">
    <w:pPr>
      <w:pStyle w:val="1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7DC527">
                          <w:pPr>
                            <w:pStyle w:val="13"/>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2D7DC527">
                    <w:pPr>
                      <w:pStyle w:val="13"/>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DB0E">
    <w:pPr>
      <w:pStyle w:val="13"/>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BF6E5">
                          <w:pPr>
                            <w:pStyle w:val="13"/>
                            <w:rPr>
                              <w:rFonts w:ascii="宋体" w:hAnsi="宋体" w:eastAsia="宋体" w:cs="宋体"/>
                              <w:sz w:val="21"/>
                              <w:szCs w:val="21"/>
                            </w:rPr>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p41cMBAACO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llmfPkCNabcBE9Pw3g+4NbMf0JlpDyra/EVCBOOo7umirhwSEfnRarlaVRgSGJsviM/un4cI6YP0&#10;lmSjoRHHV1Tlx0+QxtQ5JVdz/kYbU0Zo3H8OxMwelnsfe8xWGnbDRGjn2xPy6XHyDXW46JSYjw6F&#10;zUsyG3E2dpORa0B4d0hYuPSTUUeoqRiOqTCaVirvwb/3knX/G2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WinjVwwEAAI4DAAAOAAAAAAAAAAEAIAAAAB4BAABkcnMvZTJvRG9jLnhtbFBL&#10;BQYAAAAABgAGAFkBAABTBQAAAAA=&#10;">
              <v:fill on="f" focussize="0,0"/>
              <v:stroke on="f"/>
              <v:imagedata o:title=""/>
              <o:lock v:ext="edit" aspectratio="f"/>
              <v:textbox inset="0mm,0mm,0mm,0mm" style="mso-fit-shape-to-text:t;">
                <w:txbxContent>
                  <w:p w14:paraId="418BF6E5">
                    <w:pPr>
                      <w:pStyle w:val="13"/>
                      <w:rPr>
                        <w:rFonts w:ascii="宋体" w:hAnsi="宋体" w:eastAsia="宋体" w:cs="宋体"/>
                        <w:sz w:val="21"/>
                        <w:szCs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CB15">
    <w:pPr>
      <w:pStyle w:val="1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FDF61F">
                          <w:pPr>
                            <w:pStyle w:val="13"/>
                            <w:rPr>
                              <w:rFonts w:ascii="宋体" w:hAnsi="宋体" w:eastAsia="宋体" w:cs="宋体"/>
                              <w:sz w:val="21"/>
                              <w:szCs w:val="21"/>
                            </w:rPr>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4FFDF61F">
                    <w:pPr>
                      <w:pStyle w:val="13"/>
                      <w:rPr>
                        <w:rFonts w:ascii="宋体" w:hAnsi="宋体" w:eastAsia="宋体" w:cs="宋体"/>
                        <w:sz w:val="21"/>
                        <w:szCs w:val="21"/>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42701">
    <w:pPr>
      <w:pStyle w:val="1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72720"/>
              <wp:effectExtent l="0" t="0" r="8890" b="5080"/>
              <wp:wrapNone/>
              <wp:docPr id="4" name="文本框 3"/>
              <wp:cNvGraphicFramePr/>
              <a:graphic xmlns:a="http://schemas.openxmlformats.org/drawingml/2006/main">
                <a:graphicData uri="http://schemas.microsoft.com/office/word/2010/wordprocessingShape">
                  <wps:wsp>
                    <wps:cNvSpPr txBox="1"/>
                    <wps:spPr>
                      <a:xfrm>
                        <a:off x="0" y="0"/>
                        <a:ext cx="1828800" cy="172800"/>
                      </a:xfrm>
                      <a:prstGeom prst="rect">
                        <a:avLst/>
                      </a:prstGeom>
                      <a:noFill/>
                      <a:ln>
                        <a:noFill/>
                      </a:ln>
                    </wps:spPr>
                    <wps:txbx>
                      <w:txbxContent>
                        <w:p w14:paraId="62A2C516">
                          <w:pPr>
                            <w:pStyle w:val="1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9</w:t>
                          </w:r>
                          <w:r>
                            <w:rPr>
                              <w:rFonts w:hint="eastAsia" w:ascii="宋体" w:hAnsi="宋体" w:eastAsia="宋体" w:cs="宋体"/>
                              <w:sz w:val="21"/>
                              <w:szCs w:val="21"/>
                            </w:rPr>
                            <w:fldChar w:fldCharType="end"/>
                          </w:r>
                        </w:p>
                      </w:txbxContent>
                    </wps:txbx>
                    <wps:bodyPr wrap="none" lIns="0" tIns="0" rIns="0" bIns="0">
                      <a:noAutofit/>
                    </wps:bodyPr>
                  </wps:wsp>
                </a:graphicData>
              </a:graphic>
            </wp:anchor>
          </w:drawing>
        </mc:Choice>
        <mc:Fallback>
          <w:pict>
            <v:shape id="文本框 3" o:spid="_x0000_s1026" o:spt="202" type="#_x0000_t202" style="position:absolute;left:0pt;margin-top:0pt;height:13.6pt;width:144pt;mso-position-horizontal:right;mso-position-horizontal-relative:margin;mso-wrap-style:none;z-index:251661312;mso-width-relative:page;mso-height-relative:page;" filled="f" stroked="f" coordsize="21600,21600" o:gfxdata="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B+bRAAAABAEAAA8AAAAAAAAAAQAgAAAAIgAAAGRycy9kb3ducmV2LnhtbFBL&#10;AQIUABQAAAAIAIdO4kB4GiU/xAEAAIwDAAAOAAAAAAAAAAEAIAAAACABAABkcnMvZTJvRG9jLnht&#10;bFBLBQYAAAAABgAGAFkBAABWBQAAAAA=&#10;">
              <v:fill on="f" focussize="0,0"/>
              <v:stroke on="f"/>
              <v:imagedata o:title=""/>
              <o:lock v:ext="edit" aspectratio="f"/>
              <v:textbox inset="0mm,0mm,0mm,0mm">
                <w:txbxContent>
                  <w:p w14:paraId="62A2C516">
                    <w:pPr>
                      <w:pStyle w:val="13"/>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9</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B8124">
    <w:pPr>
      <w:pStyle w:val="14"/>
    </w:pPr>
    <w:r>
      <w:rPr>
        <w:sz w:val="18"/>
      </w:rPr>
      <w:pict>
        <v:shape id="PowerPlusWaterMarkObject25291" o:spid="_x0000_s2049" o:spt="136" type="#_x0000_t136" style="position:absolute;left:0pt;height:60.35pt;width:462.35pt;mso-position-horizontal:center;mso-position-horizontal-relative:margin;mso-position-vertical:center;mso-position-vertical-relative:margin;rotation:-2949120f;z-index:-251651072;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071C">
    <w:pPr>
      <w:pStyle w:val="14"/>
      <w:tabs>
        <w:tab w:val="left" w:pos="11270"/>
      </w:tabs>
      <w:wordWrap w:val="0"/>
      <w:jc w:val="both"/>
      <w:rPr>
        <w:rFonts w:ascii="黑体" w:hAnsi="黑体" w:eastAsia="黑体"/>
        <w:sz w:val="21"/>
        <w:szCs w:val="21"/>
      </w:rPr>
    </w:pPr>
    <w:r>
      <w:rPr>
        <w:sz w:val="18"/>
      </w:rPr>
      <w:pict>
        <v:shape id="_x0000_s2050" o:spid="_x0000_s2050" o:spt="136" type="#_x0000_t136" style="position:absolute;left:0pt;height:60.35pt;width:462.3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19660f" focussize="0,0"/>
          <v:stroke on="f"/>
          <v:imagedata o:title=""/>
          <o:lock v:ext="edit" aspectratio="t"/>
          <v:textpath on="t" fitshape="t" fitpath="t" trim="t" xscale="f" string="中华中医药学会公示稿" style="font-family:微软雅黑;font-size:60pt;v-same-letter-heights:f;v-text-align:center;"/>
        </v:shape>
      </w:pict>
    </w:r>
    <w:r>
      <w:rPr>
        <w:rFonts w:ascii="黑体" w:hAnsi="黑体" w:eastAsia="黑体"/>
        <w:sz w:val="21"/>
        <w:szCs w:val="21"/>
      </w:rPr>
      <w:tab/>
    </w:r>
    <w:r>
      <w:rPr>
        <w:rFonts w:ascii="黑体" w:hAnsi="黑体" w:eastAsia="黑体"/>
        <w:sz w:val="21"/>
        <w:szCs w:val="21"/>
      </w:rPr>
      <w:tab/>
    </w:r>
    <w:r>
      <w:rPr>
        <w:rFonts w:ascii="黑体" w:hAnsi="黑体" w:eastAsia="黑体"/>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4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3"/>
      <w:suff w:val="nothing"/>
      <w:lvlText w:val="%1%2　"/>
      <w:lvlJc w:val="left"/>
      <w:pPr>
        <w:ind w:left="360" w:firstLine="0"/>
      </w:pPr>
      <w:rPr>
        <w:rFonts w:hint="eastAsia" w:ascii="黑体" w:hAnsi="Times New Roman"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b w:val="0"/>
        <w:i w:val="0"/>
        <w:sz w:val="21"/>
      </w:rPr>
    </w:lvl>
    <w:lvl w:ilvl="3" w:tentative="0">
      <w:start w:val="1"/>
      <w:numFmt w:val="decimal"/>
      <w:pStyle w:val="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158"/>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 w:name="NE.Ref{C573F5F4-7B58-4070-9825-7C2AAFB06988}" w:val=" ADDIN NE.Ref.{C573F5F4-7B58-4070-9825-7C2AAFB06988}&lt;Citation&gt;&lt;Group&gt;&lt;References&gt;&lt;Item&gt;&lt;ID&gt;9196&lt;/ID&gt;&lt;UID&gt;{407FA8EC-AEEF-4CB0-B777-6898D097C7E4}&lt;/UID&gt;&lt;Title&gt;基于网络药理学和分子对接的钩藤-杜仲药对治疗妊娠高血压病的潜在作用价值发现与研究&lt;/Title&gt;&lt;Template&gt;Journal Article&lt;/Template&gt;&lt;Star&gt;0&lt;/Star&gt;&lt;Tag&gt;0&lt;/Tag&gt;&lt;Author&gt;祝娜; 沙子珺; 贺建武; 黎彩凤; 张丰荣; 王均琪; 黄秀兰; 李志勇&lt;/Author&gt;&lt;Year&gt;2020&lt;/Year&gt;&lt;Details&gt;&lt;_author_adr&gt;中央民族大学药学院;吉首大学杜仲综合利用技术国家地方联合工程实验室;江西中医药大学院士工作站;山东中医药大学中医学院;&lt;/_author_adr&gt;&lt;_db_provider&gt;CNKI&lt;/_db_provider&gt;&lt;_doi&gt;10.19540/j.cnki.cjcmm.20200810.401&lt;/_doi&gt;&lt;_isbn&gt;1001-5302&lt;/_isbn&gt;&lt;_issue&gt;22&lt;/_issue&gt;&lt;_journal&gt;中国中药杂志&lt;/_journal&gt;&lt;_keywords&gt;钩藤;;杜仲;;药对;;妊娠高血压;;作用机制;;网络药理学;;分子对接&lt;/_keywords&gt;&lt;_pages&gt;5393-5402&lt;/_pages&gt;&lt;_translated_author&gt;Zhu, Na; Sha, Zijun; He, Jianwu; Li, Caifeng; Zhang, Fengrong; Wang, Junqi; Huang, Xiulan; Li, Zhiyong&lt;/_translated_author&gt;&lt;_url&gt;https://kns.cnki.net/kcms/detail/11.2272.R.20200812.0900.001.html&lt;/_url&gt;&lt;_volume&gt;45&lt;/_volume&gt;&lt;_created&gt;64240702&lt;/_created&gt;&lt;_modified&gt;64240704&lt;/_modified&gt;&lt;_collection_scope&gt;CSCD;PKU&lt;/_collection_scope&gt;&lt;_accessed&gt;64240703&lt;/_accessed&gt;&lt;/Details&gt;&lt;Extra&gt;&lt;DBUID&gt;{1C5B3D75-C21C-4F96-A175-2065B955347D}&lt;/DBUID&gt;&lt;/Extra&gt;&lt;/Item&gt;&lt;/References&gt;&lt;/Group&gt;&lt;Group&gt;&lt;References&gt;&lt;Item&gt;&lt;ID&gt;9194&lt;/ID&gt;&lt;UID&gt;{012C99A6-D88C-4806-9754-6F621C87999C}&lt;/UID&gt;&lt;Title&gt;我国妊娠期代谢综合征的可视化分析&lt;/Title&gt;&lt;Template&gt;Journal Article&lt;/Template&gt;&lt;Star&gt;0&lt;/Star&gt;&lt;Tag&gt;0&lt;/Tag&gt;&lt;Author&gt;冯玲; 周舟; 杨晓冬; 邱玉琴&lt;/Author&gt;&lt;Year&gt;2018&lt;/Year&gt;&lt;Details&gt;&lt;_author_adr&gt;江西省赣州市信丰人民医院;江西省赣州市第三人民医院;&lt;/_author_adr&gt;&lt;_db_provider&gt;CNKI&lt;/_db_provider&gt;&lt;_isbn&gt;1007-9572&lt;/_isbn&gt;&lt;_issue&gt;36&lt;/_issue&gt;&lt;_journal&gt;中国全科医学&lt;/_journal&gt;&lt;_keywords&gt;妊娠并发症;;多囊卵巢综合征;;妊娠高血压综合征;;Citespace&lt;/_keywords&gt;&lt;_pages&gt;4439-4444&lt;/_pages&gt;&lt;_translated_author&gt;Feng, Ling; Zhou, Zhou; Yang, Xiaodong; Qiu, Yuqin&lt;/_translated_author&gt;&lt;_url&gt;https://kns.cnki.net/kcms/detail/13.1222.R.20181029.0858.002.html&lt;/_url&gt;&lt;_volume&gt;21&lt;/_volume&gt;&lt;_created&gt;64240702&lt;/_created&gt;&lt;_modified&gt;64240704&lt;/_modified&gt;&lt;_collection_scope&gt;PKU&lt;/_collection_scope&gt;&lt;_accessed&gt;64240703&lt;/_accessed&gt;&lt;/Details&gt;&lt;Extra&gt;&lt;DBUID&gt;{1C5B3D75-C21C-4F96-A175-2065B955347D}&lt;/DBUID&gt;&lt;/Extra&gt;&lt;/Item&gt;&lt;/References&gt;&lt;/Group&gt;&lt;Group&gt;&lt;References&gt;&lt;Item&gt;&lt;ID&gt;9195&lt;/ID&gt;&lt;UID&gt;{F41EFFC0-3485-4A96-83B7-BDA26787238C}&lt;/UID&gt;&lt;Title&gt;中西医结合治疗重度子痫前期与子痫型妊娠期高血压的临床分析&lt;/Title&gt;&lt;Template&gt;Journal Article&lt;/Template&gt;&lt;Star&gt;0&lt;/Star&gt;&lt;Tag&gt;0&lt;/Tag&gt;&lt;Author&gt;金美媛; 郑能能; 熊智慧&lt;/Author&gt;&lt;Year&gt;2018&lt;/Year&gt;&lt;Details&gt;&lt;_author_adr&gt;浙江省立同德医院产科;&lt;/_author_adr&gt;&lt;_db_provider&gt;CNKI&lt;/_db_provider&gt;&lt;_doi&gt;10.13193/j.issn.1673-7717.2018.04.048&lt;/_doi&gt;&lt;_isbn&gt;1673-7717&lt;/_isbn&gt;&lt;_issue&gt;04&lt;/_issue&gt;&lt;_journal&gt;中华中医药学刊&lt;/_journal&gt;&lt;_keywords&gt;中西医结合治疗;;无严重表现子痫前期;;伴有严重表现子痫前期;;子痫型妊娠期高血压;;临床效果&lt;/_keywords&gt;&lt;_pages&gt;949-951&lt;/_pages&gt;&lt;_translated_author&gt;Jin, Meiyuan; Zheng, Nengneng; Xiong, Zhihui&lt;/_translated_author&gt;&lt;_url&gt;https://kns.cnki.net/kcms/detail/21.1546.R.20180413.1410.048.html&lt;/_url&gt;&lt;_volume&gt;36&lt;/_volume&gt;&lt;_created&gt;64240702&lt;/_created&gt;&lt;_modified&gt;64240704&lt;/_modified&gt;&lt;_collection_scope&gt;PKU&lt;/_collection_scope&gt;&lt;/Details&gt;&lt;Extra&gt;&lt;DBUID&gt;{1C5B3D75-C21C-4F96-A175-2065B955347D}&lt;/DBUID&gt;&lt;/Extra&gt;&lt;/Item&gt;&lt;/References&gt;&lt;/Group&gt;&lt;Group&gt;&lt;References&gt;&lt;Item&gt;&lt;ID&gt;9193&lt;/ID&gt;&lt;UID&gt;{E99F0853-67CB-412B-B44F-D7409DCA0256}&lt;/UID&gt;&lt;Title&gt;中医药治疗妊娠期高血压疾病的研究进展&lt;/Title&gt;&lt;Template&gt;Journal Article&lt;/Template&gt;&lt;Star&gt;0&lt;/Star&gt;&lt;Tag&gt;0&lt;/Tag&gt;&lt;Author&gt;李婕; 蒋卫民; 李海涛; 方祝元&lt;/Author&gt;&lt;Year&gt;2016&lt;/Year&gt;&lt;Details&gt;&lt;_author_adr&gt;南京中医药大学;江苏省中医院;&lt;/_author_adr&gt;&lt;_db_provider&gt;CNKI&lt;/_db_provider&gt;&lt;_doi&gt;10.13192/j.issn.1000-1719.2016.05.071&lt;/_doi&gt;&lt;_isbn&gt;1000-1719&lt;/_isbn&gt;&lt;_issue&gt;05&lt;/_issue&gt;&lt;_journal&gt;辽宁中医杂志&lt;/_journal&gt;&lt;_keywords&gt;中医中药;;妊娠期高血压;;研究现状&lt;/_keywords&gt;&lt;_pages&gt;1110-1112&lt;/_pages&gt;&lt;_translated_author&gt;Li, Jie; Jiang, Weimin; Li, Haitao; Fang, Zhuyuan&lt;/_translated_author&gt;&lt;_url&gt;https://kns.cnki.net/kcms/detail/21.1128.R.20160620.0958.071.html&lt;/_url&gt;&lt;_volume&gt;43&lt;/_volume&gt;&lt;_created&gt;64240702&lt;/_created&gt;&lt;_modified&gt;64240704&lt;/_modified&gt;&lt;_collection_scope&gt;PKU&lt;/_collection_scope&gt;&lt;/Details&gt;&lt;Extra&gt;&lt;DBUID&gt;{1C5B3D75-C21C-4F96-A175-2065B955347D}&lt;/DBUID&gt;&lt;/Extra&gt;&lt;/Item&gt;&lt;/References&gt;&lt;/Group&gt;&lt;Group&gt;&lt;References&gt;&lt;Item&gt;&lt;ID&gt;9191&lt;/ID&gt;&lt;UID&gt;{7E93BF01-3225-420E-9FAF-F31B287C9D5D}&lt;/UID&gt;&lt;Title&gt;何嘉琳治疗妊娠疑难病验案举隅&lt;/Title&gt;&lt;Template&gt;Journal Article&lt;/Template&gt;&lt;Star&gt;0&lt;/Star&gt;&lt;Tag&gt;0&lt;/Tag&gt;&lt;Author&gt;马景; 何嘉琳&lt;/Author&gt;&lt;Year&gt;2013&lt;/Year&gt;&lt;Details&gt;&lt;_author_adr&gt;杭州市中医院;&lt;/_author_adr&gt;&lt;_db_provider&gt;CNKI&lt;/_db_provider&gt;&lt;_doi&gt;10.13288/j.11-2166/r.2013.23.005&lt;/_doi&gt;&lt;_isbn&gt;1001-1668&lt;/_isbn&gt;&lt;_issue&gt;23&lt;/_issue&gt;&lt;_journal&gt;中医杂志&lt;/_journal&gt;&lt;_keywords&gt;妊娠;;复发性流产;;宫颈机能不全;;胎盘植入;;妊娠高血压病;;卵巢过度刺激综合征&lt;/_keywords&gt;&lt;_pages&gt;1992-1995&lt;/_pages&gt;&lt;_translated_author&gt;Ma, Jing; He, Jialin&lt;/_translated_author&gt;&lt;_volume&gt;54&lt;/_volume&gt;&lt;_created&gt;64240702&lt;/_created&gt;&lt;_modified&gt;64240704&lt;/_modified&gt;&lt;_collection_scope&gt;CSCD;PKU&lt;/_collection_scope&gt;&lt;/Details&gt;&lt;Extra&gt;&lt;DBUID&gt;{1C5B3D75-C21C-4F96-A175-2065B955347D}&lt;/DBUID&gt;&lt;/Extra&gt;&lt;/Item&gt;&lt;/References&gt;&lt;/Group&gt;&lt;Group&gt;&lt;References&gt;&lt;Item&gt;&lt;ID&gt;9192&lt;/ID&gt;&lt;UID&gt;{EFB19FAE-B69E-4950-B223-8A49A4E5BF85}&lt;/UID&gt;&lt;Title&gt;妊娠期高血压疾病子痫前期辨证分型荟萃分析&lt;/Title&gt;&lt;Template&gt;Journal Article&lt;/Template&gt;&lt;Star&gt;0&lt;/Star&gt;&lt;Tag&gt;0&lt;/Tag&gt;&lt;Author&gt;蒋文凤; 范长秋&lt;/Author&gt;&lt;Year&gt;2013&lt;/Year&gt;&lt;Details&gt;&lt;_author_adr&gt;利川市民族中医院;&lt;/_author_adr&gt;&lt;_db_provider&gt;CNKI&lt;/_db_provider&gt;&lt;_isbn&gt;1006-3250&lt;/_isbn&gt;&lt;_issue&gt;07&lt;/_issue&gt;&lt;_journal&gt;中国中医基础医学杂志&lt;/_journal&gt;&lt;_keywords&gt;妊娠期高血压疾病子痫前期;;辨证分型;;荟萃分析&lt;/_keywords&gt;&lt;_pages&gt;799-800&lt;/_pages&gt;&lt;_translated_author&gt;Jiang, Wenfeng; Fan, Zhangqiu&lt;/_translated_author&gt;&lt;_volume&gt;19&lt;/_volume&gt;&lt;_created&gt;64240702&lt;/_created&gt;&lt;_modified&gt;64240704&lt;/_modified&gt;&lt;_collection_scope&gt;CSCD;PKU&lt;/_collection_scope&gt;&lt;_accessed&gt;64240703&lt;/_accessed&gt;&lt;/Details&gt;&lt;Extra&gt;&lt;DBUID&gt;{1C5B3D75-C21C-4F96-A175-2065B955347D}&lt;/DBUID&gt;&lt;/Extra&gt;&lt;/Item&gt;&lt;/References&gt;&lt;/Group&gt;&lt;Group&gt;&lt;References&gt;&lt;Item&gt;&lt;ID&gt;9190&lt;/ID&gt;&lt;UID&gt;{CE823FDA-CF2C-41C8-86D5-7362DF0FBB27}&lt;/UID&gt;&lt;Title&gt;妊娠期高血压病因病机及辨证施治&lt;/Title&gt;&lt;Template&gt;Journal Article&lt;/Template&gt;&lt;Star&gt;0&lt;/Star&gt;&lt;Tag&gt;0&lt;/Tag&gt;&lt;Author&gt;雷丹琼&lt;/Author&gt;&lt;Year&gt;2011&lt;/Year&gt;&lt;Details&gt;&lt;_author_adr&gt;黄石理工学院医学院;&lt;/_author_adr&gt;&lt;_db_provider&gt;CNKI&lt;/_db_provider&gt;&lt;_isbn&gt;1008-0805&lt;/_isbn&gt;&lt;_issue&gt;12&lt;/_issue&gt;&lt;_journal&gt;时珍国医国药&lt;/_journal&gt;&lt;_keywords&gt;妊娠期高血压;;病因病机;;辨证施治&lt;/_keywords&gt;&lt;_pages&gt;3023-3024&lt;/_pages&gt;&lt;_translated_author&gt;Lei, Danqiong&lt;/_translated_author&gt;&lt;_volume&gt;22&lt;/_volume&gt;&lt;_created&gt;64240702&lt;/_created&gt;&lt;_modified&gt;64240704&lt;/_modified&gt;&lt;_collection_scope&gt;CSCD;PKU&lt;/_collection_scope&gt;&lt;/Details&gt;&lt;Extra&gt;&lt;DBUID&gt;{1C5B3D75-C21C-4F96-A175-2065B955347D}&lt;/DBUID&gt;&lt;/Extra&gt;&lt;/Item&gt;&lt;/References&gt;&lt;/Group&gt;&lt;Group&gt;&lt;References&gt;&lt;Item&gt;&lt;ID&gt;9187&lt;/ID&gt;&lt;UID&gt;{EF7767C7-4F9E-40F1-A3A7-4423DC49ECC1}&lt;/UID&gt;&lt;Title&gt;黄芪、党参对PIH肾功能损害的修复作用&lt;/Title&gt;&lt;Template&gt;Journal Article&lt;/Template&gt;&lt;Star&gt;0&lt;/Star&gt;&lt;Tag&gt;0&lt;/Tag&gt;&lt;Author&gt;白丽华&lt;/Author&gt;&lt;Year&gt;2010&lt;/Year&gt;&lt;Details&gt;&lt;_author_adr&gt;河北省衡水市妇幼保健院妇产科;&lt;/_author_adr&gt;&lt;_db_provider&gt;CNKI&lt;/_db_provider&gt;&lt;_isbn&gt;1001-4411&lt;/_isbn&gt;&lt;_issue&gt;23&lt;/_issue&gt;&lt;_journal&gt;中国妇幼保健&lt;/_journal&gt;&lt;_keywords&gt;妊娠期高血压疾病;;24h尿蛋白定量;;β2-微球蛋白;;黄芪;;党参&lt;/_keywords&gt;&lt;_pages&gt;3350-3351&lt;/_pages&gt;&lt;_translated_author&gt;Bai, Lihua&lt;/_translated_author&gt;&lt;_volume&gt;25&lt;/_volume&gt;&lt;_created&gt;64240702&lt;/_created&gt;&lt;_modified&gt;64240704&lt;/_modified&gt;&lt;/Details&gt;&lt;Extra&gt;&lt;DBUID&gt;{1C5B3D75-C21C-4F96-A175-2065B955347D}&lt;/DBUID&gt;&lt;/Extra&gt;&lt;/Item&gt;&lt;/References&gt;&lt;/Group&gt;&lt;Group&gt;&lt;References&gt;&lt;Item&gt;&lt;ID&gt;9188&lt;/ID&gt;&lt;UID&gt;{AB534E31-8892-40DE-A182-E6E49EFCF60F}&lt;/UID&gt;&lt;Title&gt;门成福治疗妊娠高血压综合征经验&lt;/Title&gt;&lt;Template&gt;Journal Article&lt;/Template&gt;&lt;Star&gt;0&lt;/Star&gt;&lt;Tag&gt;0&lt;/Tag&gt;&lt;Author&gt;焦丽华&lt;/Author&gt;&lt;Year&gt;2010&lt;/Year&gt;&lt;Details&gt;&lt;_author_adr&gt;河南中医学院第三附属医院;&lt;/_author_adr&gt;&lt;_db_provider&gt;CNKI&lt;/_db_provider&gt;&lt;_doi&gt;10.13288/j.11-2166/r.2010.03.028&lt;/_doi&gt;&lt;_isbn&gt;1001-1668&lt;/_isbn&gt;&lt;_issue&gt;03&lt;/_issue&gt;&lt;_journal&gt;中医杂志&lt;/_journal&gt;&lt;_keywords&gt;妊娠高血压综合征;;中医药疗法;;名医经验;;门成福&lt;/_keywords&gt;&lt;_pages&gt;209-210&lt;/_pages&gt;&lt;_translated_author&gt;Jiao, Lihua&lt;/_translated_author&gt;&lt;_volume&gt;51&lt;/_volume&gt;&lt;_created&gt;64240702&lt;/_created&gt;&lt;_modified&gt;64240704&lt;/_modified&gt;&lt;_collection_scope&gt;CSCD;PKU&lt;/_collection_scope&gt;&lt;/Details&gt;&lt;Extra&gt;&lt;DBUID&gt;{1C5B3D75-C21C-4F96-A175-2065B955347D}&lt;/DBUID&gt;&lt;/Extra&gt;&lt;/Item&gt;&lt;/References&gt;&lt;/Group&gt;&lt;Group&gt;&lt;References&gt;&lt;Item&gt;&lt;ID&gt;9189&lt;/ID&gt;&lt;UID&gt;{04B14AEC-739A-437F-A955-D52130D492D4}&lt;/UID&gt;&lt;Title&gt;先兆子痫肾损伤病案&lt;/Title&gt;&lt;Template&gt;Journal Article&lt;/Template&gt;&lt;Star&gt;0&lt;/Star&gt;&lt;Tag&gt;0&lt;/Tag&gt;&lt;Author&gt;占永立&lt;/Author&gt;&lt;Year&gt;2010&lt;/Year&gt;&lt;Details&gt;&lt;_author_adr&gt;中国中医科学院广安门医院肾内科;&lt;/_author_adr&gt;&lt;_db_provider&gt;CNKI&lt;/_db_provider&gt;&lt;_doi&gt;10.13288/j.11-2166/r.2010.12.017&lt;/_doi&gt;&lt;_isbn&gt;1001-1668&lt;/_isbn&gt;&lt;_issue&gt;12&lt;/_issue&gt;&lt;_journal&gt;中医杂志&lt;/_journal&gt;&lt;_keywords&gt;先兆子痫;;血栓性微血管病;;肾损伤;;中医药疗法&lt;/_keywords&gt;&lt;_pages&gt;1111-1112&lt;/_pages&gt;&lt;_translated_author&gt;Zhan, Yongli&lt;/_translated_author&gt;&lt;_volume&gt;51&lt;/_volume&gt;&lt;_created&gt;64240702&lt;/_created&gt;&lt;_modified&gt;64240702&lt;/_modified&gt;&lt;_collection_scope&gt;CSCD;PKU&lt;/_collection_scope&gt;&lt;_accessed&gt;64240704&lt;/_accessed&gt;&lt;/Details&gt;&lt;Extra&gt;&lt;DBUID&gt;{1C5B3D75-C21C-4F96-A175-2065B955347D}&lt;/DBUID&gt;&lt;/Extra&gt;&lt;/Item&gt;&lt;/References&gt;&lt;/Group&gt;&lt;/Citation&gt;_x000a_"/>
    <w:docVar w:name="NE.Ref{DB5CBA27-596E-4917-A352-C3A03896FA9F}" w:val=" ADDIN NE.Ref.{DB5CBA27-596E-4917-A352-C3A03896FA9F}&lt;Citation&gt;&lt;Group&gt;&lt;References&gt;&lt;Item&gt;&lt;ID&gt;9197&lt;/ID&gt;&lt;UID&gt;{1537AD76-BF0D-4DD2-8B9F-FD9DBE659467}&lt;/UID&gt;&lt;Title&gt;杞菊地黄丸对肝肾阴虚证型妊娠期高血压疾病血清因子水平的影响及机制探究&lt;/Title&gt;&lt;Template&gt;Journal Article&lt;/Template&gt;&lt;Star&gt;0&lt;/Star&gt;&lt;Tag&gt;0&lt;/Tag&gt;&lt;Author&gt;谷少华; 刘巧方; 李向南&lt;/Author&gt;&lt;Year&gt;2021&lt;/Year&gt;&lt;Details&gt;&lt;_author_adr&gt;新乡市中心医院;河南师范大学化学化工学院;&lt;/_author_adr&gt;&lt;_db_provider&gt;CNKI&lt;/_db_provider&gt;&lt;_doi&gt;10.13193/j.issn.1673-7717.2021.02.063&lt;/_doi&gt;&lt;_isbn&gt;1673-7717&lt;/_isbn&gt;&lt;_issue&gt;02&lt;/_issue&gt;&lt;_journal&gt;中华中医药学刊&lt;/_journal&gt;&lt;_keywords&gt;杞菊地黄丸;;妊娠期高血压疾病;;肝肾阴虚证;;血清因子&lt;/_keywords&gt;&lt;_pages&gt;248-251+290&lt;/_pages&gt;&lt;_translated_author&gt;Gu, Shaohua; Liu, Qiaofang; Li, Xiangnan&lt;/_translated_author&gt;&lt;_url&gt;https://kns.cnki.net/kcms/detail/21.1546.R.20200824.1144.002.html&lt;/_url&gt;&lt;_volume&gt;39&lt;/_volume&gt;&lt;_created&gt;64240702&lt;/_created&gt;&lt;_modified&gt;64240702&lt;/_modified&gt;&lt;_collection_scope&gt;PKU&lt;/_collection_scope&gt;&lt;_accessed&gt;64240703&lt;/_accessed&gt;&lt;/Details&gt;&lt;Extra&gt;&lt;DBUID&gt;{1C5B3D75-C21C-4F96-A175-2065B955347D}&lt;/DBUID&gt;&lt;/Extra&gt;&lt;/Item&gt;&lt;/References&gt;&lt;/Group&gt;&lt;/Citation&gt;_x000a_"/>
    <w:docVar w:name="ne_docsoft" w:val="MSWord"/>
    <w:docVar w:name="ne_docversion" w:val="NoteExpress 2.0"/>
    <w:docVar w:name="ne_stylename" w:val="Numbered(multilingual)"/>
  </w:docVars>
  <w:rsids>
    <w:rsidRoot w:val="00172A27"/>
    <w:rsid w:val="00007F9C"/>
    <w:rsid w:val="00016417"/>
    <w:rsid w:val="00017E87"/>
    <w:rsid w:val="00020007"/>
    <w:rsid w:val="000219E5"/>
    <w:rsid w:val="00022EDE"/>
    <w:rsid w:val="00030F5D"/>
    <w:rsid w:val="00037531"/>
    <w:rsid w:val="00046663"/>
    <w:rsid w:val="00050EB7"/>
    <w:rsid w:val="00051519"/>
    <w:rsid w:val="00053659"/>
    <w:rsid w:val="000561FB"/>
    <w:rsid w:val="00063075"/>
    <w:rsid w:val="00066DED"/>
    <w:rsid w:val="00067115"/>
    <w:rsid w:val="00067CCC"/>
    <w:rsid w:val="00074401"/>
    <w:rsid w:val="000830C4"/>
    <w:rsid w:val="00087F09"/>
    <w:rsid w:val="00090A67"/>
    <w:rsid w:val="00094678"/>
    <w:rsid w:val="00096175"/>
    <w:rsid w:val="000A3E68"/>
    <w:rsid w:val="000A4403"/>
    <w:rsid w:val="000A7412"/>
    <w:rsid w:val="000B041D"/>
    <w:rsid w:val="000B7521"/>
    <w:rsid w:val="000C193F"/>
    <w:rsid w:val="000C29F0"/>
    <w:rsid w:val="000C63BF"/>
    <w:rsid w:val="000D4358"/>
    <w:rsid w:val="000D6E88"/>
    <w:rsid w:val="000E206C"/>
    <w:rsid w:val="000E391E"/>
    <w:rsid w:val="000E5326"/>
    <w:rsid w:val="000F0BD2"/>
    <w:rsid w:val="000F1177"/>
    <w:rsid w:val="000F3546"/>
    <w:rsid w:val="000F5E4F"/>
    <w:rsid w:val="00100C63"/>
    <w:rsid w:val="00107F79"/>
    <w:rsid w:val="0011064A"/>
    <w:rsid w:val="00116317"/>
    <w:rsid w:val="001210A7"/>
    <w:rsid w:val="00130965"/>
    <w:rsid w:val="001314E8"/>
    <w:rsid w:val="00136EA1"/>
    <w:rsid w:val="00141B6A"/>
    <w:rsid w:val="00144D39"/>
    <w:rsid w:val="001504DC"/>
    <w:rsid w:val="00150B9B"/>
    <w:rsid w:val="00152533"/>
    <w:rsid w:val="00152B67"/>
    <w:rsid w:val="00155ABA"/>
    <w:rsid w:val="00155E03"/>
    <w:rsid w:val="00155E98"/>
    <w:rsid w:val="00161463"/>
    <w:rsid w:val="0017063E"/>
    <w:rsid w:val="00172A27"/>
    <w:rsid w:val="00177478"/>
    <w:rsid w:val="00177FC9"/>
    <w:rsid w:val="00190D54"/>
    <w:rsid w:val="00195740"/>
    <w:rsid w:val="00195EBA"/>
    <w:rsid w:val="001A7CAA"/>
    <w:rsid w:val="001B26B1"/>
    <w:rsid w:val="001C739A"/>
    <w:rsid w:val="001C75B6"/>
    <w:rsid w:val="001C7DAB"/>
    <w:rsid w:val="001E3316"/>
    <w:rsid w:val="001E3C63"/>
    <w:rsid w:val="001E3CBE"/>
    <w:rsid w:val="001F00D0"/>
    <w:rsid w:val="001F3057"/>
    <w:rsid w:val="001F51EA"/>
    <w:rsid w:val="00201F25"/>
    <w:rsid w:val="002056CE"/>
    <w:rsid w:val="00210BE8"/>
    <w:rsid w:val="00211DEE"/>
    <w:rsid w:val="002202F0"/>
    <w:rsid w:val="0022187C"/>
    <w:rsid w:val="00221F34"/>
    <w:rsid w:val="0022283E"/>
    <w:rsid w:val="00222B52"/>
    <w:rsid w:val="002238D7"/>
    <w:rsid w:val="002247D1"/>
    <w:rsid w:val="00226F03"/>
    <w:rsid w:val="00232B41"/>
    <w:rsid w:val="00235BFA"/>
    <w:rsid w:val="00252937"/>
    <w:rsid w:val="002568DB"/>
    <w:rsid w:val="00263C90"/>
    <w:rsid w:val="00274608"/>
    <w:rsid w:val="00281E3E"/>
    <w:rsid w:val="002938C4"/>
    <w:rsid w:val="00296231"/>
    <w:rsid w:val="002A0B56"/>
    <w:rsid w:val="002A5292"/>
    <w:rsid w:val="002B203B"/>
    <w:rsid w:val="002B529D"/>
    <w:rsid w:val="002B597B"/>
    <w:rsid w:val="002B771B"/>
    <w:rsid w:val="002C7646"/>
    <w:rsid w:val="002D1620"/>
    <w:rsid w:val="002D27B6"/>
    <w:rsid w:val="002E72CC"/>
    <w:rsid w:val="002F2450"/>
    <w:rsid w:val="00315BA9"/>
    <w:rsid w:val="00317EB6"/>
    <w:rsid w:val="00320817"/>
    <w:rsid w:val="00322DF3"/>
    <w:rsid w:val="0034011E"/>
    <w:rsid w:val="00353E39"/>
    <w:rsid w:val="00356A3C"/>
    <w:rsid w:val="0036016F"/>
    <w:rsid w:val="00362B94"/>
    <w:rsid w:val="003632BE"/>
    <w:rsid w:val="0036536F"/>
    <w:rsid w:val="00367855"/>
    <w:rsid w:val="00370600"/>
    <w:rsid w:val="00387790"/>
    <w:rsid w:val="003923BF"/>
    <w:rsid w:val="00392AE5"/>
    <w:rsid w:val="00394191"/>
    <w:rsid w:val="00396AAE"/>
    <w:rsid w:val="003B1710"/>
    <w:rsid w:val="003B51E3"/>
    <w:rsid w:val="003B5B5E"/>
    <w:rsid w:val="003B7C02"/>
    <w:rsid w:val="003C17FB"/>
    <w:rsid w:val="003C60B0"/>
    <w:rsid w:val="003C75EA"/>
    <w:rsid w:val="003C7801"/>
    <w:rsid w:val="003D076C"/>
    <w:rsid w:val="003D440B"/>
    <w:rsid w:val="003F1008"/>
    <w:rsid w:val="003F1A26"/>
    <w:rsid w:val="003F30EE"/>
    <w:rsid w:val="00405694"/>
    <w:rsid w:val="00411B49"/>
    <w:rsid w:val="00411F3F"/>
    <w:rsid w:val="00415D9F"/>
    <w:rsid w:val="00421CC7"/>
    <w:rsid w:val="004326D3"/>
    <w:rsid w:val="00435ECC"/>
    <w:rsid w:val="0044300A"/>
    <w:rsid w:val="00450DF3"/>
    <w:rsid w:val="00452466"/>
    <w:rsid w:val="00464437"/>
    <w:rsid w:val="00465740"/>
    <w:rsid w:val="00467DE9"/>
    <w:rsid w:val="00474535"/>
    <w:rsid w:val="00475D46"/>
    <w:rsid w:val="00476CCA"/>
    <w:rsid w:val="004847FF"/>
    <w:rsid w:val="00484CF8"/>
    <w:rsid w:val="004A357D"/>
    <w:rsid w:val="004A3A0B"/>
    <w:rsid w:val="004A46CD"/>
    <w:rsid w:val="004B284A"/>
    <w:rsid w:val="004B3E7C"/>
    <w:rsid w:val="004B42CC"/>
    <w:rsid w:val="004B6DFF"/>
    <w:rsid w:val="004C6810"/>
    <w:rsid w:val="004C7BC7"/>
    <w:rsid w:val="004D3CE7"/>
    <w:rsid w:val="004E22E6"/>
    <w:rsid w:val="004E310F"/>
    <w:rsid w:val="004E65F4"/>
    <w:rsid w:val="004F096F"/>
    <w:rsid w:val="004F168C"/>
    <w:rsid w:val="00511A67"/>
    <w:rsid w:val="00515135"/>
    <w:rsid w:val="0051710F"/>
    <w:rsid w:val="00526238"/>
    <w:rsid w:val="00527343"/>
    <w:rsid w:val="00531488"/>
    <w:rsid w:val="00536129"/>
    <w:rsid w:val="00537CD5"/>
    <w:rsid w:val="0054097E"/>
    <w:rsid w:val="005432B7"/>
    <w:rsid w:val="005457A9"/>
    <w:rsid w:val="0056316B"/>
    <w:rsid w:val="005634B2"/>
    <w:rsid w:val="00566C74"/>
    <w:rsid w:val="00570A7E"/>
    <w:rsid w:val="005718FF"/>
    <w:rsid w:val="00573D35"/>
    <w:rsid w:val="0057475E"/>
    <w:rsid w:val="005819FE"/>
    <w:rsid w:val="00592EB2"/>
    <w:rsid w:val="00597C3D"/>
    <w:rsid w:val="005A70F2"/>
    <w:rsid w:val="005B2CE8"/>
    <w:rsid w:val="005B63FD"/>
    <w:rsid w:val="005C4D5C"/>
    <w:rsid w:val="005D75EA"/>
    <w:rsid w:val="005E20C4"/>
    <w:rsid w:val="005E4503"/>
    <w:rsid w:val="005F249D"/>
    <w:rsid w:val="005F72FB"/>
    <w:rsid w:val="00601333"/>
    <w:rsid w:val="006063CF"/>
    <w:rsid w:val="00615EF2"/>
    <w:rsid w:val="00620BDF"/>
    <w:rsid w:val="00635C64"/>
    <w:rsid w:val="006368C2"/>
    <w:rsid w:val="0065381D"/>
    <w:rsid w:val="00660BFF"/>
    <w:rsid w:val="006627DC"/>
    <w:rsid w:val="00664BA0"/>
    <w:rsid w:val="00664D98"/>
    <w:rsid w:val="00670459"/>
    <w:rsid w:val="00671302"/>
    <w:rsid w:val="00672989"/>
    <w:rsid w:val="00672C47"/>
    <w:rsid w:val="00673E36"/>
    <w:rsid w:val="00677B48"/>
    <w:rsid w:val="00682A8F"/>
    <w:rsid w:val="00692122"/>
    <w:rsid w:val="00692CC5"/>
    <w:rsid w:val="006A2A4D"/>
    <w:rsid w:val="006A2B91"/>
    <w:rsid w:val="006A5777"/>
    <w:rsid w:val="006A668B"/>
    <w:rsid w:val="006A71A4"/>
    <w:rsid w:val="006B582B"/>
    <w:rsid w:val="006C0ECC"/>
    <w:rsid w:val="006C38F7"/>
    <w:rsid w:val="006C783C"/>
    <w:rsid w:val="006D1F43"/>
    <w:rsid w:val="006E1387"/>
    <w:rsid w:val="006E4104"/>
    <w:rsid w:val="006E6D30"/>
    <w:rsid w:val="006E78C3"/>
    <w:rsid w:val="006F37ED"/>
    <w:rsid w:val="00700CA1"/>
    <w:rsid w:val="00703D24"/>
    <w:rsid w:val="00713AC1"/>
    <w:rsid w:val="00716C3E"/>
    <w:rsid w:val="00732490"/>
    <w:rsid w:val="0073617B"/>
    <w:rsid w:val="007407D4"/>
    <w:rsid w:val="00746401"/>
    <w:rsid w:val="0075332C"/>
    <w:rsid w:val="007556F1"/>
    <w:rsid w:val="007558D6"/>
    <w:rsid w:val="00756767"/>
    <w:rsid w:val="00761927"/>
    <w:rsid w:val="00762693"/>
    <w:rsid w:val="007662EA"/>
    <w:rsid w:val="0077022D"/>
    <w:rsid w:val="00770818"/>
    <w:rsid w:val="00775613"/>
    <w:rsid w:val="00780199"/>
    <w:rsid w:val="007845C3"/>
    <w:rsid w:val="00785CD2"/>
    <w:rsid w:val="0079335D"/>
    <w:rsid w:val="007A1E12"/>
    <w:rsid w:val="007A2F4E"/>
    <w:rsid w:val="007A50E6"/>
    <w:rsid w:val="007A732B"/>
    <w:rsid w:val="007B2A91"/>
    <w:rsid w:val="007B66AE"/>
    <w:rsid w:val="007C4794"/>
    <w:rsid w:val="007C4F32"/>
    <w:rsid w:val="007D22A6"/>
    <w:rsid w:val="007D302B"/>
    <w:rsid w:val="007D3A4C"/>
    <w:rsid w:val="007D4B9F"/>
    <w:rsid w:val="007D518D"/>
    <w:rsid w:val="007D7856"/>
    <w:rsid w:val="007E25E1"/>
    <w:rsid w:val="007F60B3"/>
    <w:rsid w:val="007F6E12"/>
    <w:rsid w:val="008055A3"/>
    <w:rsid w:val="00807D50"/>
    <w:rsid w:val="00812553"/>
    <w:rsid w:val="00820F31"/>
    <w:rsid w:val="00826483"/>
    <w:rsid w:val="00833B9C"/>
    <w:rsid w:val="008463B2"/>
    <w:rsid w:val="008466D6"/>
    <w:rsid w:val="00850787"/>
    <w:rsid w:val="008518DD"/>
    <w:rsid w:val="008521A8"/>
    <w:rsid w:val="008609DB"/>
    <w:rsid w:val="00860BF7"/>
    <w:rsid w:val="0086628F"/>
    <w:rsid w:val="00870838"/>
    <w:rsid w:val="00874FE2"/>
    <w:rsid w:val="00884492"/>
    <w:rsid w:val="00893565"/>
    <w:rsid w:val="00895C5F"/>
    <w:rsid w:val="00895F3C"/>
    <w:rsid w:val="008A56CF"/>
    <w:rsid w:val="008A5DAA"/>
    <w:rsid w:val="008B081B"/>
    <w:rsid w:val="008B226A"/>
    <w:rsid w:val="008B2667"/>
    <w:rsid w:val="008C1A16"/>
    <w:rsid w:val="008C6D47"/>
    <w:rsid w:val="008D1DC0"/>
    <w:rsid w:val="008D1EED"/>
    <w:rsid w:val="008E256F"/>
    <w:rsid w:val="008E467C"/>
    <w:rsid w:val="008E62B3"/>
    <w:rsid w:val="008F343B"/>
    <w:rsid w:val="008F4F16"/>
    <w:rsid w:val="00900DBF"/>
    <w:rsid w:val="0091005F"/>
    <w:rsid w:val="00916A28"/>
    <w:rsid w:val="00931243"/>
    <w:rsid w:val="009349A5"/>
    <w:rsid w:val="0095314F"/>
    <w:rsid w:val="00953372"/>
    <w:rsid w:val="009535F1"/>
    <w:rsid w:val="0095440F"/>
    <w:rsid w:val="0096146D"/>
    <w:rsid w:val="00964616"/>
    <w:rsid w:val="00967E1D"/>
    <w:rsid w:val="00970DAB"/>
    <w:rsid w:val="0097159B"/>
    <w:rsid w:val="00977B41"/>
    <w:rsid w:val="009807BE"/>
    <w:rsid w:val="00984ED3"/>
    <w:rsid w:val="00985E4F"/>
    <w:rsid w:val="00991639"/>
    <w:rsid w:val="009958D8"/>
    <w:rsid w:val="00996AA9"/>
    <w:rsid w:val="00997B39"/>
    <w:rsid w:val="009A0AB7"/>
    <w:rsid w:val="009A3FAC"/>
    <w:rsid w:val="009A45A1"/>
    <w:rsid w:val="009B01FD"/>
    <w:rsid w:val="009B49C2"/>
    <w:rsid w:val="009C5034"/>
    <w:rsid w:val="009C6235"/>
    <w:rsid w:val="009C6253"/>
    <w:rsid w:val="009D4D2D"/>
    <w:rsid w:val="009E02F6"/>
    <w:rsid w:val="009E3567"/>
    <w:rsid w:val="00A0080E"/>
    <w:rsid w:val="00A11BB9"/>
    <w:rsid w:val="00A133CB"/>
    <w:rsid w:val="00A136C8"/>
    <w:rsid w:val="00A2601D"/>
    <w:rsid w:val="00A26376"/>
    <w:rsid w:val="00A27D96"/>
    <w:rsid w:val="00A35FAE"/>
    <w:rsid w:val="00A44FDA"/>
    <w:rsid w:val="00A51785"/>
    <w:rsid w:val="00A66CA2"/>
    <w:rsid w:val="00A722DB"/>
    <w:rsid w:val="00A75CB0"/>
    <w:rsid w:val="00A83F99"/>
    <w:rsid w:val="00A863B6"/>
    <w:rsid w:val="00A93341"/>
    <w:rsid w:val="00AA257D"/>
    <w:rsid w:val="00AA2C70"/>
    <w:rsid w:val="00AA5D50"/>
    <w:rsid w:val="00AA6FDD"/>
    <w:rsid w:val="00AB06EA"/>
    <w:rsid w:val="00AB0EBB"/>
    <w:rsid w:val="00AB3E24"/>
    <w:rsid w:val="00AB4AE2"/>
    <w:rsid w:val="00AB7ECE"/>
    <w:rsid w:val="00AD0253"/>
    <w:rsid w:val="00AD091D"/>
    <w:rsid w:val="00AD282E"/>
    <w:rsid w:val="00AD42FB"/>
    <w:rsid w:val="00AD7DF1"/>
    <w:rsid w:val="00AD7EE7"/>
    <w:rsid w:val="00B00903"/>
    <w:rsid w:val="00B1217A"/>
    <w:rsid w:val="00B13330"/>
    <w:rsid w:val="00B135EE"/>
    <w:rsid w:val="00B42A85"/>
    <w:rsid w:val="00B46A61"/>
    <w:rsid w:val="00B530B7"/>
    <w:rsid w:val="00B5365B"/>
    <w:rsid w:val="00B54804"/>
    <w:rsid w:val="00B6288B"/>
    <w:rsid w:val="00B63DBE"/>
    <w:rsid w:val="00B65BFE"/>
    <w:rsid w:val="00B82710"/>
    <w:rsid w:val="00B84878"/>
    <w:rsid w:val="00B87611"/>
    <w:rsid w:val="00BA0838"/>
    <w:rsid w:val="00BA38D1"/>
    <w:rsid w:val="00BB3B16"/>
    <w:rsid w:val="00BB4646"/>
    <w:rsid w:val="00BC30C2"/>
    <w:rsid w:val="00BC7831"/>
    <w:rsid w:val="00BD2638"/>
    <w:rsid w:val="00BD4A41"/>
    <w:rsid w:val="00BE3CE6"/>
    <w:rsid w:val="00BE57F9"/>
    <w:rsid w:val="00BF0D73"/>
    <w:rsid w:val="00BF1181"/>
    <w:rsid w:val="00C05F35"/>
    <w:rsid w:val="00C21BAA"/>
    <w:rsid w:val="00C24ACC"/>
    <w:rsid w:val="00C25EDB"/>
    <w:rsid w:val="00C30933"/>
    <w:rsid w:val="00C34D34"/>
    <w:rsid w:val="00C47AB8"/>
    <w:rsid w:val="00C53559"/>
    <w:rsid w:val="00C553DB"/>
    <w:rsid w:val="00C6195A"/>
    <w:rsid w:val="00C63B3D"/>
    <w:rsid w:val="00C65B53"/>
    <w:rsid w:val="00C7787E"/>
    <w:rsid w:val="00C80E77"/>
    <w:rsid w:val="00C945C0"/>
    <w:rsid w:val="00C946FA"/>
    <w:rsid w:val="00CA3966"/>
    <w:rsid w:val="00CB2F4C"/>
    <w:rsid w:val="00CB47AF"/>
    <w:rsid w:val="00CB763C"/>
    <w:rsid w:val="00CC654D"/>
    <w:rsid w:val="00CD06D5"/>
    <w:rsid w:val="00CD15B1"/>
    <w:rsid w:val="00CD4104"/>
    <w:rsid w:val="00CD5C28"/>
    <w:rsid w:val="00CE34FA"/>
    <w:rsid w:val="00CE36C8"/>
    <w:rsid w:val="00CE6100"/>
    <w:rsid w:val="00CF2934"/>
    <w:rsid w:val="00D04F69"/>
    <w:rsid w:val="00D24AC3"/>
    <w:rsid w:val="00D26174"/>
    <w:rsid w:val="00D31272"/>
    <w:rsid w:val="00D36106"/>
    <w:rsid w:val="00D464FB"/>
    <w:rsid w:val="00D62642"/>
    <w:rsid w:val="00D66C28"/>
    <w:rsid w:val="00D70010"/>
    <w:rsid w:val="00D70986"/>
    <w:rsid w:val="00D83FA2"/>
    <w:rsid w:val="00D92C00"/>
    <w:rsid w:val="00D93746"/>
    <w:rsid w:val="00D9623B"/>
    <w:rsid w:val="00D97C54"/>
    <w:rsid w:val="00DA2781"/>
    <w:rsid w:val="00DA3F36"/>
    <w:rsid w:val="00DA744C"/>
    <w:rsid w:val="00DB6D81"/>
    <w:rsid w:val="00DC4CEB"/>
    <w:rsid w:val="00DD78ED"/>
    <w:rsid w:val="00DE1D6D"/>
    <w:rsid w:val="00DE2490"/>
    <w:rsid w:val="00DE24C0"/>
    <w:rsid w:val="00DE53A1"/>
    <w:rsid w:val="00DE7EEC"/>
    <w:rsid w:val="00E0117B"/>
    <w:rsid w:val="00E166FE"/>
    <w:rsid w:val="00E270B6"/>
    <w:rsid w:val="00E428C0"/>
    <w:rsid w:val="00E44989"/>
    <w:rsid w:val="00E560F8"/>
    <w:rsid w:val="00E60530"/>
    <w:rsid w:val="00E6741A"/>
    <w:rsid w:val="00E7197D"/>
    <w:rsid w:val="00E76545"/>
    <w:rsid w:val="00E80456"/>
    <w:rsid w:val="00E82239"/>
    <w:rsid w:val="00E910E6"/>
    <w:rsid w:val="00E940CE"/>
    <w:rsid w:val="00EA09F6"/>
    <w:rsid w:val="00EA10B2"/>
    <w:rsid w:val="00EA2E9B"/>
    <w:rsid w:val="00EA3A4D"/>
    <w:rsid w:val="00EA4697"/>
    <w:rsid w:val="00EA6BE9"/>
    <w:rsid w:val="00EA767A"/>
    <w:rsid w:val="00EB7262"/>
    <w:rsid w:val="00EC1DF3"/>
    <w:rsid w:val="00ED0E20"/>
    <w:rsid w:val="00ED7894"/>
    <w:rsid w:val="00ED7EA4"/>
    <w:rsid w:val="00EE3AE4"/>
    <w:rsid w:val="00EE50AA"/>
    <w:rsid w:val="00EE6339"/>
    <w:rsid w:val="00EF116D"/>
    <w:rsid w:val="00EF15F6"/>
    <w:rsid w:val="00EF5D5C"/>
    <w:rsid w:val="00F024E8"/>
    <w:rsid w:val="00F03978"/>
    <w:rsid w:val="00F04AFF"/>
    <w:rsid w:val="00F10A24"/>
    <w:rsid w:val="00F13546"/>
    <w:rsid w:val="00F135A1"/>
    <w:rsid w:val="00F16F38"/>
    <w:rsid w:val="00F17A19"/>
    <w:rsid w:val="00F215A8"/>
    <w:rsid w:val="00F26571"/>
    <w:rsid w:val="00F34AB8"/>
    <w:rsid w:val="00F3544B"/>
    <w:rsid w:val="00F3657F"/>
    <w:rsid w:val="00F422F2"/>
    <w:rsid w:val="00F51C34"/>
    <w:rsid w:val="00F62005"/>
    <w:rsid w:val="00F63DFA"/>
    <w:rsid w:val="00F72731"/>
    <w:rsid w:val="00F81CF4"/>
    <w:rsid w:val="00F83C3F"/>
    <w:rsid w:val="00F948F3"/>
    <w:rsid w:val="00F95FA3"/>
    <w:rsid w:val="00F96C6F"/>
    <w:rsid w:val="00FA1794"/>
    <w:rsid w:val="00FA30DD"/>
    <w:rsid w:val="00FA7B31"/>
    <w:rsid w:val="00FB1B11"/>
    <w:rsid w:val="00FC3DA6"/>
    <w:rsid w:val="00FC620C"/>
    <w:rsid w:val="00FD2CA3"/>
    <w:rsid w:val="00FD7C97"/>
    <w:rsid w:val="00FE1DC5"/>
    <w:rsid w:val="00FE25E5"/>
    <w:rsid w:val="00FE6599"/>
    <w:rsid w:val="00FF4F3F"/>
    <w:rsid w:val="028930CF"/>
    <w:rsid w:val="02DC5124"/>
    <w:rsid w:val="0404221D"/>
    <w:rsid w:val="040C6A6B"/>
    <w:rsid w:val="041E37D6"/>
    <w:rsid w:val="054E7B57"/>
    <w:rsid w:val="05E16E60"/>
    <w:rsid w:val="077C5CB6"/>
    <w:rsid w:val="09146D15"/>
    <w:rsid w:val="098B6A14"/>
    <w:rsid w:val="09F15AC9"/>
    <w:rsid w:val="0ACA6859"/>
    <w:rsid w:val="0AFA59AA"/>
    <w:rsid w:val="0CC5653B"/>
    <w:rsid w:val="0D764EB3"/>
    <w:rsid w:val="0E44204B"/>
    <w:rsid w:val="10516984"/>
    <w:rsid w:val="108E453B"/>
    <w:rsid w:val="10E049DB"/>
    <w:rsid w:val="11063C09"/>
    <w:rsid w:val="11875983"/>
    <w:rsid w:val="12B3434F"/>
    <w:rsid w:val="14861F22"/>
    <w:rsid w:val="14983A03"/>
    <w:rsid w:val="15793835"/>
    <w:rsid w:val="16D20BBA"/>
    <w:rsid w:val="16FF003F"/>
    <w:rsid w:val="184220B0"/>
    <w:rsid w:val="18C52DD8"/>
    <w:rsid w:val="19691D2D"/>
    <w:rsid w:val="1971747B"/>
    <w:rsid w:val="19EA276C"/>
    <w:rsid w:val="1A3121DD"/>
    <w:rsid w:val="1B6D5BEA"/>
    <w:rsid w:val="1C5E7C8C"/>
    <w:rsid w:val="1CEB51A2"/>
    <w:rsid w:val="1E943A9A"/>
    <w:rsid w:val="1EC6694C"/>
    <w:rsid w:val="1EEC6AD6"/>
    <w:rsid w:val="20763A82"/>
    <w:rsid w:val="20FC5E29"/>
    <w:rsid w:val="21025C13"/>
    <w:rsid w:val="22BB69C2"/>
    <w:rsid w:val="23794175"/>
    <w:rsid w:val="246E2D16"/>
    <w:rsid w:val="247D1F12"/>
    <w:rsid w:val="26363369"/>
    <w:rsid w:val="266D4651"/>
    <w:rsid w:val="26E0570D"/>
    <w:rsid w:val="27B510B5"/>
    <w:rsid w:val="28B975BE"/>
    <w:rsid w:val="2DFF6B75"/>
    <w:rsid w:val="30C554E4"/>
    <w:rsid w:val="312200B8"/>
    <w:rsid w:val="316A12DE"/>
    <w:rsid w:val="318F1EF4"/>
    <w:rsid w:val="31D235E4"/>
    <w:rsid w:val="32594781"/>
    <w:rsid w:val="327D62BB"/>
    <w:rsid w:val="32B83797"/>
    <w:rsid w:val="33656602"/>
    <w:rsid w:val="33D322C9"/>
    <w:rsid w:val="34495489"/>
    <w:rsid w:val="371012A2"/>
    <w:rsid w:val="38AB4CB3"/>
    <w:rsid w:val="38DC5ABC"/>
    <w:rsid w:val="3AFF06D3"/>
    <w:rsid w:val="3CB17A0B"/>
    <w:rsid w:val="3D65276D"/>
    <w:rsid w:val="3DCD218F"/>
    <w:rsid w:val="3E2D43CB"/>
    <w:rsid w:val="3EBA496F"/>
    <w:rsid w:val="40572841"/>
    <w:rsid w:val="417865F8"/>
    <w:rsid w:val="44A21BB1"/>
    <w:rsid w:val="456F4AB6"/>
    <w:rsid w:val="456F4CA7"/>
    <w:rsid w:val="459329FC"/>
    <w:rsid w:val="45BFB654"/>
    <w:rsid w:val="4C602076"/>
    <w:rsid w:val="4C744CC4"/>
    <w:rsid w:val="4E3E4005"/>
    <w:rsid w:val="4FC17313"/>
    <w:rsid w:val="506763DC"/>
    <w:rsid w:val="51452929"/>
    <w:rsid w:val="514A6A6C"/>
    <w:rsid w:val="526130AB"/>
    <w:rsid w:val="52C84ED8"/>
    <w:rsid w:val="530D4FE1"/>
    <w:rsid w:val="53C011A0"/>
    <w:rsid w:val="54F95E44"/>
    <w:rsid w:val="554F29F0"/>
    <w:rsid w:val="58382B00"/>
    <w:rsid w:val="5839511C"/>
    <w:rsid w:val="58D17048"/>
    <w:rsid w:val="5A140AAC"/>
    <w:rsid w:val="5A415416"/>
    <w:rsid w:val="5A815ED1"/>
    <w:rsid w:val="5AD17EC1"/>
    <w:rsid w:val="5AF36CC5"/>
    <w:rsid w:val="5C357387"/>
    <w:rsid w:val="5C9E573D"/>
    <w:rsid w:val="5DD40BD5"/>
    <w:rsid w:val="5FDE785C"/>
    <w:rsid w:val="60EC6425"/>
    <w:rsid w:val="61202383"/>
    <w:rsid w:val="622E296B"/>
    <w:rsid w:val="62335037"/>
    <w:rsid w:val="62434A10"/>
    <w:rsid w:val="63E4496E"/>
    <w:rsid w:val="64234664"/>
    <w:rsid w:val="64B87A62"/>
    <w:rsid w:val="667765B8"/>
    <w:rsid w:val="667EB0FE"/>
    <w:rsid w:val="6808604B"/>
    <w:rsid w:val="69061D0E"/>
    <w:rsid w:val="698536CB"/>
    <w:rsid w:val="6A4A1B86"/>
    <w:rsid w:val="6A502E2E"/>
    <w:rsid w:val="6A96164E"/>
    <w:rsid w:val="6A995680"/>
    <w:rsid w:val="6B1747F7"/>
    <w:rsid w:val="6C5E35D9"/>
    <w:rsid w:val="6D2C09A1"/>
    <w:rsid w:val="6D6C10DC"/>
    <w:rsid w:val="6ECE6145"/>
    <w:rsid w:val="6FFDF2D3"/>
    <w:rsid w:val="703419A7"/>
    <w:rsid w:val="719C5A56"/>
    <w:rsid w:val="71ED24EC"/>
    <w:rsid w:val="733F679F"/>
    <w:rsid w:val="757F4CA9"/>
    <w:rsid w:val="75C7191E"/>
    <w:rsid w:val="75D457BF"/>
    <w:rsid w:val="760D2EFB"/>
    <w:rsid w:val="76571F4C"/>
    <w:rsid w:val="77AF65C1"/>
    <w:rsid w:val="787E7C64"/>
    <w:rsid w:val="79515378"/>
    <w:rsid w:val="7B2752D3"/>
    <w:rsid w:val="7BDB013D"/>
    <w:rsid w:val="7BFF7F08"/>
    <w:rsid w:val="7C1923A1"/>
    <w:rsid w:val="7C3C1C14"/>
    <w:rsid w:val="7CBB1486"/>
    <w:rsid w:val="7CBC4282"/>
    <w:rsid w:val="7DED283E"/>
    <w:rsid w:val="7E5F290D"/>
    <w:rsid w:val="7F7D0E8F"/>
    <w:rsid w:val="98DB9D5A"/>
    <w:rsid w:val="9E7FBB0E"/>
    <w:rsid w:val="B7E80F1B"/>
    <w:rsid w:val="BB4F1BCF"/>
    <w:rsid w:val="BCB60DC0"/>
    <w:rsid w:val="CE7DD411"/>
    <w:rsid w:val="DFBF6531"/>
    <w:rsid w:val="F35F15BC"/>
    <w:rsid w:val="F4CD2A5E"/>
    <w:rsid w:val="F7FBF0DB"/>
    <w:rsid w:val="F9CF29F6"/>
    <w:rsid w:val="FA5EFD67"/>
    <w:rsid w:val="FF8ECE91"/>
    <w:rsid w:val="FFDB54A0"/>
    <w:rsid w:val="FFFFA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56"/>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cstheme="minorBidi"/>
      <w:szCs w:val="22"/>
    </w:rPr>
  </w:style>
  <w:style w:type="paragraph" w:styleId="4">
    <w:name w:val="heading 3"/>
    <w:basedOn w:val="1"/>
    <w:next w:val="1"/>
    <w:link w:val="53"/>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4"/>
    <w:basedOn w:val="1"/>
    <w:next w:val="1"/>
    <w:link w:val="6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260"/>
      <w:jc w:val="left"/>
    </w:pPr>
    <w:rPr>
      <w:rFonts w:asciiTheme="minorHAnsi" w:hAnsiTheme="minorHAnsi" w:eastAsiaTheme="minorEastAsia" w:cstheme="minorHAnsi"/>
      <w:sz w:val="18"/>
      <w:szCs w:val="18"/>
    </w:rPr>
  </w:style>
  <w:style w:type="paragraph" w:styleId="7">
    <w:name w:val="annotation text"/>
    <w:basedOn w:val="1"/>
    <w:link w:val="70"/>
    <w:semiHidden/>
    <w:unhideWhenUsed/>
    <w:qFormat/>
    <w:uiPriority w:val="99"/>
    <w:pPr>
      <w:jc w:val="left"/>
    </w:pPr>
  </w:style>
  <w:style w:type="paragraph" w:styleId="8">
    <w:name w:val="Body Text 3"/>
    <w:basedOn w:val="1"/>
    <w:link w:val="31"/>
    <w:qFormat/>
    <w:uiPriority w:val="0"/>
    <w:pPr>
      <w:widowControl/>
    </w:pPr>
    <w:rPr>
      <w:rFonts w:ascii="Times New Roman" w:hAnsi="Times New Roman" w:eastAsia="仿宋_GB2312"/>
      <w:kern w:val="0"/>
      <w:sz w:val="28"/>
      <w:szCs w:val="20"/>
    </w:rPr>
  </w:style>
  <w:style w:type="paragraph" w:styleId="9">
    <w:name w:val="toc 5"/>
    <w:basedOn w:val="1"/>
    <w:next w:val="1"/>
    <w:semiHidden/>
    <w:unhideWhenUsed/>
    <w:qFormat/>
    <w:uiPriority w:val="39"/>
    <w:pPr>
      <w:ind w:left="840"/>
      <w:jc w:val="left"/>
    </w:pPr>
    <w:rPr>
      <w:rFonts w:asciiTheme="minorHAnsi" w:hAnsiTheme="minorHAnsi" w:eastAsiaTheme="minorEastAsia" w:cstheme="minorHAnsi"/>
      <w:sz w:val="18"/>
      <w:szCs w:val="18"/>
    </w:rPr>
  </w:style>
  <w:style w:type="paragraph" w:styleId="10">
    <w:name w:val="toc 3"/>
    <w:basedOn w:val="1"/>
    <w:next w:val="1"/>
    <w:semiHidden/>
    <w:unhideWhenUsed/>
    <w:qFormat/>
    <w:uiPriority w:val="39"/>
    <w:pPr>
      <w:ind w:left="420"/>
      <w:jc w:val="left"/>
    </w:pPr>
    <w:rPr>
      <w:rFonts w:asciiTheme="minorHAnsi" w:hAnsiTheme="minorHAnsi" w:eastAsiaTheme="minorEastAsia" w:cstheme="minorHAnsi"/>
      <w:i/>
      <w:iCs/>
      <w:sz w:val="20"/>
      <w:szCs w:val="20"/>
    </w:rPr>
  </w:style>
  <w:style w:type="paragraph" w:styleId="11">
    <w:name w:val="toc 8"/>
    <w:basedOn w:val="1"/>
    <w:next w:val="1"/>
    <w:semiHidden/>
    <w:unhideWhenUsed/>
    <w:qFormat/>
    <w:uiPriority w:val="39"/>
    <w:pPr>
      <w:ind w:left="1470"/>
      <w:jc w:val="left"/>
    </w:pPr>
    <w:rPr>
      <w:rFonts w:asciiTheme="minorHAnsi" w:hAnsiTheme="minorHAnsi" w:eastAsiaTheme="minorEastAsia" w:cstheme="minorHAnsi"/>
      <w:sz w:val="18"/>
      <w:szCs w:val="18"/>
    </w:rPr>
  </w:style>
  <w:style w:type="paragraph" w:styleId="12">
    <w:name w:val="Balloon Text"/>
    <w:basedOn w:val="1"/>
    <w:link w:val="47"/>
    <w:semiHidden/>
    <w:unhideWhenUsed/>
    <w:qFormat/>
    <w:uiPriority w:val="99"/>
    <w:rPr>
      <w:rFonts w:asciiTheme="minorHAnsi" w:hAnsiTheme="minorHAnsi" w:eastAsiaTheme="minorEastAsia" w:cstheme="minorBidi"/>
      <w:sz w:val="18"/>
      <w:szCs w:val="18"/>
    </w:rPr>
  </w:style>
  <w:style w:type="paragraph" w:styleId="13">
    <w:name w:val="footer"/>
    <w:basedOn w:val="1"/>
    <w:link w:val="4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43"/>
    <w:qFormat/>
    <w:uiPriority w:val="99"/>
    <w:pPr>
      <w:tabs>
        <w:tab w:val="center" w:pos="4153"/>
        <w:tab w:val="right" w:pos="8306"/>
      </w:tabs>
      <w:snapToGrid w:val="0"/>
      <w:jc w:val="center"/>
    </w:pPr>
    <w:rPr>
      <w:rFonts w:ascii="Times New Roman" w:hAnsi="Times New Roman"/>
      <w:sz w:val="18"/>
      <w:szCs w:val="18"/>
    </w:rPr>
  </w:style>
  <w:style w:type="paragraph" w:styleId="15">
    <w:name w:val="toc 1"/>
    <w:next w:val="1"/>
    <w:qFormat/>
    <w:uiPriority w:val="39"/>
    <w:pPr>
      <w:widowControl w:val="0"/>
      <w:spacing w:before="120" w:after="120"/>
    </w:pPr>
    <w:rPr>
      <w:rFonts w:asciiTheme="minorHAnsi" w:hAnsiTheme="minorHAnsi" w:eastAsiaTheme="minorEastAsia" w:cstheme="minorHAnsi"/>
      <w:b/>
      <w:bCs/>
      <w:caps/>
      <w:kern w:val="2"/>
      <w:lang w:val="en-US" w:eastAsia="zh-CN" w:bidi="ar-SA"/>
    </w:rPr>
  </w:style>
  <w:style w:type="paragraph" w:styleId="16">
    <w:name w:val="toc 4"/>
    <w:basedOn w:val="1"/>
    <w:next w:val="1"/>
    <w:semiHidden/>
    <w:unhideWhenUsed/>
    <w:qFormat/>
    <w:uiPriority w:val="39"/>
    <w:pPr>
      <w:ind w:left="630"/>
      <w:jc w:val="left"/>
    </w:pPr>
    <w:rPr>
      <w:rFonts w:asciiTheme="minorHAnsi" w:hAnsiTheme="minorHAnsi" w:eastAsiaTheme="minorEastAsia" w:cstheme="minorHAnsi"/>
      <w:sz w:val="18"/>
      <w:szCs w:val="18"/>
    </w:rPr>
  </w:style>
  <w:style w:type="paragraph" w:styleId="17">
    <w:name w:val="toc 6"/>
    <w:basedOn w:val="1"/>
    <w:next w:val="1"/>
    <w:semiHidden/>
    <w:unhideWhenUsed/>
    <w:qFormat/>
    <w:uiPriority w:val="39"/>
    <w:pPr>
      <w:ind w:left="1050"/>
      <w:jc w:val="left"/>
    </w:pPr>
    <w:rPr>
      <w:rFonts w:asciiTheme="minorHAnsi" w:hAnsiTheme="minorHAnsi" w:eastAsiaTheme="minorEastAsia" w:cstheme="minorHAnsi"/>
      <w:sz w:val="18"/>
      <w:szCs w:val="18"/>
    </w:rPr>
  </w:style>
  <w:style w:type="paragraph" w:styleId="18">
    <w:name w:val="toc 2"/>
    <w:basedOn w:val="1"/>
    <w:next w:val="1"/>
    <w:unhideWhenUsed/>
    <w:qFormat/>
    <w:uiPriority w:val="39"/>
    <w:pPr>
      <w:ind w:left="210"/>
      <w:jc w:val="left"/>
    </w:pPr>
    <w:rPr>
      <w:rFonts w:asciiTheme="minorHAnsi" w:hAnsiTheme="minorHAnsi" w:eastAsiaTheme="minorEastAsia" w:cstheme="minorHAnsi"/>
      <w:smallCaps/>
      <w:sz w:val="20"/>
      <w:szCs w:val="20"/>
    </w:rPr>
  </w:style>
  <w:style w:type="paragraph" w:styleId="19">
    <w:name w:val="toc 9"/>
    <w:basedOn w:val="1"/>
    <w:next w:val="1"/>
    <w:semiHidden/>
    <w:unhideWhenUsed/>
    <w:qFormat/>
    <w:uiPriority w:val="39"/>
    <w:pPr>
      <w:ind w:left="1680"/>
      <w:jc w:val="left"/>
    </w:pPr>
    <w:rPr>
      <w:rFonts w:asciiTheme="minorHAnsi" w:hAnsiTheme="minorHAnsi" w:eastAsiaTheme="minorEastAsia" w:cstheme="minorHAnsi"/>
      <w:sz w:val="18"/>
      <w:szCs w:val="18"/>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7"/>
    <w:next w:val="7"/>
    <w:link w:val="71"/>
    <w:semiHidden/>
    <w:unhideWhenUsed/>
    <w:qFormat/>
    <w:uiPriority w:val="99"/>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page number"/>
    <w:basedOn w:val="24"/>
    <w:semiHidden/>
    <w:unhideWhenUsed/>
    <w:qFormat/>
    <w:uiPriority w:val="99"/>
  </w:style>
  <w:style w:type="character" w:styleId="28">
    <w:name w:val="Emphasis"/>
    <w:basedOn w:val="24"/>
    <w:qFormat/>
    <w:uiPriority w:val="20"/>
    <w:rPr>
      <w:i/>
      <w:iCs/>
    </w:rPr>
  </w:style>
  <w:style w:type="character" w:styleId="29">
    <w:name w:val="Hyperlink"/>
    <w:basedOn w:val="24"/>
    <w:unhideWhenUsed/>
    <w:qFormat/>
    <w:uiPriority w:val="99"/>
    <w:rPr>
      <w:color w:val="0000FF" w:themeColor="hyperlink"/>
      <w:u w:val="single"/>
      <w14:textFill>
        <w14:solidFill>
          <w14:schemeClr w14:val="hlink"/>
        </w14:solidFill>
      </w14:textFill>
    </w:rPr>
  </w:style>
  <w:style w:type="character" w:styleId="30">
    <w:name w:val="annotation reference"/>
    <w:basedOn w:val="24"/>
    <w:semiHidden/>
    <w:unhideWhenUsed/>
    <w:qFormat/>
    <w:uiPriority w:val="99"/>
    <w:rPr>
      <w:sz w:val="21"/>
      <w:szCs w:val="21"/>
    </w:rPr>
  </w:style>
  <w:style w:type="character" w:customStyle="1" w:styleId="31">
    <w:name w:val="正文文本 3 字符"/>
    <w:basedOn w:val="24"/>
    <w:link w:val="8"/>
    <w:qFormat/>
    <w:uiPriority w:val="0"/>
    <w:rPr>
      <w:rFonts w:ascii="Times New Roman" w:hAnsi="Times New Roman" w:eastAsia="仿宋_GB2312" w:cs="Times New Roman"/>
      <w:kern w:val="0"/>
      <w:sz w:val="28"/>
      <w:szCs w:val="20"/>
    </w:rPr>
  </w:style>
  <w:style w:type="character" w:customStyle="1" w:styleId="32">
    <w:name w:val="章标题 Char"/>
    <w:link w:val="33"/>
    <w:qFormat/>
    <w:uiPriority w:val="0"/>
    <w:rPr>
      <w:rFonts w:ascii="黑体" w:eastAsia="黑体"/>
    </w:rPr>
  </w:style>
  <w:style w:type="paragraph" w:customStyle="1" w:styleId="33">
    <w:name w:val="章标题"/>
    <w:next w:val="34"/>
    <w:link w:val="32"/>
    <w:qFormat/>
    <w:uiPriority w:val="0"/>
    <w:pPr>
      <w:numPr>
        <w:ilvl w:val="1"/>
        <w:numId w:val="1"/>
      </w:numPr>
      <w:spacing w:beforeLines="50" w:afterLines="50"/>
      <w:jc w:val="both"/>
      <w:outlineLvl w:val="1"/>
    </w:pPr>
    <w:rPr>
      <w:rFonts w:ascii="黑体" w:eastAsia="黑体" w:hAnsiTheme="minorHAnsi" w:cstheme="minorBidi"/>
      <w:kern w:val="2"/>
      <w:sz w:val="21"/>
      <w:szCs w:val="22"/>
      <w:lang w:val="en-US" w:eastAsia="zh-CN" w:bidi="ar-SA"/>
    </w:rPr>
  </w:style>
  <w:style w:type="paragraph" w:customStyle="1" w:styleId="34">
    <w:name w:val="段"/>
    <w:link w:val="52"/>
    <w:qFormat/>
    <w:uiPriority w:val="0"/>
    <w:pPr>
      <w:tabs>
        <w:tab w:val="center" w:pos="4201"/>
        <w:tab w:val="right" w:leader="dot" w:pos="9298"/>
      </w:tabs>
      <w:autoSpaceDE w:val="0"/>
      <w:autoSpaceDN w:val="0"/>
      <w:spacing w:line="360" w:lineRule="auto"/>
      <w:ind w:firstLine="480" w:firstLineChars="200"/>
      <w:jc w:val="both"/>
    </w:pPr>
    <w:rPr>
      <w:rFonts w:asciiTheme="minorHAnsi" w:hAnsiTheme="minorHAnsi" w:eastAsiaTheme="minorEastAsia" w:cstheme="minorHAnsi"/>
      <w:sz w:val="24"/>
      <w:szCs w:val="24"/>
      <w:lang w:val="en-US" w:eastAsia="zh-CN" w:bidi="ar-SA"/>
    </w:rPr>
  </w:style>
  <w:style w:type="character" w:customStyle="1" w:styleId="35">
    <w:name w:val="一级条标题 Char"/>
    <w:link w:val="36"/>
    <w:qFormat/>
    <w:uiPriority w:val="0"/>
    <w:rPr>
      <w:rFonts w:eastAsia="黑体"/>
    </w:rPr>
  </w:style>
  <w:style w:type="paragraph" w:customStyle="1" w:styleId="36">
    <w:name w:val="一级条标题"/>
    <w:next w:val="34"/>
    <w:link w:val="35"/>
    <w:qFormat/>
    <w:uiPriority w:val="0"/>
    <w:pPr>
      <w:numPr>
        <w:ilvl w:val="2"/>
        <w:numId w:val="1"/>
      </w:numPr>
      <w:outlineLvl w:val="2"/>
    </w:pPr>
    <w:rPr>
      <w:rFonts w:eastAsia="黑体" w:asciiTheme="minorHAnsi" w:hAnsiTheme="minorHAnsi" w:cstheme="minorBidi"/>
      <w:kern w:val="2"/>
      <w:sz w:val="21"/>
      <w:szCs w:val="22"/>
      <w:lang w:val="en-US" w:eastAsia="zh-CN" w:bidi="ar-SA"/>
    </w:rPr>
  </w:style>
  <w:style w:type="character" w:customStyle="1" w:styleId="37">
    <w:name w:val="页眉 Char"/>
    <w:basedOn w:val="24"/>
    <w:semiHidden/>
    <w:qFormat/>
    <w:uiPriority w:val="99"/>
    <w:rPr>
      <w:sz w:val="18"/>
      <w:szCs w:val="18"/>
    </w:rPr>
  </w:style>
  <w:style w:type="paragraph" w:customStyle="1" w:styleId="38">
    <w:name w:val="目次、标准名称标题"/>
    <w:basedOn w:val="1"/>
    <w:next w:val="1"/>
    <w:qFormat/>
    <w:uiPriority w:val="0"/>
    <w:pPr>
      <w:widowControl/>
      <w:shd w:val="clear" w:color="FFFFFF" w:fill="FFFFFF"/>
      <w:spacing w:line="360" w:lineRule="exact"/>
      <w:jc w:val="center"/>
      <w:outlineLvl w:val="0"/>
    </w:pPr>
    <w:rPr>
      <w:rFonts w:ascii="黑体" w:hAnsi="Times New Roman" w:eastAsia="黑体"/>
      <w:kern w:val="0"/>
      <w:sz w:val="32"/>
      <w:szCs w:val="20"/>
    </w:rPr>
  </w:style>
  <w:style w:type="paragraph" w:customStyle="1" w:styleId="39">
    <w:name w:val="二级条标题"/>
    <w:basedOn w:val="36"/>
    <w:next w:val="34"/>
    <w:qFormat/>
    <w:uiPriority w:val="0"/>
    <w:pPr>
      <w:numPr>
        <w:ilvl w:val="3"/>
      </w:numPr>
      <w:tabs>
        <w:tab w:val="left" w:pos="435"/>
      </w:tabs>
      <w:ind w:left="435" w:hanging="435"/>
      <w:outlineLvl w:val="3"/>
    </w:pPr>
  </w:style>
  <w:style w:type="paragraph" w:customStyle="1" w:styleId="40">
    <w:name w:val="注：（正文）"/>
    <w:basedOn w:val="1"/>
    <w:next w:val="34"/>
    <w:qFormat/>
    <w:uiPriority w:val="0"/>
    <w:pPr>
      <w:numPr>
        <w:ilvl w:val="0"/>
        <w:numId w:val="2"/>
      </w:numPr>
      <w:tabs>
        <w:tab w:val="left" w:pos="1080"/>
      </w:tabs>
      <w:autoSpaceDE w:val="0"/>
      <w:autoSpaceDN w:val="0"/>
      <w:ind w:left="726" w:hanging="363"/>
    </w:pPr>
    <w:rPr>
      <w:rFonts w:ascii="宋体" w:hAnsi="Times New Roman"/>
      <w:kern w:val="0"/>
      <w:sz w:val="18"/>
      <w:szCs w:val="18"/>
    </w:rPr>
  </w:style>
  <w:style w:type="paragraph" w:customStyle="1" w:styleId="41">
    <w:name w:val="前言、引言标题"/>
    <w:next w:val="1"/>
    <w:qFormat/>
    <w:uiPriority w:val="0"/>
    <w:pPr>
      <w:shd w:val="clear" w:color="FFFFFF" w:fill="FFFFFF"/>
      <w:spacing w:before="640" w:after="560"/>
      <w:ind w:left="360"/>
      <w:jc w:val="center"/>
      <w:outlineLvl w:val="0"/>
    </w:pPr>
    <w:rPr>
      <w:rFonts w:ascii="黑体" w:hAnsi="Times New Roman" w:eastAsia="黑体" w:cs="Times New Roman"/>
      <w:sz w:val="32"/>
      <w:lang w:val="en-US" w:eastAsia="zh-CN" w:bidi="ar-SA"/>
    </w:rPr>
  </w:style>
  <w:style w:type="paragraph" w:customStyle="1" w:styleId="42">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3">
    <w:name w:val="页眉 字符"/>
    <w:link w:val="14"/>
    <w:qFormat/>
    <w:uiPriority w:val="99"/>
    <w:rPr>
      <w:rFonts w:ascii="Times New Roman" w:hAnsi="Times New Roman" w:eastAsia="宋体" w:cs="Times New Roman"/>
      <w:sz w:val="18"/>
      <w:szCs w:val="18"/>
    </w:rPr>
  </w:style>
  <w:style w:type="character" w:customStyle="1" w:styleId="44">
    <w:name w:val="页脚 字符"/>
    <w:basedOn w:val="24"/>
    <w:link w:val="13"/>
    <w:qFormat/>
    <w:uiPriority w:val="99"/>
    <w:rPr>
      <w:sz w:val="18"/>
      <w:szCs w:val="18"/>
    </w:rPr>
  </w:style>
  <w:style w:type="paragraph" w:styleId="45">
    <w:name w:val="List Paragraph"/>
    <w:basedOn w:val="1"/>
    <w:unhideWhenUsed/>
    <w:qFormat/>
    <w:uiPriority w:val="99"/>
    <w:pPr>
      <w:ind w:firstLine="420" w:firstLineChars="200"/>
    </w:pPr>
    <w:rPr>
      <w:rFonts w:asciiTheme="minorHAnsi" w:hAnsiTheme="minorHAnsi" w:eastAsiaTheme="minorEastAsia" w:cstheme="minorBidi"/>
      <w:szCs w:val="24"/>
    </w:rPr>
  </w:style>
  <w:style w:type="character" w:customStyle="1" w:styleId="46">
    <w:name w:val="未处理的提及1"/>
    <w:basedOn w:val="24"/>
    <w:semiHidden/>
    <w:unhideWhenUsed/>
    <w:qFormat/>
    <w:uiPriority w:val="99"/>
    <w:rPr>
      <w:color w:val="605E5C"/>
      <w:shd w:val="clear" w:color="auto" w:fill="E1DFDD"/>
    </w:rPr>
  </w:style>
  <w:style w:type="character" w:customStyle="1" w:styleId="47">
    <w:name w:val="批注框文本 字符"/>
    <w:basedOn w:val="24"/>
    <w:link w:val="12"/>
    <w:semiHidden/>
    <w:qFormat/>
    <w:uiPriority w:val="99"/>
    <w:rPr>
      <w:sz w:val="18"/>
      <w:szCs w:val="18"/>
    </w:rPr>
  </w:style>
  <w:style w:type="paragraph" w:customStyle="1" w:styleId="48">
    <w:name w:val="正文 + 宋体"/>
    <w:basedOn w:val="1"/>
    <w:qFormat/>
    <w:uiPriority w:val="0"/>
    <w:pPr>
      <w:spacing w:line="360" w:lineRule="auto"/>
      <w:ind w:firstLine="480" w:firstLineChars="200"/>
    </w:pPr>
    <w:rPr>
      <w:rFonts w:ascii="宋体" w:hAnsi="宋体"/>
      <w:sz w:val="24"/>
      <w:szCs w:val="24"/>
    </w:rPr>
  </w:style>
  <w:style w:type="character" w:customStyle="1" w:styleId="49">
    <w:name w:val="fontstyle01"/>
    <w:basedOn w:val="24"/>
    <w:qFormat/>
    <w:uiPriority w:val="0"/>
    <w:rPr>
      <w:rFonts w:hint="eastAsia" w:ascii="仿宋" w:hAnsi="仿宋" w:eastAsia="仿宋"/>
      <w:color w:val="000000"/>
      <w:sz w:val="30"/>
      <w:szCs w:val="30"/>
    </w:rPr>
  </w:style>
  <w:style w:type="paragraph" w:customStyle="1" w:styleId="50">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character" w:customStyle="1" w:styleId="51">
    <w:name w:val="未处理的提及2"/>
    <w:basedOn w:val="24"/>
    <w:semiHidden/>
    <w:unhideWhenUsed/>
    <w:qFormat/>
    <w:uiPriority w:val="99"/>
    <w:rPr>
      <w:color w:val="605E5C"/>
      <w:shd w:val="clear" w:color="auto" w:fill="E1DFDD"/>
    </w:rPr>
  </w:style>
  <w:style w:type="character" w:customStyle="1" w:styleId="52">
    <w:name w:val="段 Char"/>
    <w:basedOn w:val="24"/>
    <w:link w:val="34"/>
    <w:qFormat/>
    <w:uiPriority w:val="0"/>
    <w:rPr>
      <w:rFonts w:asciiTheme="minorHAnsi" w:hAnsiTheme="minorHAnsi" w:eastAsiaTheme="minorEastAsia" w:cstheme="minorHAnsi"/>
      <w:sz w:val="24"/>
      <w:szCs w:val="24"/>
    </w:rPr>
  </w:style>
  <w:style w:type="character" w:customStyle="1" w:styleId="53">
    <w:name w:val="标题 3 字符"/>
    <w:basedOn w:val="24"/>
    <w:link w:val="4"/>
    <w:semiHidden/>
    <w:qFormat/>
    <w:uiPriority w:val="9"/>
    <w:rPr>
      <w:rFonts w:asciiTheme="minorHAnsi" w:hAnsiTheme="minorHAnsi" w:eastAsiaTheme="minorEastAsia" w:cstheme="minorBidi"/>
      <w:b/>
      <w:bCs/>
      <w:kern w:val="2"/>
      <w:sz w:val="32"/>
      <w:szCs w:val="32"/>
    </w:rPr>
  </w:style>
  <w:style w:type="paragraph" w:customStyle="1" w:styleId="54">
    <w:name w:val="s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5">
    <w:name w:val="bumpedfont20"/>
    <w:basedOn w:val="24"/>
    <w:qFormat/>
    <w:uiPriority w:val="0"/>
  </w:style>
  <w:style w:type="character" w:customStyle="1" w:styleId="56">
    <w:name w:val="标题 1 字符"/>
    <w:basedOn w:val="24"/>
    <w:link w:val="2"/>
    <w:qFormat/>
    <w:uiPriority w:val="9"/>
    <w:rPr>
      <w:rFonts w:asciiTheme="minorHAnsi" w:hAnsiTheme="minorHAnsi" w:eastAsiaTheme="minorEastAsia" w:cstheme="minorBidi"/>
      <w:b/>
      <w:bCs/>
      <w:kern w:val="44"/>
      <w:sz w:val="44"/>
      <w:szCs w:val="44"/>
    </w:rPr>
  </w:style>
  <w:style w:type="paragraph" w:customStyle="1" w:styleId="5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1">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2">
    <w:name w:val="标题 4 字符"/>
    <w:basedOn w:val="24"/>
    <w:link w:val="5"/>
    <w:semiHidden/>
    <w:qFormat/>
    <w:uiPriority w:val="9"/>
    <w:rPr>
      <w:rFonts w:asciiTheme="majorHAnsi" w:hAnsiTheme="majorHAnsi" w:eastAsiaTheme="majorEastAsia" w:cstheme="majorBidi"/>
      <w:b/>
      <w:bCs/>
      <w:kern w:val="2"/>
      <w:sz w:val="28"/>
      <w:szCs w:val="28"/>
    </w:rPr>
  </w:style>
  <w:style w:type="character" w:customStyle="1" w:styleId="63">
    <w:name w:val="label"/>
    <w:basedOn w:val="24"/>
    <w:qFormat/>
    <w:uiPriority w:val="0"/>
  </w:style>
  <w:style w:type="character" w:customStyle="1" w:styleId="64">
    <w:name w:val="cell-value"/>
    <w:basedOn w:val="24"/>
    <w:qFormat/>
    <w:uiPriority w:val="0"/>
  </w:style>
  <w:style w:type="character" w:customStyle="1" w:styleId="65">
    <w:name w:val="cell"/>
    <w:basedOn w:val="24"/>
    <w:qFormat/>
    <w:uiPriority w:val="0"/>
  </w:style>
  <w:style w:type="character" w:customStyle="1" w:styleId="66">
    <w:name w:val="quality-sign"/>
    <w:basedOn w:val="24"/>
    <w:qFormat/>
    <w:uiPriority w:val="0"/>
  </w:style>
  <w:style w:type="character" w:customStyle="1" w:styleId="67">
    <w:name w:val="quality-text"/>
    <w:basedOn w:val="24"/>
    <w:qFormat/>
    <w:uiPriority w:val="0"/>
  </w:style>
  <w:style w:type="character" w:customStyle="1" w:styleId="68">
    <w:name w:val="block"/>
    <w:basedOn w:val="24"/>
    <w:qFormat/>
    <w:uiPriority w:val="0"/>
  </w:style>
  <w:style w:type="paragraph" w:customStyle="1" w:styleId="69">
    <w:name w:val="修订4"/>
    <w:hidden/>
    <w:semiHidden/>
    <w:qFormat/>
    <w:uiPriority w:val="99"/>
    <w:rPr>
      <w:rFonts w:ascii="Calibri" w:hAnsi="Calibri" w:eastAsia="宋体" w:cs="Times New Roman"/>
      <w:kern w:val="2"/>
      <w:sz w:val="21"/>
      <w:szCs w:val="21"/>
      <w:lang w:val="en-US" w:eastAsia="zh-CN" w:bidi="ar-SA"/>
    </w:rPr>
  </w:style>
  <w:style w:type="character" w:customStyle="1" w:styleId="70">
    <w:name w:val="批注文字 字符"/>
    <w:basedOn w:val="24"/>
    <w:link w:val="7"/>
    <w:semiHidden/>
    <w:qFormat/>
    <w:uiPriority w:val="99"/>
    <w:rPr>
      <w:rFonts w:ascii="Calibri" w:hAnsi="Calibri"/>
      <w:kern w:val="2"/>
      <w:sz w:val="21"/>
      <w:szCs w:val="21"/>
    </w:rPr>
  </w:style>
  <w:style w:type="character" w:customStyle="1" w:styleId="71">
    <w:name w:val="批注主题 字符"/>
    <w:basedOn w:val="70"/>
    <w:link w:val="21"/>
    <w:semiHidden/>
    <w:qFormat/>
    <w:uiPriority w:val="99"/>
    <w:rPr>
      <w:rFonts w:ascii="Calibri" w:hAnsi="Calibri"/>
      <w:b/>
      <w:bCs/>
      <w:kern w:val="2"/>
      <w:sz w:val="21"/>
      <w:szCs w:val="21"/>
    </w:rPr>
  </w:style>
  <w:style w:type="paragraph" w:customStyle="1" w:styleId="72">
    <w:name w:val="修订5"/>
    <w:hidden/>
    <w:semiHidden/>
    <w:qFormat/>
    <w:uiPriority w:val="99"/>
    <w:rPr>
      <w:rFonts w:ascii="Calibri" w:hAnsi="Calibri" w:eastAsia="宋体" w:cs="Times New Roman"/>
      <w:kern w:val="2"/>
      <w:sz w:val="21"/>
      <w:szCs w:val="21"/>
      <w:lang w:val="en-US" w:eastAsia="zh-CN" w:bidi="ar-SA"/>
    </w:rPr>
  </w:style>
  <w:style w:type="paragraph" w:customStyle="1" w:styleId="73">
    <w:name w:val="修订6"/>
    <w:hidden/>
    <w:unhideWhenUsed/>
    <w:qFormat/>
    <w:uiPriority w:val="99"/>
    <w:rPr>
      <w:rFonts w:ascii="Calibri" w:hAnsi="Calibri" w:eastAsia="宋体" w:cs="Times New Roman"/>
      <w:kern w:val="2"/>
      <w:sz w:val="21"/>
      <w:szCs w:val="21"/>
      <w:lang w:val="en-US" w:eastAsia="zh-CN" w:bidi="ar-SA"/>
    </w:rPr>
  </w:style>
  <w:style w:type="paragraph" w:customStyle="1" w:styleId="74">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9652</Words>
  <Characters>11779</Characters>
  <Lines>207</Lines>
  <Paragraphs>58</Paragraphs>
  <TotalTime>0</TotalTime>
  <ScaleCrop>false</ScaleCrop>
  <LinksUpToDate>false</LinksUpToDate>
  <CharactersWithSpaces>12012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2024-12-21T20:31:00Z</dcterms:created>
  <dc:creator>fengxue</dc:creator>
  <cp:lastModifiedBy>谢炜烨</cp:lastModifiedBy>
  <cp:lastPrinted>2024-12-06T06:32:00Z</cp:lastPrinted>
  <dcterms:modified xsi:type="dcterms:W3CDTF">2024-12-31T01:22:31Z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4B9F364C1F5547C38CD2C86FFEBD4269_13</vt:lpwstr>
  </property>
  <property fmtid="{D5CDD505-2E9C-101B-9397-08002B2CF9AE}" pid="4" name="KSOTemplateDocerSaveRecord">
    <vt:lpwstr>eyJoZGlkIjoiMzk4NTgxYWZkMWUzZTRlZTdlN2ZjYjY5Y2UyODA5ODAiLCJ1c2VySWQiOiI1MTAzNDExNjUifQ==</vt:lpwstr>
  </property>
</Properties>
</file>