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2022年度中医药十大学术进展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为贯彻落实党的二十大精神和《</w:t>
      </w:r>
      <w:r>
        <w:rPr>
          <w:rFonts w:hint="eastAsia" w:ascii="Times New Roman" w:hAnsi="Times New Roman" w:eastAsia="仿宋_GB2312" w:cs="Times New Roman"/>
          <w:sz w:val="32"/>
          <w:szCs w:val="32"/>
        </w:rPr>
        <w:t>中共中央 国务院</w:t>
      </w:r>
      <w:r>
        <w:rPr>
          <w:rFonts w:ascii="Times New Roman" w:hAnsi="Times New Roman" w:eastAsia="仿宋_GB2312" w:cs="Times New Roman"/>
          <w:sz w:val="32"/>
          <w:szCs w:val="32"/>
        </w:rPr>
        <w:t>关于促进中医药传承创新发展的意见》，定期梳理总结中医药研究成果，动态呈现中医药学术进展，充分发挥学术团体的学术引领作用，中华中医药学会组织开展</w:t>
      </w:r>
      <w:r>
        <w:rPr>
          <w:rFonts w:hint="eastAsia" w:ascii="Times New Roman" w:hAnsi="Times New Roman" w:eastAsia="仿宋_GB2312" w:cs="Times New Roman"/>
          <w:sz w:val="32"/>
          <w:szCs w:val="32"/>
        </w:rPr>
        <w:t>了</w:t>
      </w:r>
      <w:r>
        <w:rPr>
          <w:rFonts w:ascii="Times New Roman" w:hAnsi="Times New Roman" w:eastAsia="仿宋_GB2312" w:cs="Times New Roman"/>
          <w:sz w:val="32"/>
          <w:szCs w:val="32"/>
        </w:rPr>
        <w:t xml:space="preserve"> 2022 年度中医药十大学术进展遴选工作。本年度遴选工作坚持“四个面向”，破除“四唯”，突出解决临床问题、回答科学问题、引领行业发展，体现探索性与前瞻性、创新性与突破性，聚焦中医药基础研究和应用基础研究领域取得的新规律、新发现、新方法、新产品、新理论。经动态收集、初审、复审、终审等工作程序，确定 2022 年度中医药十大学术进展。</w:t>
      </w:r>
    </w:p>
    <w:p>
      <w:pPr>
        <w:spacing w:before="156" w:beforeLines="50"/>
        <w:rPr>
          <w:rFonts w:ascii="Times New Roman" w:hAnsi="Times New Roman" w:eastAsia="黑体" w:cs="Times New Roman"/>
          <w:color w:val="1A0FF9"/>
          <w:sz w:val="32"/>
          <w:szCs w:val="32"/>
        </w:rPr>
      </w:pPr>
      <w:r>
        <w:rPr>
          <w:rFonts w:ascii="Times New Roman" w:hAnsi="Times New Roman" w:eastAsia="黑体" w:cs="Times New Roman"/>
          <w:color w:val="1A0FF9"/>
          <w:sz w:val="32"/>
          <w:szCs w:val="32"/>
        </w:rPr>
        <w:t>一、金花清感颗粒、疏风解毒胶囊、荆银固表方等中医药治疗新冠病毒感染临床研究取得新进展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首都医科大学附属北京中医医院刘清泉教授团队联合巴基斯坦卡拉奇大学、香港浸会大学等团队，在巴</w:t>
      </w:r>
      <w:bookmarkStart w:id="0" w:name="_GoBack"/>
      <w:bookmarkEnd w:id="0"/>
      <w:r>
        <w:rPr>
          <w:rFonts w:ascii="Times New Roman" w:hAnsi="Times New Roman" w:eastAsia="仿宋_GB2312" w:cs="Times New Roman"/>
          <w:sz w:val="32"/>
          <w:szCs w:val="32"/>
        </w:rPr>
        <w:t>基斯坦开展了金花清感颗粒治疗新冠病毒感染的多中心、随机、双盲、安慰剂对照临床研究，证实金花清感颗粒治疗新冠病毒感染可显著提高临床有效率，降低转重风险，缩短单项症状缓解时间。研究论文2022年发表于</w:t>
      </w:r>
      <w:r>
        <w:rPr>
          <w:rFonts w:ascii="Times New Roman" w:hAnsi="Times New Roman" w:eastAsia="仿宋_GB2312" w:cs="Times New Roman"/>
          <w:b/>
          <w:bCs/>
          <w:i/>
          <w:iCs/>
          <w:sz w:val="32"/>
          <w:szCs w:val="32"/>
        </w:rPr>
        <w:t>Frontiers in Medicine</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安徽中医药大学第一附属医院杨文明教授团队牵头开展疏风解毒胶囊治疗奥密克戎变异株感染临床研究，证实疏风解毒胶囊能显著改善奥密克戎感染的临床症状，有效缩短症状持续时间，降低转重率，提高治愈率，缩短核酸转阴时间。研究论文2022年发表于</w:t>
      </w:r>
      <w:r>
        <w:rPr>
          <w:rFonts w:ascii="Times New Roman" w:hAnsi="Times New Roman" w:eastAsia="仿宋_GB2312" w:cs="Times New Roman"/>
          <w:b/>
          <w:bCs/>
          <w:i/>
          <w:iCs/>
          <w:sz w:val="32"/>
          <w:szCs w:val="32"/>
        </w:rPr>
        <w:t>BioSci. Trends</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海中医药大学附属曙光医院高月求教授团队开展荆银固表方改善新型冠状病毒感染轻症患者的随机双盲对照试验，证实荆银固表方可提高新型冠状病毒感染轻症患者的核酸转阴率，缩短核酸转阴时间及住院时间。研究论文2022年发表于</w:t>
      </w:r>
      <w:r>
        <w:rPr>
          <w:rFonts w:ascii="Times New Roman" w:hAnsi="Times New Roman" w:eastAsia="仿宋_GB2312" w:cs="Times New Roman"/>
          <w:b/>
          <w:bCs/>
          <w:i/>
          <w:iCs/>
          <w:sz w:val="32"/>
          <w:szCs w:val="32"/>
        </w:rPr>
        <w:t>Int. J. Biol. Sci</w:t>
      </w:r>
      <w:r>
        <w:rPr>
          <w:rFonts w:ascii="Times New Roman" w:hAnsi="Times New Roman" w:eastAsia="仿宋_GB2312" w:cs="Times New Roman"/>
          <w:sz w:val="32"/>
          <w:szCs w:val="32"/>
        </w:rPr>
        <w:t>。</w:t>
      </w:r>
    </w:p>
    <w:p>
      <w:pPr>
        <w:spacing w:before="156" w:beforeLines="50"/>
        <w:rPr>
          <w:rFonts w:ascii="黑体" w:hAnsi="黑体" w:eastAsia="黑体" w:cs="Times New Roman"/>
          <w:color w:val="1A0FF9"/>
          <w:sz w:val="32"/>
          <w:szCs w:val="32"/>
        </w:rPr>
      </w:pPr>
      <w:r>
        <w:rPr>
          <w:rFonts w:ascii="黑体" w:hAnsi="黑体" w:eastAsia="黑体" w:cs="Times New Roman"/>
          <w:color w:val="1A0FF9"/>
          <w:sz w:val="32"/>
          <w:szCs w:val="32"/>
        </w:rPr>
        <w:t xml:space="preserve">二、中法国际合作临床研究——黄葵胶囊治疗糖尿病肾病蛋白尿获得高质量证据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南京中医药大学附属医院（江苏省中医院）孙伟教授团队联合法国巴黎公立医院集团比提耶-萨勒伯特医院伊莎贝拉团队共同开展“黄葵胶囊治疗糖尿病肾病 (DKD)蛋白尿的多中心、双盲双模拟、随机对照临床试验”，结果显示对于 DKD 患者 ACR 的疗效，黄葵胶囊与厄贝沙坦作用相当且更具优势，两者联合用药疗效更加显著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为DKD蛋白尿患者提供了一种新的治疗方案。研究论文2022年发表于</w:t>
      </w:r>
      <w:r>
        <w:rPr>
          <w:rFonts w:ascii="Times New Roman" w:hAnsi="Times New Roman" w:eastAsia="仿宋_GB2312" w:cs="Times New Roman"/>
          <w:b/>
          <w:bCs/>
          <w:i/>
          <w:iCs/>
          <w:sz w:val="32"/>
          <w:szCs w:val="32"/>
        </w:rPr>
        <w:t>Diabetes Care</w:t>
      </w:r>
      <w:r>
        <w:rPr>
          <w:rFonts w:ascii="Times New Roman" w:hAnsi="Times New Roman" w:eastAsia="仿宋_GB2312" w:cs="Times New Roman"/>
          <w:sz w:val="32"/>
          <w:szCs w:val="32"/>
        </w:rPr>
        <w:t>。</w:t>
      </w:r>
    </w:p>
    <w:p>
      <w:pPr>
        <w:spacing w:before="156" w:beforeLines="50"/>
        <w:rPr>
          <w:rFonts w:ascii="黑体" w:hAnsi="黑体" w:eastAsia="黑体" w:cs="Times New Roman"/>
          <w:color w:val="1A0FF9"/>
          <w:sz w:val="32"/>
          <w:szCs w:val="32"/>
        </w:rPr>
      </w:pPr>
      <w:r>
        <w:rPr>
          <w:rFonts w:ascii="黑体" w:hAnsi="黑体" w:eastAsia="黑体" w:cs="Times New Roman"/>
          <w:color w:val="1A0FF9"/>
          <w:sz w:val="32"/>
          <w:szCs w:val="32"/>
        </w:rPr>
        <w:t>三、循证方法支撑针灸临床研究取得新进展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中医科学院、中国中医科学院针灸研究所、中国中医药循证医学中心、北京中医药大学循证医学中心、广州中医药大学等国内研究团队，联合加拿大、瑞士、美国等9个国家48家单位的109位国内外中西医临床专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循证医学专家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流行病与统计学专家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临床指南专家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卫生经济学和卫生政策专家共同参与，对目前针灸随机对照临床试验、系统评价、临床实践指南及卫生经济学研究的现状和质量进行评价，并提出方法学建议，形成专家共识。系列研究论文2022年以专辑形式发表于</w:t>
      </w:r>
      <w:r>
        <w:rPr>
          <w:rFonts w:ascii="Times New Roman" w:hAnsi="Times New Roman" w:eastAsia="仿宋_GB2312" w:cs="Times New Roman"/>
          <w:b/>
          <w:bCs/>
          <w:i/>
          <w:iCs/>
          <w:sz w:val="32"/>
          <w:szCs w:val="32"/>
        </w:rPr>
        <w:t>Br. Med. J.</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北京中医药大学刘存志教授团队、上海中医药大学附属市中医医院徐世芬教授团队、成都中医药大学李瑛教授和郑晖教授团队分别开展针刺促进术后胃肠功能恢复、电针治疗抑郁症失眠、针刺治疗慢性紧张型头痛临床研究，获得高质量临床证据。相关研究论文2022年分别发表于</w:t>
      </w:r>
      <w:r>
        <w:rPr>
          <w:rFonts w:ascii="Times New Roman" w:hAnsi="Times New Roman" w:eastAsia="仿宋_GB2312" w:cs="Times New Roman"/>
          <w:b/>
          <w:bCs/>
          <w:i/>
          <w:iCs/>
          <w:sz w:val="32"/>
          <w:szCs w:val="32"/>
        </w:rPr>
        <w:t>EClinicalMedicine, JAMA Surg., JAMA Network Open, Neurology</w:t>
      </w:r>
      <w:r>
        <w:rPr>
          <w:rFonts w:ascii="Times New Roman" w:hAnsi="Times New Roman" w:eastAsia="仿宋_GB2312" w:cs="Times New Roman"/>
          <w:sz w:val="32"/>
          <w:szCs w:val="32"/>
        </w:rPr>
        <w:t>。</w:t>
      </w:r>
    </w:p>
    <w:p>
      <w:pPr>
        <w:spacing w:before="156" w:beforeLines="50"/>
        <w:rPr>
          <w:rFonts w:ascii="黑体" w:hAnsi="黑体" w:eastAsia="黑体" w:cs="Times New Roman"/>
          <w:color w:val="1A0FF9"/>
          <w:sz w:val="32"/>
          <w:szCs w:val="32"/>
        </w:rPr>
      </w:pPr>
      <w:r>
        <w:rPr>
          <w:rFonts w:ascii="黑体" w:hAnsi="黑体" w:eastAsia="黑体" w:cs="Times New Roman"/>
          <w:color w:val="1A0FF9"/>
          <w:sz w:val="32"/>
          <w:szCs w:val="32"/>
        </w:rPr>
        <w:t>四、中医药治疗克罗恩病等慢性难治性疾病获得新证据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海中医药大学吴焕淦教授和季光教授团队组织开展针灸、经方临床研究，证实针灸对药物不响应的轻中度活动性克罗恩病患者安全有效；证实低剂量苓桂术甘汤可显著改善肥胖型脂肪肝脾阳虚证患者的HOMA-IR并发现其药效物质基础；证实穴位埋线疗法减轻肥胖患者体重的有效性和安全性。相关研究论文2022年发表于</w:t>
      </w:r>
      <w:r>
        <w:rPr>
          <w:rFonts w:ascii="Times New Roman" w:hAnsi="Times New Roman" w:eastAsia="仿宋_GB2312" w:cs="Times New Roman"/>
          <w:b/>
          <w:bCs/>
          <w:i/>
          <w:iCs/>
          <w:sz w:val="32"/>
          <w:szCs w:val="32"/>
        </w:rPr>
        <w:t>EClinicalMedicine, Front. Med., Front. Endocrinol.</w:t>
      </w:r>
      <w:r>
        <w:rPr>
          <w:rFonts w:ascii="Times New Roman" w:hAnsi="Times New Roman" w:eastAsia="仿宋_GB2312" w:cs="Times New Roman"/>
          <w:sz w:val="32"/>
          <w:szCs w:val="32"/>
        </w:rPr>
        <w:t>。</w:t>
      </w:r>
    </w:p>
    <w:p>
      <w:pPr>
        <w:spacing w:before="156" w:beforeLines="50"/>
        <w:rPr>
          <w:rFonts w:ascii="黑体" w:hAnsi="黑体" w:eastAsia="黑体" w:cs="Times New Roman"/>
          <w:color w:val="1A0FF9"/>
          <w:sz w:val="32"/>
          <w:szCs w:val="32"/>
        </w:rPr>
      </w:pPr>
      <w:r>
        <w:rPr>
          <w:rFonts w:ascii="黑体" w:hAnsi="黑体" w:eastAsia="黑体" w:cs="Times New Roman"/>
          <w:color w:val="1A0FF9"/>
          <w:sz w:val="32"/>
          <w:szCs w:val="32"/>
        </w:rPr>
        <w:t>五、单细胞组学、靶点“钩钓”等新技术助力中药功效科学内涵阐释</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浙江大学范骁辉教授和王毅教授团队，以丹参、红景天等活血类中药为对象，针对系统解析中药治病科学原理的技术瓶颈开发了SpaTalk、Bulk2Space等系列单细胞组学分析新工具，发现免疫细胞对心梗后损伤修复过程的动态调控作用，诠释了丹参酮IIA调控免疫细胞亚群减少心肌梗死范围、红景天中草质素抑制SGK1抗心肌肥大的作用机制。研究论文2022年发表于</w:t>
      </w:r>
      <w:r>
        <w:rPr>
          <w:rFonts w:ascii="Times New Roman" w:hAnsi="Times New Roman" w:eastAsia="仿宋_GB2312" w:cs="Times New Roman"/>
          <w:sz w:val="32"/>
          <w:szCs w:val="32"/>
        </w:rPr>
        <w:tab/>
      </w:r>
      <w:r>
        <w:rPr>
          <w:rFonts w:ascii="Times New Roman" w:hAnsi="Times New Roman" w:eastAsia="仿宋_GB2312" w:cs="Times New Roman"/>
          <w:b/>
          <w:bCs/>
          <w:i/>
          <w:iCs/>
          <w:sz w:val="32"/>
          <w:szCs w:val="32"/>
        </w:rPr>
        <w:t>Nat. Commun., Adv. Sci., Small methods</w:t>
      </w:r>
      <w:r>
        <w:rPr>
          <w:rFonts w:ascii="Times New Roman" w:hAnsi="Times New Roman" w:eastAsia="仿宋_GB2312" w:cs="Times New Roman"/>
          <w:sz w:val="32"/>
          <w:szCs w:val="32"/>
        </w:rPr>
        <w:t>等，并获授权发明专利3项。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北京大学医学部曾克武教授和屠鹏飞教授团队以中药药效成分为工具探针，通过靶点“钩钓”技术系统揭示了蟾酥、五味子、野马追等中药代表性成分的直接靶点蛋白及参与疾病相关进程的分子生物学机制，为“清热解毒、补肾宁心、消肿利湿”等中药功效提供了微观证据，同时也提出了具备自主知识产权的免疫炎症、肿瘤、神经退行等重大疾病治疗新靶点。研究论文2022年发表于</w:t>
      </w:r>
      <w:r>
        <w:rPr>
          <w:rFonts w:ascii="Times New Roman" w:hAnsi="Times New Roman" w:eastAsia="仿宋_GB2312" w:cs="Times New Roman"/>
          <w:b/>
          <w:bCs/>
          <w:i/>
          <w:iCs/>
          <w:sz w:val="32"/>
          <w:szCs w:val="32"/>
        </w:rPr>
        <w:t>Sci. Adv., EBioMedicine</w:t>
      </w:r>
      <w:r>
        <w:rPr>
          <w:rFonts w:ascii="Times New Roman" w:hAnsi="Times New Roman" w:eastAsia="仿宋_GB2312" w:cs="Times New Roman"/>
          <w:sz w:val="32"/>
          <w:szCs w:val="32"/>
        </w:rPr>
        <w:t>等。</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博奥生物集团有限公司、北京博奥晶方生物科技有限公司研究团队利用“超大规模的中药分子功能基因表达谱数据库”，筛选出多种具有调节血脂、血糖功效的天然植物，并利用多组学技术系统分析出麻竹降血糖的作用机理和药效物质基础。研究论文2022年发表于</w:t>
      </w:r>
      <w:r>
        <w:rPr>
          <w:rFonts w:ascii="Times New Roman" w:hAnsi="Times New Roman" w:eastAsia="仿宋_GB2312" w:cs="Times New Roman"/>
          <w:b/>
          <w:bCs/>
          <w:i/>
          <w:iCs/>
          <w:sz w:val="32"/>
          <w:szCs w:val="32"/>
        </w:rPr>
        <w:t>Acta Pharm. Sin. B</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大连医科大学马骁驰教授团队提出分子拼接等化学生物学新策略，实现代谢酶、肠道菌等炎症代谢靶点的多维度实时、定量检测与识别，诠释部分常用中药发挥抗炎功效的物质基础和潜在分子机制，为阐明中医药科学内涵提供了有效的方法与工具。相关研究论文2022年发表于</w:t>
      </w:r>
      <w:r>
        <w:rPr>
          <w:rFonts w:ascii="Times New Roman" w:hAnsi="Times New Roman" w:eastAsia="仿宋_GB2312" w:cs="Times New Roman"/>
          <w:b/>
          <w:bCs/>
          <w:i/>
          <w:iCs/>
          <w:sz w:val="32"/>
          <w:szCs w:val="32"/>
        </w:rPr>
        <w:t>Signal Transduction Targeted Ther., PNAS, Gut, Angew. Chem., Int. Ed., Nat. Prod. Rep., J. Adv. Res., Acta Pharm. Sin. B, ACS Sens., Anal. Chem.</w:t>
      </w:r>
      <w:r>
        <w:rPr>
          <w:rFonts w:ascii="Times New Roman" w:hAnsi="Times New Roman" w:eastAsia="仿宋_GB2312" w:cs="Times New Roman"/>
          <w:sz w:val="32"/>
          <w:szCs w:val="32"/>
        </w:rPr>
        <w:t>，并获授权发明专利10项，开发6种检测试剂盒。</w:t>
      </w:r>
    </w:p>
    <w:p>
      <w:pPr>
        <w:spacing w:before="156" w:beforeLines="50"/>
        <w:rPr>
          <w:rFonts w:ascii="黑体" w:hAnsi="黑体" w:eastAsia="黑体" w:cs="Times New Roman"/>
          <w:color w:val="1A0FF9"/>
          <w:sz w:val="32"/>
          <w:szCs w:val="32"/>
        </w:rPr>
      </w:pPr>
      <w:r>
        <w:rPr>
          <w:rFonts w:ascii="黑体" w:hAnsi="黑体" w:eastAsia="黑体" w:cs="Times New Roman"/>
          <w:color w:val="1A0FF9"/>
          <w:sz w:val="32"/>
          <w:szCs w:val="32"/>
        </w:rPr>
        <w:t>六、青蒿原植物黄花蒿首个染色体级别基因组图谱破解</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陈士林教授研究团队联合中国中医科学院、成都中医药大学、天津中医药大学、广东省中医院等团队，构建并公布了黄花蒿首个染色体级别分型基因组图谱。项目团队通过基因组分析揭示了青蒿素含量与紫穗槐二烯合酶基因拷贝数之间的相关性，为青蒿素生物合成及调控、黄花蒿优良品种选育提供了更加准确和全面的遗传背景，该发现有利于高青蒿素含量的黄花蒿选育。研究论文2022年发表于</w:t>
      </w:r>
      <w:r>
        <w:rPr>
          <w:rFonts w:ascii="Times New Roman" w:hAnsi="Times New Roman" w:eastAsia="仿宋_GB2312" w:cs="Times New Roman"/>
          <w:b/>
          <w:bCs/>
          <w:i/>
          <w:iCs/>
          <w:sz w:val="32"/>
          <w:szCs w:val="32"/>
        </w:rPr>
        <w:t>Mol. Plant。</w:t>
      </w:r>
    </w:p>
    <w:p>
      <w:pPr>
        <w:spacing w:before="156" w:beforeLines="50"/>
        <w:rPr>
          <w:rFonts w:ascii="黑体" w:hAnsi="黑体" w:eastAsia="黑体" w:cs="Times New Roman"/>
          <w:color w:val="1A0FF9"/>
          <w:sz w:val="32"/>
          <w:szCs w:val="32"/>
        </w:rPr>
      </w:pPr>
      <w:r>
        <w:rPr>
          <w:rFonts w:ascii="黑体" w:hAnsi="黑体" w:eastAsia="黑体" w:cs="Times New Roman"/>
          <w:color w:val="1A0FF9"/>
          <w:sz w:val="32"/>
          <w:szCs w:val="32"/>
        </w:rPr>
        <w:t>七、首个按古代经典名方目录管理的中药（苓桂术甘颗粒）获批上市</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12月27日，首个按古代经典名方目录管理的中药复方制剂（即中药3.1类新药）苓桂术甘颗粒通过技术审评，获批上市。该药品处方来源于汉·张仲景《金匮要略》，已列入《古代经典名方目录（第一批）》。江苏康缘药业股份有限公司肖伟教授团队和上海中医药大学季光教授团队对苓桂术甘汤历代医籍、医案进行系统梳理，明确了关键信息；完成了药材基原、药用部位、饮片炮制、基准样品、制剂工艺等系统研究，建立了符合中药特点的全过程、多维度的质量控制体系，保障制剂质量稳定、可控。苓桂术甘颗粒的上市是深入发掘中医药宝库精华，推进古代经典名方向新药转化的一次生动实践。</w:t>
      </w:r>
    </w:p>
    <w:p>
      <w:pPr>
        <w:spacing w:before="156" w:beforeLines="50"/>
        <w:rPr>
          <w:rFonts w:ascii="黑体" w:hAnsi="黑体" w:eastAsia="黑体" w:cs="Times New Roman"/>
          <w:color w:val="1A0FF9"/>
          <w:sz w:val="32"/>
          <w:szCs w:val="32"/>
        </w:rPr>
      </w:pPr>
      <w:r>
        <w:rPr>
          <w:rFonts w:ascii="黑体" w:hAnsi="黑体" w:eastAsia="黑体" w:cs="Times New Roman"/>
          <w:color w:val="1A0FF9"/>
          <w:sz w:val="32"/>
          <w:szCs w:val="32"/>
        </w:rPr>
        <w:t>八、学术研究助力“三结合”中药注册审评证据体系构建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为推动中医药理论、人用经验和临床试验相结合的中药注册审评证据体系构建，在国家相关管理部门的整体统筹部署下，</w:t>
      </w:r>
      <w:r>
        <w:rPr>
          <w:rFonts w:hint="eastAsia" w:ascii="Times New Roman" w:hAnsi="Times New Roman" w:eastAsia="仿宋_GB2312" w:cs="Times New Roman"/>
          <w:sz w:val="32"/>
          <w:szCs w:val="32"/>
        </w:rPr>
        <w:t>经</w:t>
      </w:r>
      <w:r>
        <w:rPr>
          <w:rFonts w:ascii="Times New Roman" w:hAnsi="Times New Roman" w:eastAsia="仿宋_GB2312" w:cs="Times New Roman"/>
          <w:sz w:val="32"/>
          <w:szCs w:val="32"/>
        </w:rPr>
        <w:t>充分凝聚学术共识，2022年相关部门发布了《中药注册专门规定（征求意见稿）》、《基于人用经验的中药复方制剂新药临床研发指导原则（试行）》、《基于“三结合”注册审评证据体系下的沟通交流指导原则（试行）》、《基于人用经验的中药复方制剂新药药学研究技术指导原则》等文件和技术标准，基本形成了“三结合”中药注册审评证据体系。研究论文2022年发表于《中国中药杂志》等。</w:t>
      </w:r>
    </w:p>
    <w:p>
      <w:pPr>
        <w:spacing w:before="156" w:beforeLines="50"/>
        <w:rPr>
          <w:rFonts w:ascii="黑体" w:hAnsi="黑体" w:eastAsia="黑体" w:cs="Times New Roman"/>
          <w:color w:val="1A0FF9"/>
          <w:sz w:val="32"/>
          <w:szCs w:val="32"/>
        </w:rPr>
      </w:pPr>
      <w:r>
        <w:rPr>
          <w:rFonts w:ascii="黑体" w:hAnsi="黑体" w:eastAsia="黑体" w:cs="Times New Roman"/>
          <w:color w:val="1A0FF9"/>
          <w:sz w:val="32"/>
          <w:szCs w:val="32"/>
        </w:rPr>
        <w:t>九、首个中国大陆药物肝损伤不良反应调查报告发布</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解放军总医院第五医学中心肖小河教授团队联合首都医科大学、国家药品不良反应监测中心等团队，基于国家药品不良反应监测大数据，</w:t>
      </w:r>
      <w:r>
        <w:rPr>
          <w:rFonts w:hint="eastAsia" w:ascii="Times New Roman" w:hAnsi="Times New Roman" w:eastAsia="仿宋_GB2312" w:cs="Times New Roman"/>
          <w:sz w:val="32"/>
          <w:szCs w:val="32"/>
        </w:rPr>
        <w:t>结合药源性肝损伤因果关系评价“整合证据链法”，</w:t>
      </w:r>
      <w:r>
        <w:rPr>
          <w:rFonts w:ascii="Times New Roman" w:hAnsi="Times New Roman" w:eastAsia="仿宋_GB2312" w:cs="Times New Roman"/>
          <w:sz w:val="32"/>
          <w:szCs w:val="32"/>
        </w:rPr>
        <w:t>完成了首个中国大陆</w:t>
      </w:r>
      <w:r>
        <w:rPr>
          <w:rFonts w:hint="eastAsia" w:ascii="Times New Roman" w:hAnsi="Times New Roman" w:eastAsia="仿宋_GB2312" w:cs="Times New Roman"/>
          <w:sz w:val="32"/>
          <w:szCs w:val="32"/>
        </w:rPr>
        <w:t>药物性</w:t>
      </w:r>
      <w:r>
        <w:rPr>
          <w:rFonts w:ascii="Times New Roman" w:hAnsi="Times New Roman" w:eastAsia="仿宋_GB2312" w:cs="Times New Roman"/>
          <w:sz w:val="32"/>
          <w:szCs w:val="32"/>
        </w:rPr>
        <w:t>肝损伤不良反应调查报告，阐明了总体流行趋势</w:t>
      </w:r>
      <w:r>
        <w:rPr>
          <w:rFonts w:hint="eastAsia" w:ascii="Times New Roman" w:hAnsi="Times New Roman" w:eastAsia="仿宋_GB2312" w:cs="Times New Roman"/>
          <w:sz w:val="32"/>
          <w:szCs w:val="32"/>
        </w:rPr>
        <w:t>，构建了</w:t>
      </w:r>
      <w:r>
        <w:rPr>
          <w:rFonts w:ascii="Times New Roman" w:hAnsi="Times New Roman" w:eastAsia="仿宋_GB2312" w:cs="Times New Roman"/>
          <w:sz w:val="32"/>
          <w:szCs w:val="32"/>
        </w:rPr>
        <w:t>“人口谱”、“药物谱”和“地域谱”，为我国药物性肝损伤精准防控提供了翔实参考数据。结果显示，在全部药物性肝损伤不良反应中，中草药占比4.5%，化学药占94.5%、生物药和其他占1.0%，表明中草药不是中国大陆药物性肝损伤的</w:t>
      </w:r>
      <w:r>
        <w:rPr>
          <w:rFonts w:hint="eastAsia" w:ascii="Times New Roman" w:hAnsi="Times New Roman" w:eastAsia="仿宋_GB2312" w:cs="Times New Roman"/>
          <w:sz w:val="32"/>
          <w:szCs w:val="32"/>
        </w:rPr>
        <w:t>首</w:t>
      </w:r>
      <w:r>
        <w:rPr>
          <w:rFonts w:ascii="Times New Roman" w:hAnsi="Times New Roman" w:eastAsia="仿宋_GB2312" w:cs="Times New Roman"/>
          <w:sz w:val="32"/>
          <w:szCs w:val="32"/>
        </w:rPr>
        <w:t>要原因。研究论文2022年发表于</w:t>
      </w:r>
      <w:r>
        <w:rPr>
          <w:rFonts w:ascii="Times New Roman" w:hAnsi="Times New Roman" w:eastAsia="仿宋_GB2312" w:cs="Times New Roman"/>
          <w:b/>
          <w:bCs/>
          <w:i/>
          <w:iCs/>
          <w:sz w:val="32"/>
          <w:szCs w:val="32"/>
        </w:rPr>
        <w:t>Acta Pharm. Sin. B</w:t>
      </w:r>
      <w:r>
        <w:rPr>
          <w:rFonts w:ascii="Times New Roman" w:hAnsi="Times New Roman" w:eastAsia="仿宋_GB2312" w:cs="Times New Roman"/>
          <w:sz w:val="32"/>
          <w:szCs w:val="32"/>
        </w:rPr>
        <w:t>。</w:t>
      </w:r>
    </w:p>
    <w:p>
      <w:pPr>
        <w:spacing w:before="156" w:beforeLines="50"/>
        <w:rPr>
          <w:rFonts w:ascii="黑体" w:hAnsi="黑体" w:eastAsia="黑体" w:cs="Times New Roman"/>
          <w:color w:val="1A0FF9"/>
          <w:sz w:val="32"/>
          <w:szCs w:val="32"/>
        </w:rPr>
      </w:pPr>
      <w:r>
        <w:rPr>
          <w:rFonts w:ascii="黑体" w:hAnsi="黑体" w:eastAsia="黑体" w:cs="Times New Roman"/>
          <w:color w:val="1A0FF9"/>
          <w:sz w:val="32"/>
          <w:szCs w:val="32"/>
        </w:rPr>
        <w:t>十、中药治疗糖尿病肾脏疾病优势特色及作用机制</w:t>
      </w:r>
      <w:r>
        <w:rPr>
          <w:rFonts w:hint="eastAsia" w:ascii="黑体" w:hAnsi="黑体" w:eastAsia="黑体" w:cs="Times New Roman"/>
          <w:color w:val="1A0FF9"/>
          <w:sz w:val="32"/>
          <w:szCs w:val="32"/>
        </w:rPr>
        <w:t>阐述取得新进展</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日友好医院李平教授团队前期通过多中心临床试验研究证实，糖肾方对糖尿病肾病患者具有肾脏保护作用，可以降低尿蛋白排泄，改善肾功能，尤其针对糖尿病肾病eGFR下降，肾功能衰竭具有明显的治疗作用，在eGFR&lt;30mL/min/ 1.73m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时仍然可以使用，弥补了西药在这方面的治疗不足。2022年北京市药品监督管理局批准其为医疗机构中药制剂。研究发现，糖肾方可减轻糖尿病大鼠结肠上皮损伤，从而抑制结肠炎症及炎症诱发的Cajal间质细胞凋亡；可减轻代谢产物的异常积累和肠道菌群的紊乱，通过上调吲哚衍生物等氨基酸活性代谢产物调节机体炎症和氧化应激，起到肾脏的保护作用，揭示了糖肾方多环节、多途径作用的新机制。研究论文2022年发表于</w:t>
      </w:r>
      <w:r>
        <w:rPr>
          <w:rFonts w:ascii="Times New Roman" w:hAnsi="Times New Roman" w:eastAsia="仿宋_GB2312" w:cs="Times New Roman"/>
          <w:b/>
          <w:bCs/>
          <w:i/>
          <w:iCs/>
          <w:sz w:val="32"/>
          <w:szCs w:val="32"/>
        </w:rPr>
        <w:t>Front. Pharmacol., Chin. J. Integr. Med.</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w:t>
      </w:r>
    </w:p>
    <w:p>
      <w:pPr>
        <w:rPr>
          <w:rFonts w:ascii="仿宋_GB2312" w:eastAsia="仿宋_GB2312"/>
          <w:sz w:val="32"/>
          <w:szCs w:val="32"/>
        </w:rPr>
      </w:pPr>
    </w:p>
    <w:p>
      <w:pPr>
        <w:jc w:val="center"/>
        <w:rPr>
          <w:rFonts w:ascii="仿宋_GB2312" w:eastAsia="仿宋_GB2312"/>
          <w:sz w:val="32"/>
          <w:szCs w:val="32"/>
          <w:highlight w:val="yellow"/>
        </w:rPr>
      </w:pPr>
    </w:p>
    <w:p>
      <w:pPr>
        <w:jc w:val="center"/>
        <w:rPr>
          <w:rFonts w:ascii="仿宋_GB2312" w:eastAsia="仿宋_GB2312"/>
          <w:sz w:val="52"/>
          <w:szCs w:val="56"/>
          <w:highlight w:val="yellow"/>
        </w:rPr>
      </w:pPr>
      <w:r>
        <w:rPr>
          <w:rFonts w:hint="eastAsia"/>
          <w:sz w:val="48"/>
          <w:szCs w:val="52"/>
          <w:highlight w:val="yellow"/>
        </w:rPr>
        <w:t>添加前两年十大进展链接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3A4DDF-2A27-4E06-A8F7-B95B7CAEF3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C6A20147-F289-4A53-A9A1-EC4E6B338895}"/>
  </w:font>
  <w:font w:name="方正小标宋简体">
    <w:panose1 w:val="02000000000000000000"/>
    <w:charset w:val="86"/>
    <w:family w:val="auto"/>
    <w:pitch w:val="default"/>
    <w:sig w:usb0="00000001" w:usb1="08000000" w:usb2="00000000" w:usb3="00000000" w:csb0="00040000" w:csb1="00000000"/>
    <w:embedRegular r:id="rId3" w:fontKey="{F55A7654-5B2B-4618-8358-D8901E666AB9}"/>
  </w:font>
  <w:font w:name="仿宋_GB2312">
    <w:panose1 w:val="02010609030101010101"/>
    <w:charset w:val="86"/>
    <w:family w:val="modern"/>
    <w:pitch w:val="default"/>
    <w:sig w:usb0="00000001" w:usb1="080E0000" w:usb2="00000000" w:usb3="00000000" w:csb0="00040000" w:csb1="00000000"/>
    <w:embedRegular r:id="rId4" w:fontKey="{629898F7-547C-49BB-87F6-D3A5503270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mOThiYTFlN2Y3ODIxZGUzMTJkYjI4ZWUyZmM5NDcifQ=="/>
  </w:docVars>
  <w:rsids>
    <w:rsidRoot w:val="00A262B1"/>
    <w:rsid w:val="00025085"/>
    <w:rsid w:val="0005764A"/>
    <w:rsid w:val="0007037C"/>
    <w:rsid w:val="000748A7"/>
    <w:rsid w:val="000A7EA6"/>
    <w:rsid w:val="00156B00"/>
    <w:rsid w:val="001A726A"/>
    <w:rsid w:val="001B6D17"/>
    <w:rsid w:val="001B7431"/>
    <w:rsid w:val="001F437C"/>
    <w:rsid w:val="002620FA"/>
    <w:rsid w:val="00265923"/>
    <w:rsid w:val="0028489B"/>
    <w:rsid w:val="00297474"/>
    <w:rsid w:val="002A37A3"/>
    <w:rsid w:val="00304E48"/>
    <w:rsid w:val="003162C9"/>
    <w:rsid w:val="00325B48"/>
    <w:rsid w:val="00331686"/>
    <w:rsid w:val="00331800"/>
    <w:rsid w:val="003A6064"/>
    <w:rsid w:val="003B6406"/>
    <w:rsid w:val="003C2300"/>
    <w:rsid w:val="003E5DD0"/>
    <w:rsid w:val="00404C44"/>
    <w:rsid w:val="004355B5"/>
    <w:rsid w:val="004C4620"/>
    <w:rsid w:val="004D3051"/>
    <w:rsid w:val="005177BE"/>
    <w:rsid w:val="005315C5"/>
    <w:rsid w:val="00571BC8"/>
    <w:rsid w:val="0059036A"/>
    <w:rsid w:val="005A2F02"/>
    <w:rsid w:val="005C3211"/>
    <w:rsid w:val="005F31C1"/>
    <w:rsid w:val="00600540"/>
    <w:rsid w:val="00604617"/>
    <w:rsid w:val="00640E55"/>
    <w:rsid w:val="00653BCA"/>
    <w:rsid w:val="0068050F"/>
    <w:rsid w:val="006D1BE3"/>
    <w:rsid w:val="007252F2"/>
    <w:rsid w:val="00793B5F"/>
    <w:rsid w:val="007B2D33"/>
    <w:rsid w:val="00911F2B"/>
    <w:rsid w:val="00956015"/>
    <w:rsid w:val="00966200"/>
    <w:rsid w:val="009E5E65"/>
    <w:rsid w:val="00A20069"/>
    <w:rsid w:val="00A224FB"/>
    <w:rsid w:val="00A262B1"/>
    <w:rsid w:val="00A61A1A"/>
    <w:rsid w:val="00A66F9C"/>
    <w:rsid w:val="00A719CB"/>
    <w:rsid w:val="00A83D2C"/>
    <w:rsid w:val="00A94578"/>
    <w:rsid w:val="00A96172"/>
    <w:rsid w:val="00AA42D1"/>
    <w:rsid w:val="00AB6026"/>
    <w:rsid w:val="00AC02CB"/>
    <w:rsid w:val="00AE3319"/>
    <w:rsid w:val="00AE3FEB"/>
    <w:rsid w:val="00B3368A"/>
    <w:rsid w:val="00B97124"/>
    <w:rsid w:val="00BA1D86"/>
    <w:rsid w:val="00C22C6C"/>
    <w:rsid w:val="00C322EF"/>
    <w:rsid w:val="00C935C0"/>
    <w:rsid w:val="00C93925"/>
    <w:rsid w:val="00C96B21"/>
    <w:rsid w:val="00D17238"/>
    <w:rsid w:val="00D251D9"/>
    <w:rsid w:val="00D31122"/>
    <w:rsid w:val="00D36262"/>
    <w:rsid w:val="00D52246"/>
    <w:rsid w:val="00D609B1"/>
    <w:rsid w:val="00D827D9"/>
    <w:rsid w:val="00DB2B53"/>
    <w:rsid w:val="00E76826"/>
    <w:rsid w:val="00F12855"/>
    <w:rsid w:val="00F52569"/>
    <w:rsid w:val="00F54C09"/>
    <w:rsid w:val="00FE63D0"/>
    <w:rsid w:val="00FE7017"/>
    <w:rsid w:val="33D45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4834</Words>
  <Characters>5339</Characters>
  <Lines>38</Lines>
  <Paragraphs>10</Paragraphs>
  <TotalTime>125</TotalTime>
  <ScaleCrop>false</ScaleCrop>
  <LinksUpToDate>false</LinksUpToDate>
  <CharactersWithSpaces>5416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2023-02-25T06:30:00Z</dcterms:created>
  <dc:creator>许 梢华</dc:creator>
  <cp:lastModifiedBy>ING</cp:lastModifiedBy>
  <cp:lastPrinted>2023-02-24T08:48:00Z</cp:lastPrinted>
  <dcterms:modified xsi:type="dcterms:W3CDTF">2023-03-01T03:45:55Z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16A5845037F24143A06766611568036C</vt:lpwstr>
  </property>
</Properties>
</file>