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4" w:lineRule="exact"/>
        <w:rPr>
          <w:rFonts w:ascii="Times New Roman" w:hAnsi="Times New Roman" w:eastAsia="仿宋"/>
          <w:bCs/>
          <w:sz w:val="32"/>
          <w:szCs w:val="32"/>
        </w:rPr>
      </w:pPr>
    </w:p>
    <w:p>
      <w:pPr>
        <w:spacing w:line="584" w:lineRule="exact"/>
        <w:jc w:val="center"/>
        <w:rPr>
          <w:rFonts w:ascii="Times New Roman" w:hAnsi="Times New Roman" w:eastAsia="仿宋"/>
          <w:bCs/>
          <w:sz w:val="32"/>
          <w:szCs w:val="32"/>
        </w:rPr>
      </w:pPr>
    </w:p>
    <w:p>
      <w:pPr>
        <w:spacing w:line="584" w:lineRule="exact"/>
        <w:jc w:val="center"/>
        <w:rPr>
          <w:rFonts w:ascii="Times New Roman" w:hAnsi="Times New Roman" w:eastAsia="仿宋_GB2312"/>
          <w:b/>
          <w:sz w:val="32"/>
          <w:szCs w:val="32"/>
        </w:rPr>
      </w:pPr>
      <w:r>
        <w:rPr>
          <w:rFonts w:ascii="Times New Roman" w:hAnsi="Times New Roman" w:eastAsia="仿宋"/>
          <w:bCs/>
          <w:sz w:val="32"/>
          <w:szCs w:val="32"/>
        </w:rPr>
        <w:t>中会发</w:t>
      </w:r>
      <w:r>
        <w:rPr>
          <w:rFonts w:ascii="Times New Roman" w:hAnsi="Times New Roman" w:eastAsia="仿宋_GB2312"/>
          <w:bCs/>
          <w:sz w:val="32"/>
          <w:szCs w:val="32"/>
        </w:rPr>
        <w:t>〔2022〕</w:t>
      </w:r>
      <w:r>
        <w:rPr>
          <w:rFonts w:hint="eastAsia" w:ascii="Times New Roman" w:hAnsi="Times New Roman" w:eastAsia="仿宋_GB2312"/>
          <w:bCs/>
          <w:sz w:val="32"/>
          <w:szCs w:val="32"/>
          <w:lang w:val="en-US" w:eastAsia="zh-CN"/>
        </w:rPr>
        <w:t>99</w:t>
      </w:r>
      <w:r>
        <w:rPr>
          <w:rFonts w:ascii="Times New Roman" w:hAnsi="Times New Roman" w:eastAsia="仿宋"/>
          <w:bCs/>
          <w:sz w:val="32"/>
          <w:szCs w:val="32"/>
        </w:rPr>
        <w:t>号</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关于公开征集“2022年度中医药十大学术进展”候选内容的通知</w:t>
      </w:r>
      <w:r>
        <w:rPr>
          <w:rFonts w:hint="eastAsia" w:ascii="Times New Roman" w:hAnsi="Times New Roman" w:eastAsia="方正小标宋简体" w:cs="Times New Roman"/>
          <w:b w:val="0"/>
          <w:bCs/>
          <w:sz w:val="44"/>
          <w:szCs w:val="44"/>
        </w:rPr>
        <w:t>（第二轮）</w:t>
      </w:r>
    </w:p>
    <w:p>
      <w:pPr>
        <w:spacing w:line="584" w:lineRule="exact"/>
        <w:rPr>
          <w:rFonts w:ascii="Times New Roman" w:hAnsi="Times New Roman" w:eastAsia="仿宋"/>
          <w:b/>
          <w:sz w:val="24"/>
          <w:szCs w:val="28"/>
        </w:rPr>
      </w:pPr>
    </w:p>
    <w:p>
      <w:pPr>
        <w:spacing w:line="584" w:lineRule="exact"/>
        <w:rPr>
          <w:rFonts w:ascii="Times New Roman" w:hAnsi="Times New Roman" w:eastAsia="仿宋_GB2312"/>
          <w:kern w:val="0"/>
          <w:sz w:val="32"/>
          <w:szCs w:val="32"/>
        </w:rPr>
      </w:pPr>
      <w:r>
        <w:rPr>
          <w:rFonts w:hint="eastAsia" w:ascii="Times New Roman" w:hAnsi="Times New Roman" w:eastAsia="仿宋_GB2312"/>
          <w:kern w:val="0"/>
          <w:sz w:val="32"/>
          <w:szCs w:val="32"/>
        </w:rPr>
        <w:t>各省、自治区、直辖市及计划单列市中医药学会、解放军中医药学会；各分支机构、团体会员及有关单位：</w:t>
      </w: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为贯彻落实</w:t>
      </w:r>
      <w:r>
        <w:rPr>
          <w:rFonts w:ascii="Times New Roman" w:hAnsi="Times New Roman" w:eastAsia="仿宋_GB2312"/>
          <w:sz w:val="32"/>
          <w:szCs w:val="32"/>
        </w:rPr>
        <w:t>《中共中央 国务院关于促进中医药传承创新发展的意见》精神，定期梳理总结中医药研究成果，动态呈现中医药学术研究、创新成趋势，充分发挥学术团体的学术引领作用，中华中医药学会已经</w:t>
      </w:r>
      <w:r>
        <w:rPr>
          <w:rFonts w:hint="eastAsia" w:ascii="Times New Roman" w:hAnsi="Times New Roman" w:eastAsia="仿宋_GB2312"/>
          <w:sz w:val="32"/>
          <w:szCs w:val="32"/>
          <w:lang w:val="en-US" w:eastAsia="zh-CN"/>
        </w:rPr>
        <w:t>连续</w:t>
      </w:r>
      <w:r>
        <w:rPr>
          <w:rFonts w:ascii="Times New Roman" w:hAnsi="Times New Roman" w:eastAsia="仿宋_GB2312"/>
          <w:sz w:val="32"/>
          <w:szCs w:val="32"/>
        </w:rPr>
        <w:t>发布了2020</w:t>
      </w:r>
      <w:r>
        <w:rPr>
          <w:rFonts w:hint="eastAsia" w:ascii="Times New Roman" w:hAnsi="Times New Roman" w:eastAsia="仿宋_GB2312"/>
          <w:sz w:val="32"/>
          <w:szCs w:val="32"/>
          <w:lang w:val="en-US" w:eastAsia="zh-CN"/>
        </w:rPr>
        <w:t>和</w:t>
      </w:r>
      <w:r>
        <w:rPr>
          <w:rFonts w:ascii="Times New Roman" w:hAnsi="Times New Roman" w:eastAsia="仿宋_GB2312"/>
          <w:sz w:val="32"/>
          <w:szCs w:val="32"/>
        </w:rPr>
        <w:t>2021年度中医药十大学术进展，</w:t>
      </w:r>
      <w:r>
        <w:rPr>
          <w:rFonts w:hint="eastAsia" w:ascii="Times New Roman" w:hAnsi="Times New Roman" w:eastAsia="仿宋_GB2312"/>
          <w:sz w:val="32"/>
          <w:szCs w:val="32"/>
          <w:lang w:val="en-US" w:eastAsia="zh-CN"/>
        </w:rPr>
        <w:t>并</w:t>
      </w:r>
      <w:r>
        <w:rPr>
          <w:rFonts w:ascii="Times New Roman" w:hAnsi="Times New Roman" w:eastAsia="仿宋_GB2312"/>
          <w:sz w:val="32"/>
          <w:szCs w:val="32"/>
        </w:rPr>
        <w:t>在业界取得良好的反响。为</w:t>
      </w:r>
      <w:r>
        <w:rPr>
          <w:rFonts w:hint="eastAsia" w:ascii="Times New Roman" w:hAnsi="Times New Roman" w:eastAsia="仿宋_GB2312"/>
          <w:sz w:val="32"/>
          <w:szCs w:val="32"/>
          <w:lang w:val="en-US" w:eastAsia="zh-CN"/>
        </w:rPr>
        <w:t>全面</w:t>
      </w:r>
      <w:r>
        <w:rPr>
          <w:rFonts w:ascii="Times New Roman" w:hAnsi="Times New Roman" w:eastAsia="仿宋_GB2312"/>
          <w:sz w:val="32"/>
          <w:szCs w:val="32"/>
        </w:rPr>
        <w:t>贯彻落实</w:t>
      </w:r>
      <w:r>
        <w:rPr>
          <w:rFonts w:hint="eastAsia" w:ascii="Times New Roman" w:hAnsi="Times New Roman" w:eastAsia="仿宋_GB2312"/>
          <w:sz w:val="32"/>
          <w:szCs w:val="32"/>
        </w:rPr>
        <w:t>党的二十大</w:t>
      </w:r>
      <w:r>
        <w:rPr>
          <w:rFonts w:hint="eastAsia" w:ascii="Times New Roman" w:hAnsi="Times New Roman" w:eastAsia="仿宋_GB2312"/>
          <w:sz w:val="32"/>
          <w:szCs w:val="32"/>
          <w:lang w:val="en-US" w:eastAsia="zh-CN"/>
        </w:rPr>
        <w:t>精神</w:t>
      </w:r>
      <w:r>
        <w:rPr>
          <w:rFonts w:hint="eastAsia" w:ascii="Times New Roman" w:hAnsi="Times New Roman" w:eastAsia="仿宋_GB2312"/>
          <w:sz w:val="32"/>
          <w:szCs w:val="32"/>
        </w:rPr>
        <w:t>和</w:t>
      </w:r>
      <w:r>
        <w:rPr>
          <w:rFonts w:ascii="Times New Roman" w:hAnsi="Times New Roman" w:eastAsia="仿宋_GB2312"/>
          <w:sz w:val="32"/>
          <w:szCs w:val="32"/>
        </w:rPr>
        <w:t>做好“2022年度中医药十大学术进展”遴选工作，现</w:t>
      </w:r>
      <w:r>
        <w:rPr>
          <w:rFonts w:hint="eastAsia" w:ascii="Times New Roman" w:hAnsi="Times New Roman" w:eastAsia="仿宋_GB2312"/>
          <w:sz w:val="32"/>
          <w:szCs w:val="32"/>
          <w:lang w:val="en-US" w:eastAsia="zh-CN"/>
        </w:rPr>
        <w:t>将</w:t>
      </w:r>
      <w:r>
        <w:rPr>
          <w:rFonts w:ascii="Times New Roman" w:hAnsi="Times New Roman" w:eastAsia="仿宋_GB2312"/>
          <w:sz w:val="32"/>
          <w:szCs w:val="32"/>
        </w:rPr>
        <w:t>有关事项通知如下：</w:t>
      </w:r>
    </w:p>
    <w:p>
      <w:pPr>
        <w:spacing w:line="584" w:lineRule="exact"/>
        <w:ind w:firstLine="640" w:firstLineChars="200"/>
        <w:rPr>
          <w:rFonts w:ascii="Times New Roman" w:hAnsi="Times New Roman" w:eastAsia="仿宋"/>
          <w:sz w:val="32"/>
          <w:szCs w:val="32"/>
        </w:rPr>
      </w:pPr>
      <w:r>
        <w:rPr>
          <w:rFonts w:ascii="Times New Roman" w:hAnsi="Times New Roman" w:eastAsia="黑体"/>
          <w:sz w:val="32"/>
          <w:szCs w:val="32"/>
        </w:rPr>
        <w:t>一、具体要求</w:t>
      </w:r>
    </w:p>
    <w:p>
      <w:pPr>
        <w:spacing w:line="584" w:lineRule="exact"/>
        <w:ind w:firstLine="640"/>
        <w:rPr>
          <w:rFonts w:ascii="Times New Roman" w:hAnsi="Times New Roman" w:eastAsia="仿宋_GB2312"/>
          <w:sz w:val="32"/>
          <w:szCs w:val="32"/>
        </w:rPr>
      </w:pPr>
      <w:r>
        <w:rPr>
          <w:rFonts w:ascii="Times New Roman" w:hAnsi="Times New Roman" w:eastAsia="仿宋_GB2312"/>
          <w:sz w:val="32"/>
          <w:szCs w:val="32"/>
        </w:rPr>
        <w:t>（一）</w:t>
      </w:r>
      <w:r>
        <w:rPr>
          <w:rFonts w:ascii="Times New Roman" w:hAnsi="Times New Roman" w:eastAsia="仿宋_GB2312"/>
        </w:rPr>
        <w:t xml:space="preserve"> </w:t>
      </w:r>
      <w:r>
        <w:rPr>
          <w:rFonts w:ascii="Times New Roman" w:hAnsi="Times New Roman" w:eastAsia="仿宋_GB2312"/>
          <w:sz w:val="32"/>
          <w:szCs w:val="32"/>
        </w:rPr>
        <w:t>推荐内容应是在2022年1月1日至2022年12月31日取得</w:t>
      </w:r>
      <w:bookmarkStart w:id="0" w:name="_Hlk57108509"/>
      <w:r>
        <w:rPr>
          <w:rFonts w:ascii="Times New Roman" w:hAnsi="Times New Roman" w:eastAsia="仿宋_GB2312"/>
          <w:sz w:val="32"/>
          <w:szCs w:val="32"/>
        </w:rPr>
        <w:t>并公开发布、发表、出版发行或批准的中医药学术进展</w:t>
      </w:r>
      <w:bookmarkEnd w:id="0"/>
      <w:r>
        <w:rPr>
          <w:rFonts w:ascii="Times New Roman" w:hAnsi="Times New Roman" w:eastAsia="仿宋_GB2312"/>
          <w:sz w:val="32"/>
          <w:szCs w:val="32"/>
        </w:rPr>
        <w:t>。</w:t>
      </w:r>
    </w:p>
    <w:p>
      <w:pPr>
        <w:spacing w:line="584" w:lineRule="exact"/>
        <w:ind w:firstLine="640"/>
        <w:rPr>
          <w:rFonts w:ascii="Times New Roman" w:hAnsi="Times New Roman" w:eastAsia="仿宋_GB2312"/>
          <w:sz w:val="32"/>
          <w:szCs w:val="32"/>
        </w:rPr>
      </w:pPr>
      <w:bookmarkStart w:id="1" w:name="_Hlk57108527"/>
      <w:r>
        <w:rPr>
          <w:rFonts w:ascii="Times New Roman" w:hAnsi="Times New Roman" w:eastAsia="仿宋_GB2312"/>
          <w:sz w:val="32"/>
          <w:szCs w:val="32"/>
        </w:rPr>
        <w:t>（二）推荐内容应面向世界科技前沿、面向经济主战场、面向国家重大需求、面向人民生命健康，并在中医药理论指导下，中医药基础研究、应用研究及临床研究领域取得的具有原创性、突破性和引领性的新规律、新发现、新方法、新产品、新理论。</w:t>
      </w:r>
      <w:bookmarkEnd w:id="1"/>
    </w:p>
    <w:p>
      <w:pPr>
        <w:spacing w:line="584" w:lineRule="exact"/>
        <w:ind w:firstLine="640"/>
        <w:rPr>
          <w:rFonts w:ascii="Times New Roman" w:hAnsi="Times New Roman" w:eastAsia="仿宋_GB2312"/>
          <w:sz w:val="32"/>
          <w:szCs w:val="32"/>
        </w:rPr>
      </w:pPr>
      <w:bookmarkStart w:id="2" w:name="_Hlk57108561"/>
      <w:r>
        <w:rPr>
          <w:rFonts w:ascii="Times New Roman" w:hAnsi="Times New Roman" w:eastAsia="仿宋_GB2312"/>
          <w:sz w:val="32"/>
          <w:szCs w:val="32"/>
        </w:rPr>
        <w:t>（三）</w:t>
      </w:r>
      <w:r>
        <w:rPr>
          <w:rFonts w:hint="eastAsia" w:ascii="Times New Roman" w:hAnsi="Times New Roman" w:eastAsia="仿宋_GB2312"/>
          <w:sz w:val="32"/>
          <w:szCs w:val="32"/>
          <w:lang w:val="en-US" w:eastAsia="zh-CN"/>
        </w:rPr>
        <w:t>请</w:t>
      </w:r>
      <w:r>
        <w:rPr>
          <w:rFonts w:ascii="Times New Roman" w:hAnsi="Times New Roman" w:eastAsia="仿宋_GB2312"/>
          <w:sz w:val="32"/>
          <w:szCs w:val="32"/>
        </w:rPr>
        <w:t>各单位</w:t>
      </w:r>
      <w:r>
        <w:rPr>
          <w:rFonts w:hint="eastAsia" w:ascii="Times New Roman" w:hAnsi="Times New Roman" w:eastAsia="仿宋_GB2312"/>
          <w:sz w:val="32"/>
          <w:szCs w:val="32"/>
        </w:rPr>
        <w:t>及时组织</w:t>
      </w:r>
      <w:r>
        <w:rPr>
          <w:rFonts w:ascii="Times New Roman" w:hAnsi="Times New Roman" w:eastAsia="仿宋_GB2312"/>
          <w:sz w:val="32"/>
          <w:szCs w:val="32"/>
        </w:rPr>
        <w:t>推荐中医药学术进展内容，并对推荐项目</w:t>
      </w:r>
      <w:r>
        <w:rPr>
          <w:rFonts w:hint="eastAsia" w:ascii="Times New Roman" w:hAnsi="Times New Roman" w:eastAsia="仿宋_GB2312"/>
          <w:sz w:val="32"/>
          <w:szCs w:val="32"/>
          <w:lang w:val="en-US" w:eastAsia="zh-CN"/>
        </w:rPr>
        <w:t>真实性</w:t>
      </w:r>
      <w:r>
        <w:rPr>
          <w:rFonts w:ascii="Times New Roman" w:hAnsi="Times New Roman" w:eastAsia="仿宋_GB2312"/>
          <w:sz w:val="32"/>
          <w:szCs w:val="32"/>
        </w:rPr>
        <w:t>负责。</w:t>
      </w:r>
      <w:bookmarkEnd w:id="2"/>
    </w:p>
    <w:p>
      <w:pPr>
        <w:spacing w:line="584" w:lineRule="exact"/>
        <w:ind w:firstLine="640" w:firstLineChars="200"/>
        <w:rPr>
          <w:rFonts w:ascii="Times New Roman" w:hAnsi="Times New Roman" w:eastAsia="黑体"/>
          <w:sz w:val="32"/>
          <w:szCs w:val="32"/>
        </w:rPr>
      </w:pPr>
      <w:r>
        <w:rPr>
          <w:rFonts w:ascii="Times New Roman" w:hAnsi="Times New Roman" w:eastAsia="黑体"/>
          <w:sz w:val="32"/>
          <w:szCs w:val="32"/>
        </w:rPr>
        <w:t>二、时间安排</w:t>
      </w:r>
    </w:p>
    <w:p>
      <w:pPr>
        <w:spacing w:line="58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各单位</w:t>
      </w:r>
      <w:r>
        <w:rPr>
          <w:rFonts w:hint="eastAsia" w:ascii="Times New Roman" w:hAnsi="Times New Roman" w:eastAsia="仿宋_GB2312"/>
          <w:sz w:val="32"/>
          <w:szCs w:val="32"/>
        </w:rPr>
        <w:t>有相应的成果后即可向我会推荐，并</w:t>
      </w:r>
      <w:r>
        <w:rPr>
          <w:rFonts w:ascii="Times New Roman" w:hAnsi="Times New Roman" w:eastAsia="仿宋_GB2312"/>
          <w:sz w:val="32"/>
          <w:szCs w:val="32"/>
        </w:rPr>
        <w:t>将PDF及word版“中医药十大学术进展”</w:t>
      </w:r>
      <w:r>
        <w:rPr>
          <w:rFonts w:hint="eastAsia" w:ascii="Times New Roman" w:hAnsi="Times New Roman" w:eastAsia="仿宋_GB2312"/>
          <w:sz w:val="32"/>
          <w:szCs w:val="32"/>
        </w:rPr>
        <w:t>内容</w:t>
      </w:r>
      <w:r>
        <w:rPr>
          <w:rFonts w:ascii="Times New Roman" w:hAnsi="Times New Roman" w:eastAsia="仿宋_GB2312"/>
          <w:sz w:val="32"/>
          <w:szCs w:val="32"/>
        </w:rPr>
        <w:t>推荐表提交至邮箱</w:t>
      </w:r>
      <w:r>
        <w:fldChar w:fldCharType="begin"/>
      </w:r>
      <w:r>
        <w:instrText xml:space="preserve"> HYPERLINK "mailto:kxpjb211@163.com" </w:instrText>
      </w:r>
      <w:r>
        <w:fldChar w:fldCharType="separate"/>
      </w:r>
      <w:r>
        <w:rPr>
          <w:rStyle w:val="12"/>
          <w:rFonts w:ascii="Times New Roman" w:hAnsi="Times New Roman" w:eastAsia="仿宋_GB2312"/>
          <w:color w:val="auto"/>
          <w:sz w:val="32"/>
          <w:szCs w:val="32"/>
          <w:u w:val="none"/>
        </w:rPr>
        <w:t>kxpjb211@163.com</w:t>
      </w:r>
      <w:r>
        <w:rPr>
          <w:rStyle w:val="12"/>
          <w:rFonts w:ascii="Times New Roman" w:hAnsi="Times New Roman" w:eastAsia="仿宋_GB2312"/>
          <w:color w:val="auto"/>
          <w:sz w:val="32"/>
          <w:szCs w:val="32"/>
          <w:u w:val="none"/>
        </w:rPr>
        <w:fldChar w:fldCharType="end"/>
      </w:r>
      <w:r>
        <w:rPr>
          <w:rFonts w:ascii="Times New Roman" w:hAnsi="Times New Roman" w:eastAsia="仿宋_GB2312"/>
          <w:sz w:val="32"/>
          <w:szCs w:val="32"/>
        </w:rPr>
        <w:t>。</w:t>
      </w:r>
      <w:r>
        <w:rPr>
          <w:rFonts w:hint="eastAsia" w:ascii="Times New Roman" w:hAnsi="Times New Roman" w:eastAsia="仿宋_GB2312"/>
          <w:sz w:val="32"/>
          <w:szCs w:val="32"/>
        </w:rPr>
        <w:t>本项工作的最后截止时间为</w:t>
      </w:r>
      <w:r>
        <w:rPr>
          <w:rFonts w:ascii="Times New Roman" w:hAnsi="Times New Roman" w:eastAsia="仿宋_GB2312"/>
          <w:sz w:val="32"/>
          <w:szCs w:val="32"/>
        </w:rPr>
        <w:t>2022年12月31日</w:t>
      </w:r>
      <w:r>
        <w:rPr>
          <w:rFonts w:hint="eastAsia" w:ascii="Times New Roman" w:hAnsi="Times New Roman" w:eastAsia="仿宋_GB2312"/>
          <w:sz w:val="32"/>
          <w:szCs w:val="32"/>
        </w:rPr>
        <w:t>。</w:t>
      </w:r>
    </w:p>
    <w:p>
      <w:pPr>
        <w:numPr>
          <w:ilvl w:val="0"/>
          <w:numId w:val="1"/>
        </w:numPr>
        <w:spacing w:line="584"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联系人及</w:t>
      </w:r>
      <w:r>
        <w:rPr>
          <w:rFonts w:ascii="Times New Roman" w:hAnsi="Times New Roman" w:eastAsia="黑体"/>
          <w:sz w:val="32"/>
          <w:szCs w:val="32"/>
        </w:rPr>
        <w:t>联系方式</w:t>
      </w: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项目工作组</w:t>
      </w:r>
      <w:r>
        <w:rPr>
          <w:rFonts w:ascii="Times New Roman" w:hAnsi="Times New Roman" w:eastAsia="仿宋_GB2312"/>
          <w:sz w:val="32"/>
          <w:szCs w:val="32"/>
        </w:rPr>
        <w:t>：</w:t>
      </w:r>
      <w:r>
        <w:rPr>
          <w:rFonts w:hint="eastAsia" w:ascii="Times New Roman" w:hAnsi="Times New Roman" w:eastAsia="仿宋_GB2312"/>
          <w:sz w:val="32"/>
          <w:szCs w:val="32"/>
        </w:rPr>
        <w:t>路冰清</w:t>
      </w:r>
      <w:r>
        <w:rPr>
          <w:rFonts w:ascii="Times New Roman" w:hAnsi="Times New Roman" w:eastAsia="仿宋_GB2312"/>
          <w:sz w:val="32"/>
          <w:szCs w:val="32"/>
        </w:rPr>
        <w:t xml:space="preserve"> 13882041500</w:t>
      </w: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科技评审部：王雯婕 010-64291832</w:t>
      </w: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发展研究办公室：郭继华 010-64274797</w:t>
      </w:r>
    </w:p>
    <w:p>
      <w:pPr>
        <w:spacing w:line="58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邮箱</w:t>
      </w:r>
      <w:r>
        <w:rPr>
          <w:rFonts w:hint="eastAsia" w:ascii="Times New Roman" w:hAnsi="Times New Roman" w:eastAsia="仿宋_GB2312"/>
          <w:sz w:val="32"/>
          <w:szCs w:val="32"/>
        </w:rPr>
        <w:t>：</w:t>
      </w:r>
      <w:r>
        <w:fldChar w:fldCharType="begin"/>
      </w:r>
      <w:r>
        <w:instrText xml:space="preserve"> HYPERLINK "mailto:kxpjb211@163.com" </w:instrText>
      </w:r>
      <w:r>
        <w:fldChar w:fldCharType="separate"/>
      </w:r>
      <w:r>
        <w:rPr>
          <w:rStyle w:val="12"/>
          <w:rFonts w:ascii="Times New Roman" w:hAnsi="Times New Roman" w:eastAsia="仿宋_GB2312"/>
          <w:color w:val="auto"/>
          <w:sz w:val="32"/>
          <w:szCs w:val="32"/>
          <w:u w:val="none"/>
        </w:rPr>
        <w:t>kxpjb211@163.com</w:t>
      </w:r>
      <w:r>
        <w:rPr>
          <w:rStyle w:val="12"/>
          <w:rFonts w:ascii="Times New Roman" w:hAnsi="Times New Roman" w:eastAsia="仿宋_GB2312"/>
          <w:color w:val="auto"/>
          <w:sz w:val="32"/>
          <w:szCs w:val="32"/>
          <w:u w:val="none"/>
        </w:rPr>
        <w:fldChar w:fldCharType="end"/>
      </w:r>
    </w:p>
    <w:p>
      <w:pPr>
        <w:spacing w:line="58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地址：北京市朝阳区樱花园东街甲4号</w:t>
      </w: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邮政编码:100029</w:t>
      </w:r>
    </w:p>
    <w:p>
      <w:pPr>
        <w:spacing w:line="584" w:lineRule="exact"/>
        <w:ind w:firstLine="640"/>
        <w:rPr>
          <w:rFonts w:ascii="Times New Roman" w:hAnsi="Times New Roman" w:eastAsia="仿宋_GB2312"/>
          <w:sz w:val="32"/>
          <w:szCs w:val="32"/>
        </w:rPr>
      </w:pPr>
    </w:p>
    <w:p>
      <w:pPr>
        <w:spacing w:line="584" w:lineRule="exact"/>
        <w:ind w:firstLine="640" w:firstLineChars="200"/>
        <w:rPr>
          <w:rFonts w:ascii="Times New Roman" w:hAnsi="Times New Roman" w:eastAsia="仿宋_GB2312"/>
          <w:color w:val="191919"/>
          <w:spacing w:val="-20"/>
          <w:sz w:val="32"/>
          <w:szCs w:val="32"/>
        </w:rPr>
      </w:pPr>
      <w:r>
        <w:rPr>
          <w:rFonts w:ascii="Times New Roman" w:hAnsi="Times New Roman" w:eastAsia="仿宋_GB2312"/>
          <w:sz w:val="32"/>
          <w:szCs w:val="32"/>
        </w:rPr>
        <w:t>附件：</w:t>
      </w:r>
      <w:bookmarkStart w:id="3" w:name="_Hlk56611650"/>
      <w:r>
        <w:rPr>
          <w:rFonts w:ascii="Times New Roman" w:hAnsi="Times New Roman" w:eastAsia="仿宋_GB2312"/>
          <w:sz w:val="32"/>
          <w:szCs w:val="32"/>
        </w:rPr>
        <w:t>1.</w:t>
      </w:r>
      <w:r>
        <w:rPr>
          <w:rFonts w:ascii="Times New Roman" w:hAnsi="Times New Roman" w:eastAsia="仿宋_GB2312"/>
          <w:spacing w:val="-20"/>
          <w:sz w:val="32"/>
          <w:szCs w:val="32"/>
        </w:rPr>
        <w:t>2022年度中医药十大学术进展内容推荐表</w:t>
      </w:r>
    </w:p>
    <w:p>
      <w:pPr>
        <w:spacing w:line="584" w:lineRule="exact"/>
        <w:ind w:firstLine="1600" w:firstLineChars="500"/>
        <w:rPr>
          <w:rFonts w:ascii="Times New Roman" w:hAnsi="Times New Roman" w:eastAsia="仿宋_GB2312"/>
          <w:color w:val="191919"/>
          <w:sz w:val="32"/>
          <w:szCs w:val="32"/>
        </w:rPr>
      </w:pPr>
      <w:r>
        <w:rPr>
          <w:rFonts w:ascii="Times New Roman" w:hAnsi="Times New Roman" w:eastAsia="仿宋_GB2312"/>
          <w:color w:val="191919"/>
          <w:sz w:val="32"/>
          <w:szCs w:val="32"/>
        </w:rPr>
        <w:t>2.2021年度中医药十大学术进展</w:t>
      </w:r>
    </w:p>
    <w:p>
      <w:pPr>
        <w:spacing w:line="584" w:lineRule="exact"/>
        <w:ind w:firstLine="1600" w:firstLineChars="500"/>
        <w:rPr>
          <w:rFonts w:ascii="Times New Roman" w:hAnsi="Times New Roman" w:eastAsia="仿宋_GB2312"/>
          <w:color w:val="191919"/>
          <w:sz w:val="32"/>
          <w:szCs w:val="32"/>
        </w:rPr>
      </w:pPr>
      <w:r>
        <w:rPr>
          <w:rFonts w:ascii="Times New Roman" w:hAnsi="Times New Roman" w:eastAsia="仿宋_GB2312"/>
          <w:color w:val="191919"/>
          <w:sz w:val="32"/>
          <w:szCs w:val="32"/>
        </w:rPr>
        <w:t>3.2020年度中医药十大学术进展</w:t>
      </w:r>
    </w:p>
    <w:p>
      <w:pPr>
        <w:spacing w:line="584" w:lineRule="exact"/>
        <w:ind w:firstLine="1600" w:firstLineChars="500"/>
        <w:rPr>
          <w:rFonts w:ascii="Times New Roman" w:hAnsi="Times New Roman" w:eastAsia="仿宋_GB2312"/>
          <w:color w:val="191919"/>
          <w:sz w:val="32"/>
          <w:szCs w:val="32"/>
        </w:rPr>
      </w:pPr>
      <w:r>
        <w:rPr>
          <w:rFonts w:hint="eastAsia" w:ascii="Times New Roman" w:hAnsi="Times New Roman" w:eastAsia="仿宋_GB2312"/>
          <w:color w:val="191919"/>
          <w:sz w:val="32"/>
          <w:szCs w:val="32"/>
        </w:rPr>
        <w:t>4</w:t>
      </w:r>
      <w:r>
        <w:rPr>
          <w:rFonts w:ascii="Times New Roman" w:hAnsi="Times New Roman" w:eastAsia="仿宋_GB2312"/>
          <w:color w:val="191919"/>
          <w:sz w:val="32"/>
          <w:szCs w:val="32"/>
        </w:rPr>
        <w:t>.</w:t>
      </w:r>
      <w:r>
        <w:rPr>
          <w:rFonts w:hint="eastAsia"/>
        </w:rPr>
        <w:t xml:space="preserve"> </w:t>
      </w:r>
      <w:r>
        <w:rPr>
          <w:rFonts w:hint="eastAsia" w:ascii="Times New Roman" w:hAnsi="Times New Roman" w:eastAsia="仿宋_GB2312"/>
          <w:color w:val="191919"/>
          <w:sz w:val="32"/>
          <w:szCs w:val="32"/>
        </w:rPr>
        <w:t>2021年度中医药十大学术进展（论文）</w:t>
      </w:r>
    </w:p>
    <w:bookmarkEnd w:id="3"/>
    <w:p>
      <w:pPr>
        <w:spacing w:line="584" w:lineRule="exact"/>
        <w:rPr>
          <w:rFonts w:ascii="Times New Roman" w:hAnsi="Times New Roman" w:eastAsia="仿宋_GB2312"/>
          <w:sz w:val="32"/>
          <w:szCs w:val="32"/>
        </w:rPr>
      </w:pPr>
    </w:p>
    <w:p>
      <w:pPr>
        <w:spacing w:line="584" w:lineRule="exact"/>
        <w:rPr>
          <w:rFonts w:ascii="Times New Roman" w:hAnsi="Times New Roman" w:eastAsia="仿宋_GB2312"/>
          <w:sz w:val="32"/>
          <w:szCs w:val="32"/>
        </w:rPr>
      </w:pPr>
    </w:p>
    <w:p>
      <w:pPr>
        <w:spacing w:line="584" w:lineRule="exact"/>
        <w:rPr>
          <w:rFonts w:ascii="Times New Roman" w:hAnsi="Times New Roman" w:eastAsia="仿宋_GB2312"/>
          <w:sz w:val="32"/>
          <w:szCs w:val="32"/>
        </w:rPr>
      </w:pPr>
      <w:r>
        <w:rPr>
          <w:rFonts w:ascii="Times New Roman" w:hAnsi="Times New Roman" w:eastAsia="仿宋_GB2312"/>
          <w:sz w:val="32"/>
          <w:szCs w:val="32"/>
        </w:rPr>
        <w:t xml:space="preserve">                           </w:t>
      </w:r>
      <w:bookmarkStart w:id="5" w:name="_GoBack"/>
      <w:bookmarkEnd w:id="5"/>
      <w:r>
        <w:rPr>
          <w:rFonts w:ascii="Times New Roman" w:hAnsi="Times New Roman" w:eastAsia="仿宋_GB2312"/>
          <w:sz w:val="32"/>
          <w:szCs w:val="32"/>
        </w:rPr>
        <w:t xml:space="preserve">   中华中医药学会</w:t>
      </w:r>
    </w:p>
    <w:p>
      <w:pPr>
        <w:spacing w:line="584" w:lineRule="exact"/>
        <w:rPr>
          <w:rFonts w:ascii="Times New Roman" w:hAnsi="Times New Roman" w:eastAsia="黑体"/>
          <w:sz w:val="32"/>
          <w:szCs w:val="32"/>
        </w:rPr>
        <w:sectPr>
          <w:pgSz w:w="11906" w:h="16838"/>
          <w:pgMar w:top="1701" w:right="1531" w:bottom="1701" w:left="1531" w:header="851" w:footer="992" w:gutter="0"/>
          <w:cols w:space="720" w:num="1"/>
          <w:docGrid w:type="lines" w:linePitch="312" w:charSpace="0"/>
        </w:sectPr>
      </w:pPr>
      <w:r>
        <w:rPr>
          <w:rFonts w:ascii="Times New Roman" w:hAnsi="Times New Roman" w:eastAsia="仿宋_GB2312"/>
          <w:sz w:val="32"/>
          <w:szCs w:val="32"/>
        </w:rPr>
        <w:t xml:space="preserve">                             2022年</w:t>
      </w:r>
      <w:r>
        <w:rPr>
          <w:rFonts w:hint="eastAsia" w:ascii="Times New Roman" w:hAnsi="Times New Roman" w:eastAsia="仿宋_GB2312"/>
          <w:sz w:val="32"/>
          <w:szCs w:val="32"/>
          <w:lang w:val="en-US" w:eastAsia="zh-CN"/>
        </w:rPr>
        <w:t>11</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17</w:t>
      </w:r>
      <w:r>
        <w:rPr>
          <w:rFonts w:ascii="Times New Roman" w:hAnsi="Times New Roman" w:eastAsia="仿宋_GB2312"/>
          <w:sz w:val="32"/>
          <w:szCs w:val="32"/>
        </w:rPr>
        <w:t>日</w:t>
      </w:r>
    </w:p>
    <w:p>
      <w:pPr>
        <w:spacing w:line="600" w:lineRule="exact"/>
        <w:rPr>
          <w:rFonts w:ascii="Times New Roman" w:hAnsi="Times New Roman" w:eastAsia="黑体"/>
          <w:color w:val="000000" w:themeColor="text1"/>
          <w:sz w:val="32"/>
          <w:szCs w:val="32"/>
          <w14:textFill>
            <w14:solidFill>
              <w14:schemeClr w14:val="tx1"/>
            </w14:solidFill>
          </w14:textFill>
        </w:rPr>
      </w:pPr>
      <w:bookmarkStart w:id="4" w:name="_Hlk56610759"/>
      <w:r>
        <w:rPr>
          <w:rFonts w:ascii="Times New Roman" w:hAnsi="Times New Roman" w:eastAsia="黑体"/>
          <w:color w:val="000000" w:themeColor="text1"/>
          <w:sz w:val="32"/>
          <w:szCs w:val="32"/>
          <w14:textFill>
            <w14:solidFill>
              <w14:schemeClr w14:val="tx1"/>
            </w14:solidFill>
          </w14:textFill>
        </w:rPr>
        <w:t>附件</w:t>
      </w:r>
      <w:r>
        <w:rPr>
          <w:rFonts w:hint="eastAsia" w:ascii="Times New Roman" w:hAnsi="Times New Roman" w:eastAsia="黑体"/>
          <w:color w:val="000000" w:themeColor="text1"/>
          <w:sz w:val="32"/>
          <w:szCs w:val="32"/>
          <w14:textFill>
            <w14:solidFill>
              <w14:schemeClr w14:val="tx1"/>
            </w14:solidFill>
          </w14:textFill>
        </w:rPr>
        <w:t>1</w:t>
      </w:r>
    </w:p>
    <w:p>
      <w:pPr>
        <w:spacing w:line="600" w:lineRule="exact"/>
        <w:rPr>
          <w:rFonts w:ascii="Times New Roman" w:hAnsi="Times New Roman" w:eastAsia="黑体"/>
          <w:color w:val="000000" w:themeColor="text1"/>
          <w:sz w:val="32"/>
          <w:szCs w:val="32"/>
          <w14:textFill>
            <w14:solidFill>
              <w14:schemeClr w14:val="tx1"/>
            </w14:solidFill>
          </w14:textFill>
        </w:rPr>
      </w:pPr>
    </w:p>
    <w:bookmarkEnd w:id="4"/>
    <w:p>
      <w:pPr>
        <w:spacing w:line="520" w:lineRule="exact"/>
        <w:jc w:val="center"/>
        <w:rPr>
          <w:rFonts w:ascii="方正小标宋简体" w:hAnsi="方正小标宋简体" w:eastAsia="方正小标宋简体" w:cs="方正小标宋简体"/>
          <w:color w:val="191919"/>
          <w:sz w:val="44"/>
          <w:szCs w:val="44"/>
        </w:rPr>
      </w:pPr>
      <w:r>
        <w:rPr>
          <w:rFonts w:ascii="Times New Roman" w:hAnsi="Times New Roman" w:eastAsia="方正小标宋简体"/>
          <w:spacing w:val="-20"/>
          <w:sz w:val="44"/>
          <w:szCs w:val="44"/>
        </w:rPr>
        <w:t>2022</w:t>
      </w:r>
      <w:r>
        <w:rPr>
          <w:rFonts w:hint="eastAsia" w:ascii="方正小标宋简体" w:hAnsi="方正小标宋简体" w:eastAsia="方正小标宋简体" w:cs="方正小标宋简体"/>
          <w:spacing w:val="-20"/>
          <w:sz w:val="44"/>
          <w:szCs w:val="44"/>
        </w:rPr>
        <w:t>年度中医药</w:t>
      </w:r>
      <w:r>
        <w:rPr>
          <w:rFonts w:hint="eastAsia" w:ascii="方正小标宋简体" w:hAnsi="方正小标宋简体" w:eastAsia="方正小标宋简体" w:cs="方正小标宋简体"/>
          <w:color w:val="191919"/>
          <w:sz w:val="44"/>
          <w:szCs w:val="44"/>
        </w:rPr>
        <w:t>十大学术进展内容推荐表</w:t>
      </w:r>
    </w:p>
    <w:p>
      <w:pPr>
        <w:spacing w:line="520" w:lineRule="exact"/>
        <w:jc w:val="center"/>
        <w:rPr>
          <w:rFonts w:ascii="方正小标宋简体" w:hAnsi="方正小标宋简体" w:eastAsia="方正小标宋简体" w:cs="方正小标宋简体"/>
          <w:color w:val="191919"/>
          <w:sz w:val="44"/>
          <w:szCs w:val="44"/>
        </w:rPr>
      </w:pPr>
    </w:p>
    <w:tbl>
      <w:tblPr>
        <w:tblStyle w:val="8"/>
        <w:tblW w:w="9555" w:type="dxa"/>
        <w:tblInd w:w="-247" w:type="dxa"/>
        <w:tblLayout w:type="fixed"/>
        <w:tblCellMar>
          <w:top w:w="0" w:type="dxa"/>
          <w:left w:w="108" w:type="dxa"/>
          <w:bottom w:w="0" w:type="dxa"/>
          <w:right w:w="108" w:type="dxa"/>
        </w:tblCellMar>
      </w:tblPr>
      <w:tblGrid>
        <w:gridCol w:w="570"/>
        <w:gridCol w:w="1368"/>
        <w:gridCol w:w="7617"/>
      </w:tblGrid>
      <w:tr>
        <w:tblPrEx>
          <w:tblCellMar>
            <w:top w:w="0" w:type="dxa"/>
            <w:left w:w="108" w:type="dxa"/>
            <w:bottom w:w="0" w:type="dxa"/>
            <w:right w:w="108" w:type="dxa"/>
          </w:tblCellMar>
        </w:tblPrEx>
        <w:trPr>
          <w:trHeight w:val="580" w:hRule="atLeast"/>
        </w:trPr>
        <w:tc>
          <w:tcPr>
            <w:tcW w:w="1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8"/>
                <w:szCs w:val="28"/>
                <w:lang w:bidi="ar"/>
              </w:rPr>
              <w:t>题目</w:t>
            </w:r>
          </w:p>
        </w:tc>
        <w:tc>
          <w:tcPr>
            <w:tcW w:w="7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left"/>
              <w:textAlignment w:val="center"/>
              <w:rPr>
                <w:rFonts w:ascii="宋体" w:hAnsi="宋体" w:cs="宋体"/>
                <w:color w:val="000000"/>
                <w:sz w:val="24"/>
                <w:szCs w:val="24"/>
              </w:rPr>
            </w:pPr>
          </w:p>
        </w:tc>
      </w:tr>
      <w:tr>
        <w:tblPrEx>
          <w:tblCellMar>
            <w:top w:w="0" w:type="dxa"/>
            <w:left w:w="108" w:type="dxa"/>
            <w:bottom w:w="0" w:type="dxa"/>
            <w:right w:w="108" w:type="dxa"/>
          </w:tblCellMar>
        </w:tblPrEx>
        <w:trPr>
          <w:trHeight w:val="550" w:hRule="atLeast"/>
        </w:trPr>
        <w:tc>
          <w:tcPr>
            <w:tcW w:w="1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8"/>
                <w:szCs w:val="28"/>
                <w:lang w:bidi="ar"/>
              </w:rPr>
              <w:t>内容摘要</w:t>
            </w:r>
          </w:p>
        </w:tc>
        <w:tc>
          <w:tcPr>
            <w:tcW w:w="7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left"/>
              <w:textAlignment w:val="center"/>
              <w:rPr>
                <w:rFonts w:ascii="宋体" w:hAnsi="宋体" w:cs="宋体"/>
                <w:color w:val="000000"/>
                <w:sz w:val="24"/>
                <w:szCs w:val="24"/>
              </w:rPr>
            </w:pPr>
          </w:p>
        </w:tc>
      </w:tr>
      <w:tr>
        <w:tblPrEx>
          <w:tblCellMar>
            <w:top w:w="0" w:type="dxa"/>
            <w:left w:w="108" w:type="dxa"/>
            <w:bottom w:w="0" w:type="dxa"/>
            <w:right w:w="108" w:type="dxa"/>
          </w:tblCellMar>
        </w:tblPrEx>
        <w:trPr>
          <w:trHeight w:val="760" w:hRule="atLeast"/>
        </w:trPr>
        <w:tc>
          <w:tcPr>
            <w:tcW w:w="1938"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52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8"/>
                <w:szCs w:val="28"/>
                <w:lang w:bidi="ar"/>
              </w:rPr>
              <w:t>研究团队</w:t>
            </w:r>
          </w:p>
        </w:tc>
        <w:tc>
          <w:tcPr>
            <w:tcW w:w="761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520" w:lineRule="exact"/>
              <w:jc w:val="left"/>
              <w:textAlignment w:val="center"/>
              <w:rPr>
                <w:rFonts w:ascii="宋体" w:hAnsi="宋体" w:cs="宋体"/>
                <w:color w:val="000000"/>
                <w:sz w:val="24"/>
                <w:szCs w:val="24"/>
              </w:rPr>
            </w:pPr>
          </w:p>
        </w:tc>
      </w:tr>
      <w:tr>
        <w:tblPrEx>
          <w:tblCellMar>
            <w:top w:w="0" w:type="dxa"/>
            <w:left w:w="108" w:type="dxa"/>
            <w:bottom w:w="0" w:type="dxa"/>
            <w:right w:w="108" w:type="dxa"/>
          </w:tblCellMar>
        </w:tblPrEx>
        <w:trPr>
          <w:trHeight w:val="680" w:hRule="atLeast"/>
        </w:trPr>
        <w:tc>
          <w:tcPr>
            <w:tcW w:w="5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8"/>
                <w:szCs w:val="28"/>
                <w:lang w:bidi="ar"/>
              </w:rPr>
              <w:t>文章</w:t>
            </w: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文章名称</w:t>
            </w:r>
          </w:p>
        </w:tc>
        <w:tc>
          <w:tcPr>
            <w:tcW w:w="7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left"/>
              <w:textAlignment w:val="center"/>
              <w:rPr>
                <w:rFonts w:ascii="宋体" w:hAnsi="宋体" w:cs="宋体"/>
                <w:sz w:val="24"/>
                <w:szCs w:val="24"/>
              </w:rPr>
            </w:pPr>
          </w:p>
        </w:tc>
      </w:tr>
      <w:tr>
        <w:tblPrEx>
          <w:tblCellMar>
            <w:top w:w="0" w:type="dxa"/>
            <w:left w:w="108" w:type="dxa"/>
            <w:bottom w:w="0" w:type="dxa"/>
            <w:right w:w="108" w:type="dxa"/>
          </w:tblCellMar>
        </w:tblPrEx>
        <w:trPr>
          <w:trHeight w:val="680" w:hRule="atLeast"/>
        </w:trPr>
        <w:tc>
          <w:tcPr>
            <w:tcW w:w="570" w:type="dxa"/>
            <w:vMerge w:val="continue"/>
            <w:tcBorders>
              <w:top w:val="single" w:color="auto" w:sz="4" w:space="0"/>
              <w:left w:val="single" w:color="auto" w:sz="4" w:space="0"/>
              <w:right w:val="single" w:color="000000" w:sz="4" w:space="0"/>
            </w:tcBorders>
            <w:shd w:val="clear" w:color="auto" w:fill="auto"/>
            <w:vAlign w:val="center"/>
          </w:tcPr>
          <w:p>
            <w:pPr>
              <w:spacing w:line="520" w:lineRule="exact"/>
              <w:jc w:val="center"/>
              <w:rPr>
                <w:rFonts w:ascii="仿宋" w:hAnsi="仿宋" w:eastAsia="仿宋" w:cs="仿宋"/>
                <w:color w:val="000000"/>
                <w:sz w:val="24"/>
                <w:szCs w:val="24"/>
              </w:rPr>
            </w:pPr>
          </w:p>
        </w:tc>
        <w:tc>
          <w:tcPr>
            <w:tcW w:w="136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发表年份</w:t>
            </w:r>
          </w:p>
        </w:tc>
        <w:tc>
          <w:tcPr>
            <w:tcW w:w="761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cs="宋体"/>
                <w:sz w:val="24"/>
                <w:szCs w:val="24"/>
              </w:rPr>
            </w:pPr>
          </w:p>
        </w:tc>
      </w:tr>
      <w:tr>
        <w:tblPrEx>
          <w:tblCellMar>
            <w:top w:w="0" w:type="dxa"/>
            <w:left w:w="108" w:type="dxa"/>
            <w:bottom w:w="0" w:type="dxa"/>
            <w:right w:w="108" w:type="dxa"/>
          </w:tblCellMar>
        </w:tblPrEx>
        <w:trPr>
          <w:trHeight w:val="680" w:hRule="atLeast"/>
        </w:trPr>
        <w:tc>
          <w:tcPr>
            <w:tcW w:w="570" w:type="dxa"/>
            <w:vMerge w:val="continue"/>
            <w:tcBorders>
              <w:left w:val="single" w:color="auto" w:sz="4" w:space="0"/>
              <w:right w:val="single" w:color="000000" w:sz="4" w:space="0"/>
            </w:tcBorders>
            <w:shd w:val="clear" w:color="auto" w:fill="auto"/>
            <w:vAlign w:val="center"/>
          </w:tcPr>
          <w:p>
            <w:pPr>
              <w:spacing w:line="520" w:lineRule="exact"/>
              <w:jc w:val="center"/>
              <w:rPr>
                <w:rFonts w:ascii="仿宋" w:hAnsi="仿宋" w:eastAsia="仿宋" w:cs="仿宋"/>
                <w:color w:val="000000"/>
                <w:sz w:val="24"/>
                <w:szCs w:val="24"/>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第一作者</w:t>
            </w:r>
          </w:p>
        </w:tc>
        <w:tc>
          <w:tcPr>
            <w:tcW w:w="7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cs="宋体"/>
                <w:sz w:val="24"/>
                <w:szCs w:val="24"/>
              </w:rPr>
            </w:pPr>
          </w:p>
        </w:tc>
      </w:tr>
      <w:tr>
        <w:tblPrEx>
          <w:tblCellMar>
            <w:top w:w="0" w:type="dxa"/>
            <w:left w:w="108" w:type="dxa"/>
            <w:bottom w:w="0" w:type="dxa"/>
            <w:right w:w="108" w:type="dxa"/>
          </w:tblCellMar>
        </w:tblPrEx>
        <w:trPr>
          <w:trHeight w:val="680" w:hRule="atLeast"/>
        </w:trPr>
        <w:tc>
          <w:tcPr>
            <w:tcW w:w="570" w:type="dxa"/>
            <w:vMerge w:val="continue"/>
            <w:tcBorders>
              <w:left w:val="single" w:color="auto" w:sz="4" w:space="0"/>
              <w:right w:val="single" w:color="000000" w:sz="4" w:space="0"/>
            </w:tcBorders>
            <w:shd w:val="clear" w:color="auto" w:fill="auto"/>
            <w:vAlign w:val="center"/>
          </w:tcPr>
          <w:p>
            <w:pPr>
              <w:spacing w:line="520" w:lineRule="exact"/>
              <w:jc w:val="center"/>
              <w:rPr>
                <w:rFonts w:ascii="仿宋" w:hAnsi="仿宋" w:eastAsia="仿宋" w:cs="仿宋"/>
                <w:color w:val="000000"/>
                <w:sz w:val="24"/>
                <w:szCs w:val="24"/>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通讯作者</w:t>
            </w:r>
          </w:p>
        </w:tc>
        <w:tc>
          <w:tcPr>
            <w:tcW w:w="7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cs="宋体"/>
                <w:sz w:val="24"/>
                <w:szCs w:val="24"/>
              </w:rPr>
            </w:pPr>
          </w:p>
        </w:tc>
      </w:tr>
      <w:tr>
        <w:tblPrEx>
          <w:tblCellMar>
            <w:top w:w="0" w:type="dxa"/>
            <w:left w:w="108" w:type="dxa"/>
            <w:bottom w:w="0" w:type="dxa"/>
            <w:right w:w="108" w:type="dxa"/>
          </w:tblCellMar>
        </w:tblPrEx>
        <w:trPr>
          <w:trHeight w:val="680" w:hRule="atLeast"/>
        </w:trPr>
        <w:tc>
          <w:tcPr>
            <w:tcW w:w="570" w:type="dxa"/>
            <w:vMerge w:val="continue"/>
            <w:tcBorders>
              <w:left w:val="single" w:color="auto" w:sz="4" w:space="0"/>
              <w:right w:val="single" w:color="000000" w:sz="4" w:space="0"/>
            </w:tcBorders>
            <w:shd w:val="clear" w:color="auto" w:fill="auto"/>
            <w:vAlign w:val="center"/>
          </w:tcPr>
          <w:p>
            <w:pPr>
              <w:spacing w:line="520" w:lineRule="exact"/>
              <w:jc w:val="center"/>
              <w:rPr>
                <w:rFonts w:ascii="宋体" w:hAnsi="宋体" w:cs="宋体"/>
                <w:color w:val="000000"/>
                <w:sz w:val="24"/>
                <w:szCs w:val="24"/>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期刊</w:t>
            </w:r>
          </w:p>
        </w:tc>
        <w:tc>
          <w:tcPr>
            <w:tcW w:w="7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jc w:val="left"/>
              <w:rPr>
                <w:rFonts w:ascii="宋体" w:hAnsi="宋体" w:cs="宋体"/>
                <w:sz w:val="24"/>
                <w:szCs w:val="24"/>
              </w:rPr>
            </w:pPr>
          </w:p>
        </w:tc>
      </w:tr>
      <w:tr>
        <w:tblPrEx>
          <w:tblCellMar>
            <w:top w:w="0" w:type="dxa"/>
            <w:left w:w="108" w:type="dxa"/>
            <w:bottom w:w="0" w:type="dxa"/>
            <w:right w:w="108" w:type="dxa"/>
          </w:tblCellMar>
        </w:tblPrEx>
        <w:trPr>
          <w:trHeight w:val="680" w:hRule="atLeast"/>
        </w:trPr>
        <w:tc>
          <w:tcPr>
            <w:tcW w:w="570" w:type="dxa"/>
            <w:vMerge w:val="continue"/>
            <w:tcBorders>
              <w:left w:val="single" w:color="auto" w:sz="4" w:space="0"/>
              <w:bottom w:val="single" w:color="auto" w:sz="4" w:space="0"/>
              <w:right w:val="single" w:color="000000" w:sz="4" w:space="0"/>
            </w:tcBorders>
            <w:shd w:val="clear" w:color="auto" w:fill="auto"/>
            <w:vAlign w:val="center"/>
          </w:tcPr>
          <w:p>
            <w:pPr>
              <w:spacing w:line="520" w:lineRule="exact"/>
              <w:jc w:val="center"/>
              <w:rPr>
                <w:rFonts w:ascii="宋体" w:hAnsi="宋体" w:cs="宋体"/>
                <w:color w:val="000000"/>
                <w:sz w:val="24"/>
                <w:szCs w:val="24"/>
              </w:rPr>
            </w:pPr>
          </w:p>
        </w:tc>
        <w:tc>
          <w:tcPr>
            <w:tcW w:w="136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520" w:lineRule="exact"/>
              <w:jc w:val="left"/>
              <w:textAlignment w:val="center"/>
              <w:rPr>
                <w:rFonts w:ascii="宋体" w:hAnsi="宋体" w:cs="宋体"/>
                <w:color w:val="000000"/>
                <w:sz w:val="28"/>
                <w:szCs w:val="28"/>
              </w:rPr>
            </w:pPr>
            <w:r>
              <w:rPr>
                <w:rFonts w:ascii="Times New Roman" w:hAnsi="Times New Roman"/>
                <w:color w:val="000000"/>
                <w:kern w:val="0"/>
                <w:sz w:val="28"/>
                <w:szCs w:val="28"/>
                <w:lang w:bidi="ar"/>
              </w:rPr>
              <w:t>IF</w:t>
            </w:r>
          </w:p>
        </w:tc>
        <w:tc>
          <w:tcPr>
            <w:tcW w:w="761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520" w:lineRule="exact"/>
              <w:jc w:val="center"/>
              <w:textAlignment w:val="center"/>
              <w:rPr>
                <w:rFonts w:ascii="宋体" w:hAnsi="宋体" w:cs="宋体"/>
                <w:color w:val="000000"/>
                <w:sz w:val="24"/>
                <w:szCs w:val="24"/>
              </w:rPr>
            </w:pPr>
          </w:p>
        </w:tc>
      </w:tr>
      <w:tr>
        <w:tblPrEx>
          <w:tblCellMar>
            <w:top w:w="0" w:type="dxa"/>
            <w:left w:w="108" w:type="dxa"/>
            <w:bottom w:w="0" w:type="dxa"/>
            <w:right w:w="108" w:type="dxa"/>
          </w:tblCellMar>
        </w:tblPrEx>
        <w:trPr>
          <w:trHeight w:val="2110" w:hRule="atLeast"/>
        </w:trPr>
        <w:tc>
          <w:tcPr>
            <w:tcW w:w="1938"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研究背景</w:t>
            </w:r>
          </w:p>
        </w:tc>
        <w:tc>
          <w:tcPr>
            <w:tcW w:w="761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left"/>
              <w:textAlignment w:val="center"/>
              <w:rPr>
                <w:rFonts w:ascii="宋体" w:hAnsi="宋体" w:cs="宋体"/>
                <w:color w:val="000000"/>
                <w:sz w:val="24"/>
                <w:szCs w:val="24"/>
              </w:rPr>
            </w:pPr>
          </w:p>
        </w:tc>
      </w:tr>
      <w:tr>
        <w:tblPrEx>
          <w:tblCellMar>
            <w:top w:w="0" w:type="dxa"/>
            <w:left w:w="108" w:type="dxa"/>
            <w:bottom w:w="0" w:type="dxa"/>
            <w:right w:w="108" w:type="dxa"/>
          </w:tblCellMar>
        </w:tblPrEx>
        <w:trPr>
          <w:trHeight w:val="2660" w:hRule="atLeast"/>
        </w:trPr>
        <w:tc>
          <w:tcPr>
            <w:tcW w:w="1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研究方法</w:t>
            </w:r>
          </w:p>
          <w:p>
            <w:pPr>
              <w:widowControl/>
              <w:spacing w:line="52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及结论</w:t>
            </w:r>
          </w:p>
        </w:tc>
        <w:tc>
          <w:tcPr>
            <w:tcW w:w="7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left"/>
              <w:textAlignment w:val="center"/>
              <w:rPr>
                <w:rFonts w:ascii="宋体" w:hAnsi="宋体" w:cs="宋体"/>
                <w:color w:val="000000"/>
                <w:sz w:val="24"/>
                <w:szCs w:val="24"/>
              </w:rPr>
            </w:pPr>
          </w:p>
        </w:tc>
      </w:tr>
      <w:tr>
        <w:tblPrEx>
          <w:tblCellMar>
            <w:top w:w="0" w:type="dxa"/>
            <w:left w:w="108" w:type="dxa"/>
            <w:bottom w:w="0" w:type="dxa"/>
            <w:right w:w="108" w:type="dxa"/>
          </w:tblCellMar>
        </w:tblPrEx>
        <w:trPr>
          <w:trHeight w:val="2010" w:hRule="atLeast"/>
        </w:trPr>
        <w:tc>
          <w:tcPr>
            <w:tcW w:w="1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研究价值</w:t>
            </w:r>
          </w:p>
        </w:tc>
        <w:tc>
          <w:tcPr>
            <w:tcW w:w="7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left"/>
              <w:textAlignment w:val="center"/>
              <w:rPr>
                <w:rFonts w:ascii="宋体" w:hAnsi="宋体" w:cs="宋体"/>
                <w:color w:val="000000"/>
                <w:sz w:val="24"/>
                <w:szCs w:val="24"/>
              </w:rPr>
            </w:pPr>
          </w:p>
        </w:tc>
      </w:tr>
      <w:tr>
        <w:tblPrEx>
          <w:tblCellMar>
            <w:top w:w="0" w:type="dxa"/>
            <w:left w:w="108" w:type="dxa"/>
            <w:bottom w:w="0" w:type="dxa"/>
            <w:right w:w="108" w:type="dxa"/>
          </w:tblCellMar>
        </w:tblPrEx>
        <w:trPr>
          <w:trHeight w:val="780" w:hRule="atLeast"/>
        </w:trPr>
        <w:tc>
          <w:tcPr>
            <w:tcW w:w="1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社会价值阐述（专利、成果转化等）</w:t>
            </w:r>
          </w:p>
        </w:tc>
        <w:tc>
          <w:tcPr>
            <w:tcW w:w="76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exact"/>
              <w:rPr>
                <w:rFonts w:ascii="宋体" w:hAnsi="宋体" w:cs="宋体"/>
                <w:color w:val="000000"/>
                <w:sz w:val="24"/>
                <w:szCs w:val="24"/>
              </w:rPr>
            </w:pPr>
          </w:p>
        </w:tc>
      </w:tr>
      <w:tr>
        <w:tblPrEx>
          <w:tblCellMar>
            <w:top w:w="0" w:type="dxa"/>
            <w:left w:w="108" w:type="dxa"/>
            <w:bottom w:w="0" w:type="dxa"/>
            <w:right w:w="108" w:type="dxa"/>
          </w:tblCellMar>
        </w:tblPrEx>
        <w:trPr>
          <w:trHeight w:val="780" w:hRule="atLeast"/>
        </w:trPr>
        <w:tc>
          <w:tcPr>
            <w:tcW w:w="1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其他支撑成果</w:t>
            </w:r>
          </w:p>
        </w:tc>
        <w:tc>
          <w:tcPr>
            <w:tcW w:w="76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exact"/>
              <w:rPr>
                <w:rFonts w:ascii="宋体" w:hAnsi="宋体" w:cs="宋体"/>
                <w:color w:val="000000"/>
                <w:sz w:val="24"/>
                <w:szCs w:val="24"/>
              </w:rPr>
            </w:pPr>
            <w:r>
              <w:rPr>
                <w:rFonts w:hint="eastAsia" w:ascii="楷体" w:hAnsi="楷体" w:eastAsia="楷体" w:cs="楷体"/>
                <w:color w:val="000000"/>
                <w:sz w:val="24"/>
                <w:szCs w:val="24"/>
              </w:rPr>
              <w:t>（说明：此处可填写</w:t>
            </w:r>
            <w:r>
              <w:rPr>
                <w:rFonts w:hint="eastAsia" w:ascii="楷体" w:hAnsi="楷体" w:eastAsia="楷体" w:cs="楷体"/>
                <w:sz w:val="24"/>
                <w:szCs w:val="24"/>
              </w:rPr>
              <w:t>今年或往年</w:t>
            </w:r>
            <w:r>
              <w:rPr>
                <w:rFonts w:hint="eastAsia" w:ascii="楷体" w:hAnsi="楷体" w:eastAsia="楷体" w:cs="楷体"/>
                <w:color w:val="000000"/>
                <w:sz w:val="24"/>
                <w:szCs w:val="24"/>
              </w:rPr>
              <w:t>发表的与上述文章直接相关的、重要的文章/专利/成果转化等）</w:t>
            </w:r>
          </w:p>
        </w:tc>
      </w:tr>
      <w:tr>
        <w:tblPrEx>
          <w:tblCellMar>
            <w:top w:w="0" w:type="dxa"/>
            <w:left w:w="108" w:type="dxa"/>
            <w:bottom w:w="0" w:type="dxa"/>
            <w:right w:w="108" w:type="dxa"/>
          </w:tblCellMar>
        </w:tblPrEx>
        <w:trPr>
          <w:trHeight w:val="780" w:hRule="atLeast"/>
        </w:trPr>
        <w:tc>
          <w:tcPr>
            <w:tcW w:w="1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联系人及</w:t>
            </w:r>
          </w:p>
          <w:p>
            <w:pPr>
              <w:widowControl/>
              <w:spacing w:line="520" w:lineRule="exact"/>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联系方式</w:t>
            </w:r>
          </w:p>
        </w:tc>
        <w:tc>
          <w:tcPr>
            <w:tcW w:w="76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exact"/>
              <w:rPr>
                <w:rFonts w:ascii="宋体" w:hAnsi="宋体" w:cs="宋体"/>
                <w:color w:val="000000"/>
                <w:sz w:val="24"/>
                <w:szCs w:val="24"/>
              </w:rPr>
            </w:pPr>
            <w:r>
              <w:rPr>
                <w:rFonts w:hint="eastAsia" w:ascii="楷体" w:hAnsi="楷体" w:eastAsia="楷体" w:cs="楷体"/>
                <w:sz w:val="24"/>
                <w:szCs w:val="24"/>
              </w:rPr>
              <w:t>（请填写联系人姓名及手机号码）</w:t>
            </w:r>
          </w:p>
        </w:tc>
      </w:tr>
    </w:tbl>
    <w:p>
      <w:pPr>
        <w:spacing w:line="520" w:lineRule="exact"/>
        <w:ind w:firstLine="562" w:firstLineChars="200"/>
        <w:jc w:val="left"/>
        <w:rPr>
          <w:rFonts w:hint="eastAsia" w:ascii="楷体" w:hAnsi="楷体" w:eastAsia="楷体" w:cs="楷体"/>
          <w:b/>
          <w:color w:val="000000"/>
          <w:kern w:val="0"/>
          <w:sz w:val="28"/>
          <w:szCs w:val="28"/>
        </w:rPr>
      </w:pPr>
    </w:p>
    <w:p>
      <w:pPr>
        <w:spacing w:line="520" w:lineRule="exact"/>
        <w:ind w:firstLine="562" w:firstLineChars="200"/>
        <w:jc w:val="left"/>
        <w:rPr>
          <w:rFonts w:ascii="楷体" w:hAnsi="楷体" w:eastAsia="楷体" w:cs="楷体"/>
          <w:b/>
          <w:color w:val="000000"/>
          <w:kern w:val="0"/>
          <w:sz w:val="28"/>
          <w:szCs w:val="28"/>
        </w:rPr>
      </w:pPr>
      <w:r>
        <w:rPr>
          <w:rFonts w:hint="eastAsia" w:ascii="楷体" w:hAnsi="楷体" w:eastAsia="楷体" w:cs="楷体"/>
          <w:b/>
          <w:color w:val="000000"/>
          <w:kern w:val="0"/>
          <w:sz w:val="28"/>
          <w:szCs w:val="28"/>
        </w:rPr>
        <w:t>填表说明：</w:t>
      </w:r>
    </w:p>
    <w:p>
      <w:pPr>
        <w:numPr>
          <w:ilvl w:val="0"/>
          <w:numId w:val="2"/>
        </w:numPr>
        <w:spacing w:line="520" w:lineRule="exact"/>
        <w:ind w:firstLine="560" w:firstLineChars="200"/>
        <w:jc w:val="left"/>
        <w:rPr>
          <w:rFonts w:ascii="Times New Roman" w:hAnsi="Times New Roman" w:eastAsia="仿宋" w:cs="仿宋_GB2312"/>
          <w:bCs/>
          <w:color w:val="000000"/>
          <w:kern w:val="0"/>
          <w:sz w:val="28"/>
          <w:szCs w:val="28"/>
        </w:rPr>
      </w:pPr>
      <w:r>
        <w:rPr>
          <w:rFonts w:hint="eastAsia" w:ascii="Times New Roman" w:hAnsi="Times New Roman" w:eastAsia="仿宋" w:cs="仿宋_GB2312"/>
          <w:bCs/>
          <w:color w:val="000000"/>
          <w:kern w:val="0"/>
          <w:sz w:val="28"/>
          <w:szCs w:val="28"/>
        </w:rPr>
        <w:t>推荐内容应是在2022年1月1日至2022年12月31日取得并公开发布、发表、出版发行或批准的中医药学术进展。</w:t>
      </w:r>
    </w:p>
    <w:p>
      <w:pPr>
        <w:numPr>
          <w:ilvl w:val="0"/>
          <w:numId w:val="2"/>
        </w:numPr>
        <w:spacing w:line="520" w:lineRule="exact"/>
        <w:ind w:firstLine="560" w:firstLineChars="200"/>
        <w:jc w:val="left"/>
        <w:rPr>
          <w:rFonts w:ascii="Times New Roman" w:hAnsi="Times New Roman" w:eastAsia="仿宋" w:cs="仿宋_GB2312"/>
          <w:bCs/>
          <w:color w:val="000000"/>
          <w:kern w:val="0"/>
          <w:sz w:val="28"/>
          <w:szCs w:val="28"/>
        </w:rPr>
      </w:pPr>
      <w:r>
        <w:rPr>
          <w:rFonts w:ascii="Times New Roman" w:hAnsi="Times New Roman" w:eastAsia="仿宋" w:cs="仿宋_GB2312"/>
          <w:bCs/>
          <w:color w:val="000000"/>
          <w:kern w:val="0"/>
          <w:sz w:val="28"/>
          <w:szCs w:val="28"/>
        </w:rPr>
        <w:t>推荐内容应面向世界科技前沿、面向经济主战场、面向国家重大需求、面向人民生命健康，并</w:t>
      </w:r>
      <w:r>
        <w:rPr>
          <w:rFonts w:ascii="Times New Roman" w:hAnsi="Times New Roman" w:eastAsia="仿宋" w:cs="仿宋_GB2312"/>
          <w:b/>
          <w:color w:val="000000"/>
          <w:kern w:val="0"/>
          <w:sz w:val="28"/>
          <w:szCs w:val="28"/>
        </w:rPr>
        <w:t>在中医药理论指导下</w:t>
      </w:r>
      <w:r>
        <w:rPr>
          <w:rFonts w:ascii="Times New Roman" w:hAnsi="Times New Roman" w:eastAsia="仿宋" w:cs="仿宋_GB2312"/>
          <w:bCs/>
          <w:color w:val="000000"/>
          <w:kern w:val="0"/>
          <w:sz w:val="28"/>
          <w:szCs w:val="28"/>
        </w:rPr>
        <w:t>，中医药基础研究、应用研究及临床研究领域取得的具有</w:t>
      </w:r>
      <w:r>
        <w:rPr>
          <w:rFonts w:ascii="Times New Roman" w:hAnsi="Times New Roman" w:eastAsia="仿宋" w:cs="仿宋_GB2312"/>
          <w:b/>
          <w:color w:val="000000"/>
          <w:kern w:val="0"/>
          <w:sz w:val="28"/>
          <w:szCs w:val="28"/>
        </w:rPr>
        <w:t>原创性、突破性和引领性</w:t>
      </w:r>
      <w:r>
        <w:rPr>
          <w:rFonts w:ascii="Times New Roman" w:hAnsi="Times New Roman" w:eastAsia="仿宋" w:cs="仿宋_GB2312"/>
          <w:bCs/>
          <w:color w:val="000000"/>
          <w:kern w:val="0"/>
          <w:sz w:val="28"/>
          <w:szCs w:val="28"/>
        </w:rPr>
        <w:t>的新规律、新发现、新方法、新产品、新理论。</w:t>
      </w:r>
    </w:p>
    <w:p>
      <w:pPr>
        <w:spacing w:line="520" w:lineRule="exact"/>
        <w:ind w:firstLine="560" w:firstLineChars="200"/>
        <w:jc w:val="left"/>
        <w:rPr>
          <w:rFonts w:ascii="Times New Roman" w:hAnsi="Times New Roman" w:eastAsia="仿宋" w:cs="仿宋_GB2312"/>
          <w:bCs/>
          <w:color w:val="000000"/>
          <w:kern w:val="0"/>
          <w:sz w:val="28"/>
          <w:szCs w:val="28"/>
        </w:rPr>
      </w:pPr>
      <w:r>
        <w:rPr>
          <w:rFonts w:hint="eastAsia" w:ascii="Times New Roman" w:hAnsi="Times New Roman" w:eastAsia="仿宋" w:cs="仿宋_GB2312"/>
          <w:bCs/>
          <w:color w:val="000000"/>
          <w:kern w:val="0"/>
          <w:sz w:val="28"/>
          <w:szCs w:val="28"/>
        </w:rPr>
        <w:t>3.可参考2020年及2021年“中医药十大学术进展”完善本表。</w:t>
      </w:r>
    </w:p>
    <w:p>
      <w:pPr>
        <w:spacing w:line="520" w:lineRule="exact"/>
        <w:ind w:firstLine="560" w:firstLineChars="200"/>
        <w:rPr>
          <w:rFonts w:ascii="Times New Roman" w:hAnsi="Times New Roman" w:eastAsia="仿宋" w:cs="仿宋_GB2312"/>
          <w:bCs/>
          <w:color w:val="000000"/>
          <w:sz w:val="28"/>
          <w:szCs w:val="28"/>
        </w:rPr>
      </w:pPr>
      <w:r>
        <w:rPr>
          <w:rFonts w:hint="eastAsia" w:ascii="Times New Roman" w:hAnsi="Times New Roman" w:eastAsia="仿宋" w:cs="仿宋_GB2312"/>
          <w:bCs/>
          <w:color w:val="000000"/>
          <w:sz w:val="28"/>
          <w:szCs w:val="28"/>
        </w:rPr>
        <w:t>4.建议“题目”字数不超过30字，应与内容相符合，不应过于空泛，不宜出现单位等名词。</w:t>
      </w:r>
    </w:p>
    <w:p>
      <w:pPr>
        <w:spacing w:line="520" w:lineRule="exact"/>
        <w:ind w:firstLine="560" w:firstLineChars="200"/>
        <w:rPr>
          <w:rFonts w:ascii="Times New Roman" w:hAnsi="Times New Roman" w:eastAsia="仿宋" w:cs="仿宋_GB2312"/>
          <w:bCs/>
          <w:color w:val="000000"/>
          <w:sz w:val="28"/>
          <w:szCs w:val="28"/>
        </w:rPr>
      </w:pPr>
      <w:r>
        <w:rPr>
          <w:rFonts w:hint="eastAsia" w:ascii="Times New Roman" w:hAnsi="Times New Roman" w:eastAsia="仿宋" w:cs="仿宋_GB2312"/>
          <w:bCs/>
          <w:color w:val="000000"/>
          <w:sz w:val="28"/>
          <w:szCs w:val="28"/>
        </w:rPr>
        <w:t>5.建议“内容</w:t>
      </w:r>
      <w:r>
        <w:rPr>
          <w:rFonts w:hint="eastAsia" w:ascii="仿宋" w:hAnsi="仿宋" w:eastAsia="仿宋" w:cs="仿宋"/>
          <w:color w:val="000000"/>
          <w:kern w:val="0"/>
          <w:sz w:val="28"/>
          <w:szCs w:val="28"/>
          <w:lang w:bidi="ar"/>
        </w:rPr>
        <w:t>摘要</w:t>
      </w:r>
      <w:r>
        <w:rPr>
          <w:rFonts w:hint="eastAsia" w:ascii="Times New Roman" w:hAnsi="Times New Roman" w:eastAsia="仿宋" w:cs="仿宋_GB2312"/>
          <w:bCs/>
          <w:color w:val="000000"/>
          <w:sz w:val="28"/>
          <w:szCs w:val="28"/>
        </w:rPr>
        <w:t>”字数不超过250字，应体现专业性及和可读性，充分体现研究的特点，参考附件2。</w:t>
      </w:r>
    </w:p>
    <w:p>
      <w:pPr>
        <w:spacing w:line="520" w:lineRule="exact"/>
        <w:rPr>
          <w:rFonts w:ascii="Times New Roman" w:hAnsi="Times New Roman" w:eastAsia="仿宋" w:cs="仿宋_GB2312"/>
          <w:bCs/>
          <w:color w:val="000000"/>
          <w:sz w:val="28"/>
          <w:szCs w:val="28"/>
        </w:rPr>
      </w:pPr>
    </w:p>
    <w:p>
      <w:pPr>
        <w:spacing w:line="600" w:lineRule="exact"/>
        <w:jc w:val="left"/>
        <w:rPr>
          <w:rFonts w:ascii="黑体" w:hAnsi="黑体" w:eastAsia="黑体" w:cs="黑体"/>
          <w:color w:val="000000"/>
          <w:sz w:val="32"/>
          <w:szCs w:val="32"/>
        </w:rPr>
      </w:pPr>
      <w:r>
        <w:rPr>
          <w:rFonts w:hint="eastAsia" w:ascii="黑体" w:hAnsi="黑体" w:eastAsia="黑体" w:cs="黑体"/>
          <w:color w:val="000000"/>
          <w:sz w:val="32"/>
          <w:szCs w:val="32"/>
        </w:rPr>
        <w:t>附件2</w:t>
      </w:r>
    </w:p>
    <w:p>
      <w:pPr>
        <w:autoSpaceDE w:val="0"/>
        <w:spacing w:line="600" w:lineRule="exact"/>
        <w:jc w:val="center"/>
        <w:rPr>
          <w:rFonts w:ascii="Times New Roman" w:hAnsi="Times New Roman" w:eastAsia="方正小标宋简体" w:cs="方正小标宋简体"/>
          <w:color w:val="000000"/>
          <w:sz w:val="44"/>
          <w:szCs w:val="44"/>
          <w:lang w:bidi="ar"/>
        </w:rPr>
      </w:pPr>
    </w:p>
    <w:p>
      <w:pPr>
        <w:autoSpaceDE w:val="0"/>
        <w:spacing w:line="600" w:lineRule="exact"/>
        <w:jc w:val="center"/>
        <w:rPr>
          <w:rFonts w:ascii="Times New Roman" w:hAnsi="Times New Roman" w:eastAsia="黑体" w:cs="黑体"/>
          <w:color w:val="000000"/>
          <w:sz w:val="32"/>
          <w:szCs w:val="32"/>
        </w:rPr>
      </w:pPr>
      <w:r>
        <w:rPr>
          <w:rFonts w:ascii="Times New Roman" w:hAnsi="Times New Roman" w:eastAsia="方正小标宋简体"/>
          <w:color w:val="000000"/>
          <w:sz w:val="44"/>
          <w:szCs w:val="44"/>
          <w:lang w:bidi="ar"/>
        </w:rPr>
        <w:t>2021</w:t>
      </w:r>
      <w:r>
        <w:rPr>
          <w:rFonts w:hint="eastAsia" w:ascii="Times New Roman" w:hAnsi="Times New Roman" w:eastAsia="方正小标宋简体" w:cs="方正小标宋简体"/>
          <w:color w:val="000000"/>
          <w:sz w:val="44"/>
          <w:szCs w:val="44"/>
          <w:lang w:bidi="ar"/>
        </w:rPr>
        <w:t>年度中医药十大学术进展</w:t>
      </w:r>
    </w:p>
    <w:p>
      <w:pPr>
        <w:widowControl/>
        <w:autoSpaceDE w:val="0"/>
        <w:spacing w:line="600" w:lineRule="exact"/>
        <w:rPr>
          <w:rFonts w:ascii="Times New Roman" w:hAnsi="Times New Roman" w:eastAsia="黑体" w:cs="黑体"/>
          <w:bCs/>
          <w:kern w:val="0"/>
          <w:sz w:val="22"/>
          <w:lang w:bidi="ar"/>
        </w:rPr>
      </w:pPr>
    </w:p>
    <w:p>
      <w:pPr>
        <w:widowControl/>
        <w:autoSpaceDE w:val="0"/>
        <w:spacing w:line="600" w:lineRule="exact"/>
        <w:rPr>
          <w:rFonts w:ascii="Times New Roman" w:hAnsi="Times New Roman" w:eastAsia="黑体" w:cs="黑体"/>
          <w:bCs/>
          <w:kern w:val="0"/>
          <w:sz w:val="28"/>
          <w:szCs w:val="28"/>
        </w:rPr>
      </w:pPr>
      <w:r>
        <w:rPr>
          <w:rFonts w:hint="eastAsia" w:ascii="Times New Roman" w:hAnsi="Times New Roman" w:eastAsia="黑体" w:cs="黑体"/>
          <w:bCs/>
          <w:kern w:val="0"/>
          <w:sz w:val="28"/>
          <w:szCs w:val="28"/>
          <w:lang w:bidi="ar"/>
        </w:rPr>
        <w:t>1.电针驱动迷走-肾上腺轴抗炎的神经解剖学机制被发现</w:t>
      </w:r>
    </w:p>
    <w:p>
      <w:pPr>
        <w:widowControl/>
        <w:autoSpaceDE w:val="0"/>
        <w:spacing w:line="600" w:lineRule="exact"/>
        <w:ind w:firstLine="560" w:firstLineChars="200"/>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lang w:bidi="ar"/>
        </w:rPr>
        <w:t>哈佛大学、复旦大学、中国中医科学院针灸研究所和福建中医药大学联合研究发现，在脓毒血症的小鼠模型上电针刺激其后肢“足三里”穴位（ST36），可激活PROKR2-Cre标记的背根神经节感觉神经元，这组神经元可以调节迷走神经-肾上腺反射，抑制炎症反应，从而为电针灸刺激“足三里”穴位发挥全身抗炎效果找到了现代神经解剖学的基础。这些发现不仅实现了针灸研究的历史性突破，而且充实了针灸等体表刺激疗法的现代科学内涵，为临床优化针刺刺激参数，诱发不同自主神经反射，从而治疗特定的疾病（如炎症风暴等）提供了重要的科学依据。相关学术论文于2021年10月在Nature发表。</w:t>
      </w:r>
    </w:p>
    <w:p>
      <w:pPr>
        <w:widowControl/>
        <w:autoSpaceDE w:val="0"/>
        <w:spacing w:before="156" w:beforeLines="50" w:line="600" w:lineRule="exact"/>
        <w:rPr>
          <w:rFonts w:ascii="Times New Roman" w:hAnsi="Times New Roman" w:eastAsia="黑体" w:cs="黑体"/>
          <w:bCs/>
          <w:kern w:val="0"/>
          <w:sz w:val="28"/>
          <w:szCs w:val="28"/>
          <w:lang w:bidi="ar"/>
        </w:rPr>
      </w:pPr>
      <w:r>
        <w:rPr>
          <w:rFonts w:hint="eastAsia" w:ascii="Times New Roman" w:hAnsi="Times New Roman" w:eastAsia="黑体" w:cs="黑体"/>
          <w:bCs/>
          <w:kern w:val="0"/>
          <w:sz w:val="28"/>
          <w:szCs w:val="28"/>
          <w:lang w:bidi="ar"/>
        </w:rPr>
        <w:t>2.清肺排毒颗粒、化湿败毒颗粒、宣肺败毒颗粒等中药新药创制取得新进展</w:t>
      </w:r>
    </w:p>
    <w:p>
      <w:pPr>
        <w:widowControl/>
        <w:autoSpaceDE w:val="0"/>
        <w:spacing w:line="600" w:lineRule="exact"/>
        <w:ind w:firstLine="560" w:firstLineChars="200"/>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lang w:bidi="ar"/>
        </w:rPr>
        <w:t>在抗击新冠肺炎疫情过程中，涌现出以清肺排毒方、化湿败毒方、宣肺败毒方为代表的“三方”，临床疗效确切，有效降低了发病率、转重率、病亡率，促进了核酸转阴，提高了治愈率，加快了恢复期康复。2021年3月2日，基于“三方”研发而成的中药新药清肺排毒颗粒、化湿败毒颗粒、宣肺败毒颗粒，获得国家药品监督管理局上市批准。“三方”均是在古代经典名方基础上创新而成，其上市也开辟了中药新药创制的新机制，是中医药原创优势成果转化的典型。2021年国家药品监督管理局批准了共12个中药新药上市，超过此前5年审批总和，中药新药创制迎来可喜势头。</w:t>
      </w:r>
    </w:p>
    <w:p>
      <w:pPr>
        <w:widowControl/>
        <w:autoSpaceDE w:val="0"/>
        <w:spacing w:before="156" w:beforeLines="50" w:line="600" w:lineRule="exact"/>
        <w:rPr>
          <w:rFonts w:ascii="Times New Roman" w:hAnsi="Times New Roman" w:eastAsia="黑体" w:cs="黑体"/>
          <w:bCs/>
          <w:kern w:val="0"/>
          <w:sz w:val="28"/>
          <w:szCs w:val="28"/>
          <w:lang w:bidi="ar"/>
        </w:rPr>
      </w:pPr>
      <w:r>
        <w:rPr>
          <w:rFonts w:hint="eastAsia" w:ascii="Times New Roman" w:hAnsi="Times New Roman" w:eastAsia="黑体" w:cs="黑体"/>
          <w:bCs/>
          <w:kern w:val="0"/>
          <w:sz w:val="28"/>
          <w:szCs w:val="28"/>
          <w:lang w:bidi="ar"/>
        </w:rPr>
        <w:t>3.“情志致病”理论的生物医学基础研究取得新进展</w:t>
      </w:r>
    </w:p>
    <w:p>
      <w:pPr>
        <w:widowControl/>
        <w:autoSpaceDE w:val="0"/>
        <w:spacing w:line="600" w:lineRule="exact"/>
        <w:ind w:firstLine="560" w:firstLineChars="200"/>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lang w:bidi="ar"/>
        </w:rPr>
        <w:t>情志致病是中医病因病机学的重要组成部分，指因七情内伤导致的脏腑、阴阳、气血失调而引发疾病的过程。在多项国家自然科学基金的持续资助下，暨南大学中医学院/药学院何蓉蓉教授团队联合陈家旭教授团队从“情志应激”增加疾病“易感性”的创新视角对情志致病理论的生物医学基础进行了研究，建立了多种符合中医药作用特点的疾病易感研究模型，揭示情志应激的主要效应分子是应激激素和氧化分子，引起效应靶标不饱和磷脂的过氧化，从而增加应激细胞脂质过氧化性死亡方式的敏感性，解析了情志应激增加帕金森病、乳腺癌等疾病易感性的生物医学基础。相关学术论文于2021年在Nat Chem Biol、Cell Death Differ和Acta Pharma Sin B发表。</w:t>
      </w:r>
    </w:p>
    <w:p>
      <w:pPr>
        <w:widowControl/>
        <w:autoSpaceDE w:val="0"/>
        <w:spacing w:before="156" w:beforeLines="50" w:line="600" w:lineRule="exact"/>
        <w:rPr>
          <w:rFonts w:ascii="Times New Roman" w:hAnsi="Times New Roman" w:eastAsia="黑体" w:cs="黑体"/>
          <w:bCs/>
          <w:kern w:val="0"/>
          <w:sz w:val="28"/>
          <w:szCs w:val="28"/>
          <w:lang w:bidi="ar"/>
        </w:rPr>
      </w:pPr>
      <w:r>
        <w:rPr>
          <w:rFonts w:hint="eastAsia" w:ascii="Times New Roman" w:hAnsi="Times New Roman" w:eastAsia="黑体" w:cs="黑体"/>
          <w:bCs/>
          <w:kern w:val="0"/>
          <w:sz w:val="28"/>
          <w:szCs w:val="28"/>
          <w:lang w:bidi="ar"/>
        </w:rPr>
        <w:t>4.针刺治疗慢性前列腺炎/慢性盆底疼痛综合征获得高质量临床研究证据</w:t>
      </w:r>
    </w:p>
    <w:p>
      <w:pPr>
        <w:widowControl/>
        <w:autoSpaceDE w:val="0"/>
        <w:spacing w:line="600" w:lineRule="exact"/>
        <w:ind w:firstLine="560" w:firstLineChars="200"/>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lang w:bidi="ar"/>
        </w:rPr>
        <w:t>中国中医科学院广安门医院刘志顺教授研究团队通过440例随机对照试验，证实了针刺能显著改善中重度慢性前列腺炎/慢性盆底疼痛综合征患者的症状，临床效果可在治疗结束后持续至少半年。此项研究用高质量的临床研究证据证实了针刺治疗慢性前列腺炎/慢性盆底疼痛综合征近远期疗效确切，安全性好。填补了国际针刺治疗慢性前列腺炎/慢性盆底疼痛综合征远期疗效缺乏的空白。相关学术论文于2021年8月在Annals of Internal Medicine发表。</w:t>
      </w:r>
    </w:p>
    <w:p>
      <w:pPr>
        <w:widowControl/>
        <w:autoSpaceDE w:val="0"/>
        <w:spacing w:before="156" w:beforeLines="50" w:line="600" w:lineRule="exact"/>
        <w:rPr>
          <w:rFonts w:ascii="Times New Roman" w:hAnsi="Times New Roman" w:eastAsia="黑体" w:cs="黑体"/>
          <w:bCs/>
          <w:kern w:val="0"/>
          <w:sz w:val="28"/>
          <w:szCs w:val="28"/>
          <w:lang w:bidi="ar"/>
        </w:rPr>
      </w:pPr>
      <w:r>
        <w:rPr>
          <w:rFonts w:hint="eastAsia" w:ascii="Times New Roman" w:hAnsi="Times New Roman" w:eastAsia="黑体" w:cs="黑体"/>
          <w:bCs/>
          <w:kern w:val="0"/>
          <w:sz w:val="28"/>
          <w:szCs w:val="28"/>
          <w:lang w:bidi="ar"/>
        </w:rPr>
        <w:t>5.基于多国药典的本草基因组数据库上线</w:t>
      </w:r>
    </w:p>
    <w:p>
      <w:pPr>
        <w:widowControl/>
        <w:autoSpaceDE w:val="0"/>
        <w:spacing w:line="600" w:lineRule="exact"/>
        <w:ind w:firstLine="560" w:firstLineChars="200"/>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lang w:bidi="ar"/>
        </w:rPr>
        <w:t>中国中医科学院中药研究所陈士林教授研究团队依据多国药典收录草药物种，完成本草基因组数据库建设并上线。该数据库依据中华人民共和国药典、美国草药典、日本药局方、韩国药典、印度药典、埃及药典、欧洲药典以及巴西药典等收录903个草药物种的34,346条数据，包括867个物种的21,872条DNA条形码数据，674个物种的2,203个细胞器基因组以及49个物种的55个全基因组数据等。该数据库是全球首个针对药典收载草药物种的大型基因组学数据库，将为草药物种鉴定、用药安全、药效成分生物合成途径解析、优良品种分子育种等方面提供信息支撑。相关论文于2021年6月在Science China-Life Sciences发表。</w:t>
      </w:r>
    </w:p>
    <w:p>
      <w:pPr>
        <w:widowControl/>
        <w:autoSpaceDE w:val="0"/>
        <w:spacing w:before="156" w:beforeLines="50" w:line="600" w:lineRule="exact"/>
        <w:rPr>
          <w:rFonts w:ascii="Times New Roman" w:hAnsi="Times New Roman" w:eastAsia="黑体" w:cs="黑体"/>
          <w:bCs/>
          <w:kern w:val="0"/>
          <w:sz w:val="28"/>
          <w:szCs w:val="28"/>
          <w:lang w:bidi="ar"/>
        </w:rPr>
      </w:pPr>
      <w:r>
        <w:rPr>
          <w:rFonts w:hint="eastAsia" w:ascii="Times New Roman" w:hAnsi="Times New Roman" w:eastAsia="黑体" w:cs="黑体"/>
          <w:bCs/>
          <w:kern w:val="0"/>
          <w:sz w:val="28"/>
          <w:szCs w:val="28"/>
          <w:lang w:bidi="ar"/>
        </w:rPr>
        <w:t>6.生物传感AI算法融合的中医过敏/平和体质差异靶点科学解码</w:t>
      </w:r>
    </w:p>
    <w:p>
      <w:pPr>
        <w:widowControl/>
        <w:autoSpaceDE w:val="0"/>
        <w:spacing w:line="600" w:lineRule="exact"/>
        <w:ind w:firstLine="560" w:firstLineChars="200"/>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lang w:bidi="ar"/>
        </w:rPr>
        <w:t>王琦院士提出的体质辨识是实现慢病防治关口前移和“疾病共同预防”的重要抓手。北京中医药大学吴志生教授研究团队以临床真实世界样本为研究载体，创建了半导体材料芯片、人工智能新算法、分子对接以及斑马鱼生物模式的关键技术集成，首次实现了基于中医(过敏)体质的生物传感与人工智能算法技术融合；进一步提供了过敏体质和平和体质的差异化证据，以及过敏康干预前后过敏体质的差异化证据，首次实现了基于中医（过敏）体质的中药复方关键质量属性智慧辩识，为体质可分、体质可调提供新的科学证据。代表性成果于2021年9月在Biosensors and Bioelectronics上发表，获得授权发明专利3项。</w:t>
      </w:r>
    </w:p>
    <w:p>
      <w:pPr>
        <w:widowControl/>
        <w:autoSpaceDE w:val="0"/>
        <w:spacing w:before="156" w:beforeLines="50" w:line="600" w:lineRule="exact"/>
        <w:rPr>
          <w:rFonts w:ascii="Times New Roman" w:hAnsi="Times New Roman" w:eastAsia="黑体" w:cs="黑体"/>
          <w:bCs/>
          <w:kern w:val="0"/>
          <w:sz w:val="28"/>
          <w:szCs w:val="28"/>
          <w:lang w:bidi="ar"/>
        </w:rPr>
      </w:pPr>
    </w:p>
    <w:p>
      <w:pPr>
        <w:widowControl/>
        <w:autoSpaceDE w:val="0"/>
        <w:spacing w:before="156" w:beforeLines="50" w:line="600" w:lineRule="exact"/>
        <w:rPr>
          <w:rFonts w:ascii="Times New Roman" w:hAnsi="Times New Roman" w:eastAsia="黑体" w:cs="黑体"/>
          <w:bCs/>
          <w:kern w:val="0"/>
          <w:sz w:val="28"/>
          <w:szCs w:val="28"/>
          <w:lang w:bidi="ar"/>
        </w:rPr>
      </w:pPr>
      <w:r>
        <w:rPr>
          <w:rFonts w:hint="eastAsia" w:ascii="Times New Roman" w:hAnsi="Times New Roman" w:eastAsia="黑体" w:cs="黑体"/>
          <w:bCs/>
          <w:kern w:val="0"/>
          <w:sz w:val="28"/>
          <w:szCs w:val="28"/>
          <w:lang w:bidi="ar"/>
        </w:rPr>
        <w:t>7.中药配方颗粒国家标准体系初步建立</w:t>
      </w:r>
    </w:p>
    <w:p>
      <w:pPr>
        <w:widowControl/>
        <w:autoSpaceDE w:val="0"/>
        <w:spacing w:line="600" w:lineRule="exact"/>
        <w:ind w:firstLine="560" w:firstLineChars="200"/>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lang w:bidi="ar"/>
        </w:rPr>
        <w:t>中药配方颗粒标准体系建设由国家药品监督管理局指导国家药典委员会完成了顶层设计制定了技术要求和实施方案，并经十多家中药配方颗粒生产企业应用实践，初步形成了一套“国家引领、企业为主”的中药配方颗粒国家标准体系。2021年2月，国家药品监督管理局正式发布了由国家药典委员会起草的《中药配方颗粒质量控制与标准研究技术要求》，首次建立了以标准汤剂为参照的中药配方颗粒质量控制体系及其工艺优化策略，充分体现了中药配方颗粒的水煎煮传统工艺特性，运用指纹图谱技术进行整体质量控制，为建立守正创新符合中药特点的全过程质量控制提供了科学依据。2021年4月和10月颁布了196个临床常用中药配方颗粒国家标准。该标准体系建设解决了中药配方颗粒二十多年没有国家标准的问题，确保了临床用药安全有效。</w:t>
      </w:r>
    </w:p>
    <w:p>
      <w:pPr>
        <w:widowControl/>
        <w:autoSpaceDE w:val="0"/>
        <w:spacing w:before="156" w:beforeLines="50" w:line="600" w:lineRule="exact"/>
        <w:rPr>
          <w:rFonts w:ascii="Times New Roman" w:hAnsi="Times New Roman" w:eastAsia="黑体" w:cs="黑体"/>
          <w:bCs/>
          <w:kern w:val="0"/>
          <w:sz w:val="28"/>
          <w:szCs w:val="28"/>
          <w:lang w:bidi="ar"/>
        </w:rPr>
      </w:pPr>
      <w:r>
        <w:rPr>
          <w:rFonts w:hint="eastAsia" w:ascii="Times New Roman" w:hAnsi="Times New Roman" w:eastAsia="黑体" w:cs="黑体"/>
          <w:bCs/>
          <w:kern w:val="0"/>
          <w:sz w:val="28"/>
          <w:szCs w:val="28"/>
          <w:lang w:bidi="ar"/>
        </w:rPr>
        <w:t>8.中医药国际标准化建设取得新进展</w:t>
      </w:r>
    </w:p>
    <w:p>
      <w:pPr>
        <w:widowControl/>
        <w:autoSpaceDE w:val="0"/>
        <w:spacing w:line="600" w:lineRule="exact"/>
        <w:ind w:firstLine="560" w:firstLineChars="200"/>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lang w:bidi="ar"/>
        </w:rPr>
        <w:t>中医药标准化工作是中医药学术发展的重要组成部分，健康有序推动中医药领域的关键问题的标准化工作意义重大。2021年中医药标准化领域取得了一些重要进展：ISO正式发布了《中医药-诊断词汇-第一部分：舌象》和《中医药-诊断词汇-第二部分：脉象》两项中医诊断名词术语的国际标准；世界中医药学会联合会发布了《网络药理学评价方法指南》（SCM0061-2021），中医药网络药理学研究工作有了参考规范。</w:t>
      </w:r>
    </w:p>
    <w:p>
      <w:pPr>
        <w:widowControl/>
        <w:autoSpaceDE w:val="0"/>
        <w:spacing w:before="156" w:beforeLines="50" w:line="600" w:lineRule="exact"/>
        <w:rPr>
          <w:rFonts w:ascii="Times New Roman" w:hAnsi="Times New Roman" w:eastAsia="黑体" w:cs="黑体"/>
          <w:bCs/>
          <w:kern w:val="0"/>
          <w:sz w:val="28"/>
          <w:szCs w:val="28"/>
          <w:lang w:bidi="ar"/>
        </w:rPr>
      </w:pPr>
    </w:p>
    <w:p>
      <w:pPr>
        <w:widowControl/>
        <w:autoSpaceDE w:val="0"/>
        <w:spacing w:before="156" w:beforeLines="50" w:line="600" w:lineRule="exact"/>
        <w:rPr>
          <w:rFonts w:ascii="Times New Roman" w:hAnsi="Times New Roman" w:eastAsia="黑体" w:cs="黑体"/>
          <w:bCs/>
          <w:kern w:val="0"/>
          <w:sz w:val="28"/>
          <w:szCs w:val="28"/>
          <w:lang w:bidi="ar"/>
        </w:rPr>
      </w:pPr>
    </w:p>
    <w:p>
      <w:pPr>
        <w:widowControl/>
        <w:autoSpaceDE w:val="0"/>
        <w:spacing w:before="156" w:beforeLines="50" w:line="600" w:lineRule="exact"/>
        <w:rPr>
          <w:rFonts w:ascii="Times New Roman" w:hAnsi="Times New Roman" w:eastAsia="黑体" w:cs="黑体"/>
          <w:bCs/>
          <w:kern w:val="0"/>
          <w:sz w:val="28"/>
          <w:szCs w:val="28"/>
          <w:lang w:bidi="ar"/>
        </w:rPr>
      </w:pPr>
      <w:r>
        <w:rPr>
          <w:rFonts w:hint="eastAsia" w:ascii="Times New Roman" w:hAnsi="Times New Roman" w:eastAsia="黑体" w:cs="黑体"/>
          <w:bCs/>
          <w:kern w:val="0"/>
          <w:sz w:val="28"/>
          <w:szCs w:val="28"/>
          <w:lang w:bidi="ar"/>
        </w:rPr>
        <w:t>9.基于微血管屏障的气虚不固摄和补气固摄的科学内涵被初步揭示</w:t>
      </w:r>
    </w:p>
    <w:p>
      <w:pPr>
        <w:widowControl/>
        <w:autoSpaceDE w:val="0"/>
        <w:spacing w:line="600" w:lineRule="exact"/>
        <w:ind w:firstLine="560" w:firstLineChars="200"/>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lang w:bidi="ar"/>
        </w:rPr>
        <w:t>微血管屏障损伤是微血管渗漏引发水肿的基础。调控渗透压不能改善损伤的微血管屏障。补气固摄方药治疗水肿疗效明显，但其机理不清。北京大学医学部韩晶岩教授研究团队发现血管内皮细胞利用后天之气（氧气和水谷精微）产生ATP的能力降低，导致的血管屏障损伤（含内皮缝隙开放、质膜微囊增多、基底膜损伤）是微血管渗漏的病机；补气活血方药（芪参益气、益气复脉）可改善血管内皮细胞线粒体的ATP合酶，增加ATP含量，改善血管屏障，抑制微血管渗漏和水肿。阐明了气虚不固摄和补气固摄理论的科学内涵，创新了水肿治疗的新策略。相关论文于2021年在Frontiers in Physiology和Microcirculation发表。</w:t>
      </w:r>
    </w:p>
    <w:p>
      <w:pPr>
        <w:widowControl/>
        <w:autoSpaceDE w:val="0"/>
        <w:spacing w:before="156" w:beforeLines="50" w:line="600" w:lineRule="exact"/>
        <w:rPr>
          <w:rFonts w:ascii="Times New Roman" w:hAnsi="Times New Roman" w:eastAsia="黑体" w:cs="黑体"/>
          <w:bCs/>
          <w:kern w:val="0"/>
          <w:sz w:val="28"/>
          <w:szCs w:val="28"/>
          <w:lang w:bidi="ar"/>
        </w:rPr>
      </w:pPr>
      <w:r>
        <w:rPr>
          <w:rFonts w:hint="eastAsia" w:ascii="Times New Roman" w:hAnsi="Times New Roman" w:eastAsia="黑体" w:cs="黑体"/>
          <w:bCs/>
          <w:kern w:val="0"/>
          <w:sz w:val="28"/>
          <w:szCs w:val="28"/>
          <w:lang w:bidi="ar"/>
        </w:rPr>
        <w:t>10.电针改善术后肠麻痹的神经-免疫抗炎机制被初步揭示</w:t>
      </w:r>
    </w:p>
    <w:p>
      <w:pPr>
        <w:widowControl/>
        <w:autoSpaceDE w:val="0"/>
        <w:spacing w:line="600" w:lineRule="exact"/>
        <w:ind w:firstLine="560" w:firstLineChars="200"/>
        <w:rPr>
          <w:rFonts w:ascii="Times New Roman" w:hAnsi="Times New Roman" w:eastAsia="仿宋_GB2312" w:cs="仿宋_GB2312"/>
          <w:kern w:val="0"/>
          <w:sz w:val="28"/>
          <w:szCs w:val="28"/>
          <w:lang w:bidi="ar"/>
        </w:rPr>
        <w:sectPr>
          <w:pgSz w:w="11906" w:h="16838"/>
          <w:pgMar w:top="1701" w:right="1531" w:bottom="1701" w:left="1531" w:header="851" w:footer="992" w:gutter="0"/>
          <w:cols w:space="720" w:num="1"/>
          <w:docGrid w:type="lines" w:linePitch="312" w:charSpace="0"/>
        </w:sectPr>
      </w:pPr>
      <w:r>
        <w:rPr>
          <w:rFonts w:hint="eastAsia" w:ascii="Times New Roman" w:hAnsi="Times New Roman" w:eastAsia="仿宋_GB2312" w:cs="仿宋_GB2312"/>
          <w:kern w:val="0"/>
          <w:sz w:val="28"/>
          <w:szCs w:val="28"/>
          <w:lang w:bidi="ar"/>
        </w:rPr>
        <w:t>北京中医药大学刘存志教授研究团队首次较系统地揭示了电针刺激足三里穴改善术后肠麻痹的神经-免疫反应通路，证实电针抗炎作用具有穴位特异性和频率特异性，阐释了针灸理论“合治内府”的现代科学内涵。该研究还为针灸疗法融入围手术期的临床常规治疗提供了科学依据，促进传统针灸疗法与现代医学的优势互补、共同发展，初步形成具有中国特色的围手术期管理方案。相关学术论文于2021年2月在Theranostics发表。</w:t>
      </w:r>
    </w:p>
    <w:p>
      <w:pPr>
        <w:spacing w:line="600" w:lineRule="exact"/>
        <w:jc w:val="left"/>
        <w:rPr>
          <w:rFonts w:ascii="黑体" w:hAnsi="黑体" w:eastAsia="黑体" w:cs="黑体"/>
          <w:color w:val="000000"/>
          <w:sz w:val="32"/>
          <w:szCs w:val="32"/>
        </w:rPr>
      </w:pPr>
      <w:r>
        <w:rPr>
          <w:rFonts w:hint="eastAsia" w:ascii="黑体" w:hAnsi="黑体" w:eastAsia="黑体" w:cs="黑体"/>
          <w:color w:val="000000"/>
          <w:sz w:val="32"/>
          <w:szCs w:val="32"/>
        </w:rPr>
        <w:t>附件3</w:t>
      </w:r>
    </w:p>
    <w:p>
      <w:pPr>
        <w:spacing w:line="600" w:lineRule="exact"/>
        <w:jc w:val="left"/>
        <w:rPr>
          <w:rFonts w:ascii="黑体" w:hAnsi="黑体" w:eastAsia="黑体" w:cs="黑体"/>
          <w:color w:val="000000"/>
          <w:sz w:val="32"/>
          <w:szCs w:val="32"/>
        </w:rPr>
      </w:pPr>
    </w:p>
    <w:p>
      <w:pPr>
        <w:widowControl/>
        <w:shd w:val="clear" w:color="auto" w:fill="FFFFFF"/>
        <w:autoSpaceDE w:val="0"/>
        <w:spacing w:line="600" w:lineRule="exact"/>
        <w:jc w:val="center"/>
        <w:outlineLvl w:val="0"/>
        <w:rPr>
          <w:rFonts w:ascii="Times New Roman" w:hAnsi="Times New Roman" w:eastAsia="方正小标宋简体" w:cs="方正小标宋简体"/>
          <w:b/>
          <w:bCs/>
          <w:color w:val="333333"/>
          <w:spacing w:val="8"/>
          <w:kern w:val="44"/>
          <w:sz w:val="44"/>
          <w:szCs w:val="44"/>
          <w:shd w:val="clear" w:color="auto" w:fill="FFFFFF"/>
        </w:rPr>
      </w:pPr>
      <w:r>
        <w:rPr>
          <w:rFonts w:hint="eastAsia" w:ascii="Times New Roman" w:hAnsi="Times New Roman" w:eastAsia="方正小标宋简体" w:cs="方正小标宋简体"/>
          <w:color w:val="333333"/>
          <w:spacing w:val="8"/>
          <w:kern w:val="44"/>
          <w:sz w:val="44"/>
          <w:szCs w:val="44"/>
          <w:shd w:val="clear" w:color="auto" w:fill="FFFFFF"/>
        </w:rPr>
        <w:t>2020年度中医药十大学术进展</w:t>
      </w:r>
    </w:p>
    <w:p>
      <w:pPr>
        <w:spacing w:line="600" w:lineRule="exact"/>
        <w:rPr>
          <w:rFonts w:ascii="Times New Roman" w:hAnsi="Times New Roman"/>
          <w:sz w:val="20"/>
        </w:rPr>
      </w:pPr>
    </w:p>
    <w:p>
      <w:pPr>
        <w:widowControl/>
        <w:autoSpaceDE w:val="0"/>
        <w:spacing w:line="600" w:lineRule="exact"/>
        <w:rPr>
          <w:rFonts w:ascii="Times New Roman" w:hAnsi="Times New Roman" w:eastAsia="黑体" w:cs="黑体"/>
          <w:bCs/>
          <w:kern w:val="0"/>
          <w:sz w:val="28"/>
          <w:szCs w:val="28"/>
          <w:lang w:bidi="ar"/>
        </w:rPr>
      </w:pPr>
      <w:r>
        <w:rPr>
          <w:rFonts w:hint="eastAsia" w:ascii="Times New Roman" w:hAnsi="Times New Roman" w:eastAsia="黑体" w:cs="黑体"/>
          <w:bCs/>
          <w:kern w:val="0"/>
          <w:sz w:val="28"/>
          <w:szCs w:val="28"/>
          <w:lang w:bidi="ar"/>
        </w:rPr>
        <w:t>1.中医药在新冠肺炎防治中发挥重要作用</w:t>
      </w:r>
    </w:p>
    <w:p>
      <w:pPr>
        <w:widowControl/>
        <w:autoSpaceDE w:val="0"/>
        <w:spacing w:line="600" w:lineRule="exact"/>
        <w:ind w:firstLine="560" w:firstLineChars="200"/>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lang w:bidi="ar"/>
        </w:rPr>
        <w:t>面对突如其来的新冠肺炎疫情，中医药全面深度介入防控救治，积极探索中医药抗疫理论及实践，获取临床证据，在防控期、治疗期、康复期均发挥重要作用，得到了积极评价和高度认可，成为抗疫方案亮点。多项学术成果受到关注：中西医结合新冠肺炎临床救治、新冠肺炎防治理论及临床实践、清肺排毒汤防治新冠肺炎的效应物质及作用机制、COVID-19大流行期间中医药社区防控临床研究等都取得进展、miRNA作为中药新型有效成分的发现及其在新冠肺炎治疗中的作用得到初步解析等。</w:t>
      </w:r>
    </w:p>
    <w:p>
      <w:pPr>
        <w:widowControl/>
        <w:autoSpaceDE w:val="0"/>
        <w:spacing w:before="156" w:beforeLines="50" w:line="600" w:lineRule="exact"/>
        <w:rPr>
          <w:rFonts w:ascii="Times New Roman" w:hAnsi="Times New Roman" w:eastAsia="黑体" w:cs="黑体"/>
          <w:bCs/>
          <w:kern w:val="0"/>
          <w:sz w:val="28"/>
          <w:szCs w:val="28"/>
          <w:lang w:bidi="ar"/>
        </w:rPr>
      </w:pPr>
      <w:r>
        <w:rPr>
          <w:rFonts w:hint="eastAsia" w:ascii="Times New Roman" w:hAnsi="Times New Roman" w:eastAsia="黑体" w:cs="黑体"/>
          <w:bCs/>
          <w:kern w:val="0"/>
          <w:sz w:val="28"/>
          <w:szCs w:val="28"/>
          <w:lang w:bidi="ar"/>
        </w:rPr>
        <w:t>2.“三药三方”治疗新冠肺炎疗效获得肯定</w:t>
      </w:r>
    </w:p>
    <w:p>
      <w:pPr>
        <w:widowControl/>
        <w:autoSpaceDE w:val="0"/>
        <w:spacing w:line="600" w:lineRule="exact"/>
        <w:ind w:firstLine="560" w:firstLineChars="200"/>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lang w:bidi="ar"/>
        </w:rPr>
        <w:t>抗击新冠肺炎疫情中，通过临床筛选，涌现出“三药三方”等有效方剂，发挥了重要的作用。“三药”即金花清感颗粒、连花清瘟胶囊、血必净注射液，“三方”是指清肺排毒汤、化湿败毒方、宣肺败毒方3个方剂，临床研究证实“三药三方”可有效降低新冠肺炎发病率、转重率、病亡率，促进核酸转阴，提高治愈率，加快恢复期康复。2020年4月，国家药品监督管理局批准“三药”新增新冠肺炎不同适应证，基于“三方”研发了中药新药。</w:t>
      </w:r>
    </w:p>
    <w:p>
      <w:pPr>
        <w:widowControl/>
        <w:autoSpaceDE w:val="0"/>
        <w:spacing w:before="156" w:beforeLines="50" w:line="600" w:lineRule="exact"/>
        <w:rPr>
          <w:rFonts w:ascii="Times New Roman" w:hAnsi="Times New Roman" w:eastAsia="黑体" w:cs="黑体"/>
          <w:bCs/>
          <w:kern w:val="0"/>
          <w:sz w:val="28"/>
          <w:szCs w:val="28"/>
          <w:lang w:bidi="ar"/>
        </w:rPr>
      </w:pPr>
    </w:p>
    <w:p>
      <w:pPr>
        <w:widowControl/>
        <w:autoSpaceDE w:val="0"/>
        <w:spacing w:before="156" w:beforeLines="50" w:line="600" w:lineRule="exact"/>
        <w:rPr>
          <w:rFonts w:ascii="Times New Roman" w:hAnsi="Times New Roman" w:eastAsia="黑体" w:cs="黑体"/>
          <w:bCs/>
          <w:kern w:val="0"/>
          <w:sz w:val="28"/>
          <w:szCs w:val="28"/>
          <w:lang w:bidi="ar"/>
        </w:rPr>
      </w:pPr>
      <w:r>
        <w:rPr>
          <w:rFonts w:hint="eastAsia" w:ascii="Times New Roman" w:hAnsi="Times New Roman" w:eastAsia="黑体" w:cs="黑体"/>
          <w:bCs/>
          <w:kern w:val="0"/>
          <w:sz w:val="28"/>
          <w:szCs w:val="28"/>
          <w:lang w:bidi="ar"/>
        </w:rPr>
        <w:t>3.穴位敏化现象的物质基础和机制被部分揭示</w:t>
      </w:r>
    </w:p>
    <w:p>
      <w:pPr>
        <w:widowControl/>
        <w:autoSpaceDE w:val="0"/>
        <w:spacing w:line="600" w:lineRule="exact"/>
        <w:ind w:firstLine="560" w:firstLineChars="200"/>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lang w:bidi="ar"/>
        </w:rPr>
        <w:t>穴位敏化理论(现象)经中国中医科学院研究团队、江西中医药大学研究团队提出并进行应用实践，成都中医药大学研究团队在传承传统中医针灸经典理论的基础上，通过多学科结合的研究方法创新发展了理论，通过7600多例临床研究发现穴位敏化具有普遍性、多样性、疾病相关性、空间规律和动态性等规律，初步揭示了穴位敏化的物质基础，部分阐明了穴位敏化的临床应用价值及其科学基础。代表性成果于2020年1月发表在Neurology,</w:t>
      </w:r>
      <w:r>
        <w:rPr>
          <w:rFonts w:ascii="Times New Roman" w:hAnsi="Times New Roman" w:eastAsia="仿宋_GB2312" w:cs="仿宋_GB2312"/>
          <w:kern w:val="0"/>
          <w:sz w:val="28"/>
          <w:szCs w:val="28"/>
          <w:lang w:bidi="ar"/>
        </w:rPr>
        <w:t xml:space="preserve"> </w:t>
      </w:r>
      <w:r>
        <w:rPr>
          <w:rFonts w:hint="eastAsia" w:ascii="Times New Roman" w:hAnsi="Times New Roman" w:eastAsia="仿宋_GB2312" w:cs="仿宋_GB2312"/>
          <w:kern w:val="0"/>
          <w:sz w:val="28"/>
          <w:szCs w:val="28"/>
          <w:lang w:bidi="ar"/>
        </w:rPr>
        <w:t>JAMA Internal Medicine等权威期刊。</w:t>
      </w:r>
    </w:p>
    <w:p>
      <w:pPr>
        <w:widowControl/>
        <w:autoSpaceDE w:val="0"/>
        <w:spacing w:before="156" w:beforeLines="50" w:line="600" w:lineRule="exact"/>
        <w:rPr>
          <w:rFonts w:ascii="Times New Roman" w:hAnsi="Times New Roman" w:eastAsia="黑体" w:cs="黑体"/>
          <w:bCs/>
          <w:kern w:val="0"/>
          <w:sz w:val="28"/>
          <w:szCs w:val="28"/>
          <w:lang w:bidi="ar"/>
        </w:rPr>
      </w:pPr>
      <w:r>
        <w:rPr>
          <w:rFonts w:hint="eastAsia" w:ascii="Times New Roman" w:hAnsi="Times New Roman" w:eastAsia="黑体" w:cs="黑体"/>
          <w:bCs/>
          <w:kern w:val="0"/>
          <w:sz w:val="28"/>
          <w:szCs w:val="28"/>
          <w:lang w:bidi="ar"/>
        </w:rPr>
        <w:t>4.中医药临床研究核心指标集技术规范建立并应用</w:t>
      </w:r>
    </w:p>
    <w:p>
      <w:pPr>
        <w:widowControl/>
        <w:autoSpaceDE w:val="0"/>
        <w:spacing w:line="600" w:lineRule="exact"/>
        <w:ind w:firstLine="560" w:firstLineChars="200"/>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lang w:bidi="ar"/>
        </w:rPr>
        <w:t>天津中医药大学研究团队提出构建中医药临床研究核心指标集的理念，牵头制定了《中医药临床试验核心指标集研制技术规范》(2020年6月由中华中医药学会发布)，研制了首个新冠肺炎临床评价核心指标集(COS-COVID)，开发了ChiCOS技术平台上线运行，有助于发展完善符合中医药临床价值特点的指标体系。在新冠肺炎防治中，首先提出降低“转重率”是疗效评价的核心指标，得到WHO认可并已广泛应用。</w:t>
      </w:r>
    </w:p>
    <w:p>
      <w:pPr>
        <w:widowControl/>
        <w:autoSpaceDE w:val="0"/>
        <w:spacing w:before="156" w:beforeLines="50" w:line="600" w:lineRule="exact"/>
        <w:rPr>
          <w:rFonts w:ascii="Times New Roman" w:hAnsi="Times New Roman" w:eastAsia="黑体" w:cs="黑体"/>
          <w:bCs/>
          <w:kern w:val="0"/>
          <w:sz w:val="28"/>
          <w:szCs w:val="28"/>
          <w:lang w:bidi="ar"/>
        </w:rPr>
      </w:pPr>
      <w:r>
        <w:rPr>
          <w:rFonts w:hint="eastAsia" w:ascii="Times New Roman" w:hAnsi="Times New Roman" w:eastAsia="黑体" w:cs="黑体"/>
          <w:bCs/>
          <w:kern w:val="0"/>
          <w:sz w:val="28"/>
          <w:szCs w:val="28"/>
          <w:lang w:bidi="ar"/>
        </w:rPr>
        <w:t>5.中风病辨证论治方法体系的推广与应用</w:t>
      </w:r>
    </w:p>
    <w:p>
      <w:pPr>
        <w:widowControl/>
        <w:autoSpaceDE w:val="0"/>
        <w:spacing w:line="600" w:lineRule="exact"/>
        <w:ind w:firstLine="560" w:firstLineChars="200"/>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lang w:bidi="ar"/>
        </w:rPr>
        <w:t>中国中风病多学科研究团队经过30余年的研究与实践，构建了中风病辨证论治方法体系，形成了中风病中医药循证临床实践指南。香港医院管理局设立专项，由香港浸会大学、北京中医药大学东直门医院、中国中医科学院等机构组建专家团队，率先实现中医药指南在香港地区的本土化，2020年11月在Chinese Medicine发布《香港中风病循证中医药实践指南》。2020年12月世界中医药学会联合会发布首个中风病临床实践中医药国际组织标准——《国际中医临床实践指南 中风》，有力推动中风病辨证论治方法体系的推广与应用。</w:t>
      </w:r>
    </w:p>
    <w:p>
      <w:pPr>
        <w:widowControl/>
        <w:autoSpaceDE w:val="0"/>
        <w:spacing w:before="156" w:beforeLines="50" w:line="600" w:lineRule="exact"/>
        <w:rPr>
          <w:rFonts w:ascii="Times New Roman" w:hAnsi="Times New Roman" w:eastAsia="黑体" w:cs="黑体"/>
          <w:bCs/>
          <w:kern w:val="0"/>
          <w:sz w:val="28"/>
          <w:szCs w:val="28"/>
          <w:lang w:bidi="ar"/>
        </w:rPr>
      </w:pPr>
      <w:r>
        <w:rPr>
          <w:rFonts w:hint="eastAsia" w:ascii="Times New Roman" w:hAnsi="Times New Roman" w:eastAsia="黑体" w:cs="黑体"/>
          <w:bCs/>
          <w:kern w:val="0"/>
          <w:sz w:val="28"/>
          <w:szCs w:val="28"/>
          <w:lang w:bidi="ar"/>
        </w:rPr>
        <w:t>6.手法治疗骨与关节退行性疾病取得进展</w:t>
      </w:r>
    </w:p>
    <w:p>
      <w:pPr>
        <w:widowControl/>
        <w:autoSpaceDE w:val="0"/>
        <w:spacing w:line="600" w:lineRule="exact"/>
        <w:ind w:firstLine="560" w:firstLineChars="200"/>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lang w:bidi="ar"/>
        </w:rPr>
        <w:t>中国中医科学院望京医院研究团队采用扳动类手法治疗发病率及复发率高的骨与关节退行性疾病，系统研究并明确了其临床疗效、效应机理，提升了手法操作安全性和证据质量，开创了科学、可重复的手法传承及评价新模式，并广泛推广应用。相关成果纳入美国物理治疗学会发布的《颈痛治疗国际循证临床实践指南》。获得2020年度中华中医药学会科学技术奖一等奖。</w:t>
      </w:r>
    </w:p>
    <w:p>
      <w:pPr>
        <w:widowControl/>
        <w:autoSpaceDE w:val="0"/>
        <w:spacing w:before="156" w:beforeLines="50" w:line="600" w:lineRule="exact"/>
        <w:rPr>
          <w:rFonts w:ascii="Times New Roman" w:hAnsi="Times New Roman" w:eastAsia="黑体" w:cs="黑体"/>
          <w:bCs/>
          <w:kern w:val="0"/>
          <w:sz w:val="28"/>
          <w:szCs w:val="28"/>
          <w:lang w:bidi="ar"/>
        </w:rPr>
      </w:pPr>
      <w:r>
        <w:rPr>
          <w:rFonts w:hint="eastAsia" w:ascii="Times New Roman" w:hAnsi="Times New Roman" w:eastAsia="黑体" w:cs="黑体"/>
          <w:bCs/>
          <w:kern w:val="0"/>
          <w:sz w:val="28"/>
          <w:szCs w:val="28"/>
          <w:lang w:bidi="ar"/>
        </w:rPr>
        <w:t>7.破译雷公藤复杂基因组并解析其活性成分生物合成关键途径</w:t>
      </w:r>
    </w:p>
    <w:p>
      <w:pPr>
        <w:widowControl/>
        <w:autoSpaceDE w:val="0"/>
        <w:spacing w:line="600" w:lineRule="exact"/>
        <w:ind w:firstLine="560" w:firstLineChars="200"/>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lang w:bidi="ar"/>
        </w:rPr>
        <w:t>首都医科大学研究团队首次破译卫矛目植物第一个染色体水平的高杂合基因组，进一步鉴定新颖细胞色素p450酶TwCYP728B70为雷公藤甲素生物合成关键后修饰酶，解析并在酵母中重构了其关键途径。该成果推进了结构复杂的中药萜类活性成分生源途径解析及其合成生物学生产的中药资源可持续利用。相关学术论文于2020年2月在 Nature Communications发表。</w:t>
      </w:r>
    </w:p>
    <w:p>
      <w:pPr>
        <w:widowControl/>
        <w:autoSpaceDE w:val="0"/>
        <w:spacing w:before="156" w:beforeLines="50" w:line="600" w:lineRule="exact"/>
        <w:rPr>
          <w:rFonts w:ascii="Times New Roman" w:hAnsi="Times New Roman" w:eastAsia="仿宋_GB2312" w:cs="仿宋_GB2312"/>
          <w:kern w:val="0"/>
          <w:sz w:val="28"/>
          <w:szCs w:val="28"/>
        </w:rPr>
      </w:pPr>
      <w:r>
        <w:rPr>
          <w:rFonts w:hint="eastAsia" w:ascii="Times New Roman" w:hAnsi="Times New Roman" w:eastAsia="黑体" w:cs="黑体"/>
          <w:bCs/>
          <w:kern w:val="0"/>
          <w:sz w:val="28"/>
          <w:szCs w:val="28"/>
          <w:lang w:bidi="ar"/>
        </w:rPr>
        <w:t>8.针灸治疗偏头痛、功能性消化不良等病症获得高质量临床研究证据</w:t>
      </w:r>
    </w:p>
    <w:p>
      <w:pPr>
        <w:widowControl/>
        <w:autoSpaceDE w:val="0"/>
        <w:spacing w:line="600" w:lineRule="exact"/>
        <w:ind w:firstLine="560" w:firstLineChars="200"/>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lang w:bidi="ar"/>
        </w:rPr>
        <w:t>华中科技大学研究团队、北京中医药大学研究团队分别组织开展的针刺治疗偏头痛、功能性消化不良等病症的临床研究获得高质量临床证据，相关学术论文2020年发表在BMJ,</w:t>
      </w:r>
      <w:r>
        <w:rPr>
          <w:rFonts w:ascii="Times New Roman" w:hAnsi="Times New Roman" w:eastAsia="仿宋_GB2312" w:cs="仿宋_GB2312"/>
          <w:kern w:val="0"/>
          <w:sz w:val="28"/>
          <w:szCs w:val="28"/>
          <w:lang w:bidi="ar"/>
        </w:rPr>
        <w:t xml:space="preserve"> </w:t>
      </w:r>
      <w:r>
        <w:rPr>
          <w:rFonts w:hint="eastAsia" w:ascii="Times New Roman" w:hAnsi="Times New Roman" w:eastAsia="仿宋_GB2312" w:cs="仿宋_GB2312"/>
          <w:kern w:val="0"/>
          <w:sz w:val="28"/>
          <w:szCs w:val="28"/>
          <w:lang w:bidi="ar"/>
        </w:rPr>
        <w:t>Anna Intel Med等国际权威医学期刊，为难治性疾病的治疗提供了新的选择。这些研究将针灸特点与临床流行病学、循证医学的原理相结合，借鉴国际通行的方法，验证了针灸的效果，为针灸从经验医学向循证医学的转化，提供了真实可靠的证据，成为国内外针灸临床研究的示范和引领。</w:t>
      </w:r>
    </w:p>
    <w:p>
      <w:pPr>
        <w:widowControl/>
        <w:autoSpaceDE w:val="0"/>
        <w:spacing w:before="156" w:beforeLines="50" w:line="600" w:lineRule="exact"/>
        <w:rPr>
          <w:rFonts w:ascii="Times New Roman" w:hAnsi="Times New Roman" w:eastAsia="黑体" w:cs="黑体"/>
          <w:bCs/>
          <w:kern w:val="0"/>
          <w:sz w:val="28"/>
          <w:szCs w:val="28"/>
          <w:lang w:bidi="ar"/>
        </w:rPr>
      </w:pPr>
      <w:r>
        <w:rPr>
          <w:rFonts w:hint="eastAsia" w:ascii="Times New Roman" w:hAnsi="Times New Roman" w:eastAsia="黑体" w:cs="黑体"/>
          <w:bCs/>
          <w:kern w:val="0"/>
          <w:sz w:val="28"/>
          <w:szCs w:val="28"/>
          <w:lang w:bidi="ar"/>
        </w:rPr>
        <w:t>9.通过针刺实践发现治疗哮喘的新靶标</w:t>
      </w:r>
    </w:p>
    <w:p>
      <w:pPr>
        <w:widowControl/>
        <w:autoSpaceDE w:val="0"/>
        <w:spacing w:line="600" w:lineRule="exact"/>
        <w:ind w:firstLine="560" w:firstLineChars="200"/>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lang w:bidi="ar"/>
        </w:rPr>
        <w:t>上海中医药大学研究团队结合针灸防治哮喘的长期工作积累，构建了从针灸经验传承、临床疗效、效应调节、生物过程、物质基础到靶标发现的科学路径。依此路径，该团队发现并证明Transgelin-2是治疗哮喘的新靶标，TSG12结合并激动新靶标，Nature Reviews Drug Discovery 将该研究作为亮点专题进行了报道。该研究发现了治疗哮喘的新靶标，也提出了具备自主知识产权药物靶标，同时有助于阐明针灸的科学机制。</w:t>
      </w:r>
    </w:p>
    <w:p>
      <w:pPr>
        <w:widowControl/>
        <w:autoSpaceDE w:val="0"/>
        <w:spacing w:before="156" w:beforeLines="50" w:line="600" w:lineRule="exact"/>
        <w:rPr>
          <w:rFonts w:ascii="Times New Roman" w:hAnsi="Times New Roman" w:eastAsia="黑体" w:cs="黑体"/>
          <w:bCs/>
          <w:kern w:val="0"/>
          <w:sz w:val="28"/>
          <w:szCs w:val="28"/>
          <w:lang w:bidi="ar"/>
        </w:rPr>
      </w:pPr>
      <w:r>
        <w:rPr>
          <w:rFonts w:hint="eastAsia" w:ascii="Times New Roman" w:hAnsi="Times New Roman" w:eastAsia="黑体" w:cs="黑体"/>
          <w:bCs/>
          <w:kern w:val="0"/>
          <w:sz w:val="28"/>
          <w:szCs w:val="28"/>
          <w:lang w:bidi="ar"/>
        </w:rPr>
        <w:t>10.降血糖创新中药——桑枝总生物碱获批上市</w:t>
      </w:r>
    </w:p>
    <w:p>
      <w:pPr>
        <w:widowControl/>
        <w:autoSpaceDE w:val="0"/>
        <w:spacing w:line="600" w:lineRule="exact"/>
        <w:ind w:firstLine="560" w:firstLineChars="200"/>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lang w:bidi="ar"/>
        </w:rPr>
        <w:t>2020年3月18日，由国家重大新药专项支持的桑枝总生物碱片获国家药监局批准上市，该药是国内首个降血糖原创天然药物。本品按照优先审评程序开展技术审评，临床试验结果显示与安慰剂对照组间比较有统计学差异，可有效降低2型糖尿病受试者糖化血红蛋白(HbA1c)水平。配合饮食控制及运动，用于2型糖尿病治疗，为患者提供了一种新的治疗选择。作为植物来源的有效组分天然药物，其兼具中、西药的特点——多靶点作用和质量均一稳定。</w:t>
      </w:r>
    </w:p>
    <w:p>
      <w:pPr>
        <w:autoSpaceDE w:val="0"/>
        <w:spacing w:line="600" w:lineRule="exact"/>
        <w:jc w:val="left"/>
        <w:rPr>
          <w:rFonts w:ascii="Times New Roman" w:hAnsi="Times New Roman" w:eastAsia="黑体" w:cs="黑体"/>
          <w:sz w:val="32"/>
          <w:szCs w:val="32"/>
        </w:rPr>
      </w:pPr>
      <w:r>
        <w:rPr>
          <w:rFonts w:hint="eastAsia" w:ascii="Times New Roman" w:hAnsi="Times New Roman" w:eastAsia="黑体" w:cs="黑体"/>
          <w:sz w:val="32"/>
          <w:szCs w:val="32"/>
          <w:lang w:bidi="ar"/>
        </w:rPr>
        <w:t xml:space="preserve"> </w:t>
      </w:r>
    </w:p>
    <w:p>
      <w:pPr>
        <w:spacing w:line="360" w:lineRule="auto"/>
        <w:jc w:val="left"/>
        <w:rPr>
          <w:rFonts w:ascii="黑体" w:hAnsi="黑体" w:eastAsia="黑体" w:cs="黑体"/>
          <w:sz w:val="32"/>
          <w:szCs w:val="32"/>
        </w:rPr>
      </w:pPr>
    </w:p>
    <w:sectPr>
      <w:pgSz w:w="11906" w:h="16838"/>
      <w:pgMar w:top="1701"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AE6356"/>
    <w:multiLevelType w:val="singleLevel"/>
    <w:tmpl w:val="BFAE6356"/>
    <w:lvl w:ilvl="0" w:tentative="0">
      <w:start w:val="1"/>
      <w:numFmt w:val="decimal"/>
      <w:lvlText w:val="%1."/>
      <w:lvlJc w:val="left"/>
      <w:pPr>
        <w:tabs>
          <w:tab w:val="left" w:pos="312"/>
        </w:tabs>
      </w:pPr>
    </w:lvl>
  </w:abstractNum>
  <w:abstractNum w:abstractNumId="1">
    <w:nsid w:val="C372CE89"/>
    <w:multiLevelType w:val="singleLevel"/>
    <w:tmpl w:val="C372CE89"/>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NhOGE4NmYwZDQ1YmE2MDU5MTk3Y2JhOTllNTk2NDUifQ=="/>
  </w:docVars>
  <w:rsids>
    <w:rsidRoot w:val="00021EEB"/>
    <w:rsid w:val="00000AD7"/>
    <w:rsid w:val="0000443F"/>
    <w:rsid w:val="000138D8"/>
    <w:rsid w:val="00021EEB"/>
    <w:rsid w:val="000343AB"/>
    <w:rsid w:val="00074CAB"/>
    <w:rsid w:val="00083C41"/>
    <w:rsid w:val="00097BEF"/>
    <w:rsid w:val="000A289C"/>
    <w:rsid w:val="000B6384"/>
    <w:rsid w:val="000C233C"/>
    <w:rsid w:val="000E1EE3"/>
    <w:rsid w:val="000E42E0"/>
    <w:rsid w:val="000E7951"/>
    <w:rsid w:val="000F09FF"/>
    <w:rsid w:val="000F6629"/>
    <w:rsid w:val="001008C3"/>
    <w:rsid w:val="00122607"/>
    <w:rsid w:val="00140771"/>
    <w:rsid w:val="001547D6"/>
    <w:rsid w:val="00164762"/>
    <w:rsid w:val="00175A96"/>
    <w:rsid w:val="00186702"/>
    <w:rsid w:val="00190297"/>
    <w:rsid w:val="001B1A25"/>
    <w:rsid w:val="001C3126"/>
    <w:rsid w:val="001D44BD"/>
    <w:rsid w:val="001E47C6"/>
    <w:rsid w:val="001E677C"/>
    <w:rsid w:val="001F5A44"/>
    <w:rsid w:val="002026DA"/>
    <w:rsid w:val="00207207"/>
    <w:rsid w:val="00221A85"/>
    <w:rsid w:val="002328EA"/>
    <w:rsid w:val="00250434"/>
    <w:rsid w:val="00252FA8"/>
    <w:rsid w:val="0026056F"/>
    <w:rsid w:val="00266C07"/>
    <w:rsid w:val="00270CB3"/>
    <w:rsid w:val="00277DFE"/>
    <w:rsid w:val="0028061B"/>
    <w:rsid w:val="002855FF"/>
    <w:rsid w:val="00291CDF"/>
    <w:rsid w:val="002A0ADF"/>
    <w:rsid w:val="002B7E79"/>
    <w:rsid w:val="002E1379"/>
    <w:rsid w:val="00316466"/>
    <w:rsid w:val="00317C33"/>
    <w:rsid w:val="00332E0E"/>
    <w:rsid w:val="00384520"/>
    <w:rsid w:val="003A02F6"/>
    <w:rsid w:val="003B68CF"/>
    <w:rsid w:val="003B7B6A"/>
    <w:rsid w:val="003D0381"/>
    <w:rsid w:val="003F7BEE"/>
    <w:rsid w:val="00405609"/>
    <w:rsid w:val="00407462"/>
    <w:rsid w:val="004136AA"/>
    <w:rsid w:val="00422945"/>
    <w:rsid w:val="00433932"/>
    <w:rsid w:val="004405B4"/>
    <w:rsid w:val="00467DE6"/>
    <w:rsid w:val="004707BA"/>
    <w:rsid w:val="00476E9D"/>
    <w:rsid w:val="004807B2"/>
    <w:rsid w:val="00493F32"/>
    <w:rsid w:val="004967A8"/>
    <w:rsid w:val="00497F3D"/>
    <w:rsid w:val="004B224C"/>
    <w:rsid w:val="004E506B"/>
    <w:rsid w:val="004F1D90"/>
    <w:rsid w:val="0051070D"/>
    <w:rsid w:val="00513D2C"/>
    <w:rsid w:val="005218B9"/>
    <w:rsid w:val="00544853"/>
    <w:rsid w:val="00566F29"/>
    <w:rsid w:val="00567A7B"/>
    <w:rsid w:val="005B59A4"/>
    <w:rsid w:val="005E3753"/>
    <w:rsid w:val="00634E63"/>
    <w:rsid w:val="00636FAF"/>
    <w:rsid w:val="00653C08"/>
    <w:rsid w:val="0066335D"/>
    <w:rsid w:val="00670A49"/>
    <w:rsid w:val="006B0B0B"/>
    <w:rsid w:val="006B4858"/>
    <w:rsid w:val="006D6F4F"/>
    <w:rsid w:val="006F288D"/>
    <w:rsid w:val="00733311"/>
    <w:rsid w:val="007336B2"/>
    <w:rsid w:val="0075396D"/>
    <w:rsid w:val="0076188A"/>
    <w:rsid w:val="0076575F"/>
    <w:rsid w:val="00795D25"/>
    <w:rsid w:val="007961CA"/>
    <w:rsid w:val="007B1836"/>
    <w:rsid w:val="007C5D6E"/>
    <w:rsid w:val="007E3AC7"/>
    <w:rsid w:val="007E6F84"/>
    <w:rsid w:val="007F03E6"/>
    <w:rsid w:val="00802D68"/>
    <w:rsid w:val="00835908"/>
    <w:rsid w:val="008442EB"/>
    <w:rsid w:val="008478F5"/>
    <w:rsid w:val="00850800"/>
    <w:rsid w:val="0089767E"/>
    <w:rsid w:val="008A1C30"/>
    <w:rsid w:val="008B7A53"/>
    <w:rsid w:val="008C2B1B"/>
    <w:rsid w:val="008F2F81"/>
    <w:rsid w:val="00933AD0"/>
    <w:rsid w:val="00934A2B"/>
    <w:rsid w:val="00945B1D"/>
    <w:rsid w:val="009527F8"/>
    <w:rsid w:val="009644A0"/>
    <w:rsid w:val="00964654"/>
    <w:rsid w:val="009664AA"/>
    <w:rsid w:val="00966E23"/>
    <w:rsid w:val="0097191F"/>
    <w:rsid w:val="0097516C"/>
    <w:rsid w:val="00975902"/>
    <w:rsid w:val="00991E29"/>
    <w:rsid w:val="00994C04"/>
    <w:rsid w:val="009C17AF"/>
    <w:rsid w:val="009E4C65"/>
    <w:rsid w:val="00A17AC9"/>
    <w:rsid w:val="00A36965"/>
    <w:rsid w:val="00A454F1"/>
    <w:rsid w:val="00A50E27"/>
    <w:rsid w:val="00A54493"/>
    <w:rsid w:val="00A61307"/>
    <w:rsid w:val="00A800D9"/>
    <w:rsid w:val="00A97760"/>
    <w:rsid w:val="00AA08BC"/>
    <w:rsid w:val="00AC0207"/>
    <w:rsid w:val="00AF72CE"/>
    <w:rsid w:val="00B14CFC"/>
    <w:rsid w:val="00B45FAB"/>
    <w:rsid w:val="00B544DB"/>
    <w:rsid w:val="00B71462"/>
    <w:rsid w:val="00B82F50"/>
    <w:rsid w:val="00B84DEF"/>
    <w:rsid w:val="00B90A5D"/>
    <w:rsid w:val="00BA165F"/>
    <w:rsid w:val="00BB6C15"/>
    <w:rsid w:val="00BC0308"/>
    <w:rsid w:val="00BD0752"/>
    <w:rsid w:val="00BD1E5D"/>
    <w:rsid w:val="00BD6817"/>
    <w:rsid w:val="00BF07E7"/>
    <w:rsid w:val="00C15C9B"/>
    <w:rsid w:val="00C20B26"/>
    <w:rsid w:val="00C311E0"/>
    <w:rsid w:val="00C420BE"/>
    <w:rsid w:val="00C60DB3"/>
    <w:rsid w:val="00C61BEA"/>
    <w:rsid w:val="00C62026"/>
    <w:rsid w:val="00C8636E"/>
    <w:rsid w:val="00C96B81"/>
    <w:rsid w:val="00CB26A0"/>
    <w:rsid w:val="00CC1668"/>
    <w:rsid w:val="00CE1C89"/>
    <w:rsid w:val="00D0129C"/>
    <w:rsid w:val="00D04413"/>
    <w:rsid w:val="00D06DE0"/>
    <w:rsid w:val="00D11E59"/>
    <w:rsid w:val="00D2301A"/>
    <w:rsid w:val="00D27D9B"/>
    <w:rsid w:val="00D35BD9"/>
    <w:rsid w:val="00D45C90"/>
    <w:rsid w:val="00D65D18"/>
    <w:rsid w:val="00D77C29"/>
    <w:rsid w:val="00D9046F"/>
    <w:rsid w:val="00D97EA9"/>
    <w:rsid w:val="00DB6C36"/>
    <w:rsid w:val="00DC6F10"/>
    <w:rsid w:val="00DC7C8D"/>
    <w:rsid w:val="00DD5FC4"/>
    <w:rsid w:val="00DD7019"/>
    <w:rsid w:val="00E13E16"/>
    <w:rsid w:val="00E35D3F"/>
    <w:rsid w:val="00E37499"/>
    <w:rsid w:val="00E45BCD"/>
    <w:rsid w:val="00E50CC0"/>
    <w:rsid w:val="00E579B7"/>
    <w:rsid w:val="00E615BD"/>
    <w:rsid w:val="00E67A8C"/>
    <w:rsid w:val="00EC2264"/>
    <w:rsid w:val="00EC2343"/>
    <w:rsid w:val="00ED0592"/>
    <w:rsid w:val="00ED684D"/>
    <w:rsid w:val="00EF41C1"/>
    <w:rsid w:val="00F24DD7"/>
    <w:rsid w:val="00F543CC"/>
    <w:rsid w:val="00F74C27"/>
    <w:rsid w:val="00F75D1F"/>
    <w:rsid w:val="00F75EA3"/>
    <w:rsid w:val="00F80D11"/>
    <w:rsid w:val="00F94DAF"/>
    <w:rsid w:val="00FB541A"/>
    <w:rsid w:val="00FE32E5"/>
    <w:rsid w:val="049524D3"/>
    <w:rsid w:val="0804328F"/>
    <w:rsid w:val="09812E50"/>
    <w:rsid w:val="0BBA745D"/>
    <w:rsid w:val="0CB52406"/>
    <w:rsid w:val="0E667912"/>
    <w:rsid w:val="12576CD8"/>
    <w:rsid w:val="164416F5"/>
    <w:rsid w:val="165326F2"/>
    <w:rsid w:val="1AE1431D"/>
    <w:rsid w:val="1F103FB9"/>
    <w:rsid w:val="1F3E0313"/>
    <w:rsid w:val="21682685"/>
    <w:rsid w:val="228069B9"/>
    <w:rsid w:val="25554FE5"/>
    <w:rsid w:val="2561320A"/>
    <w:rsid w:val="258265CD"/>
    <w:rsid w:val="29411E86"/>
    <w:rsid w:val="2A202E42"/>
    <w:rsid w:val="2BBE23F6"/>
    <w:rsid w:val="2C3D1226"/>
    <w:rsid w:val="30DE7362"/>
    <w:rsid w:val="32203274"/>
    <w:rsid w:val="32EB2B37"/>
    <w:rsid w:val="342D28F5"/>
    <w:rsid w:val="38531453"/>
    <w:rsid w:val="39D972A0"/>
    <w:rsid w:val="3AE92A55"/>
    <w:rsid w:val="3C3344BB"/>
    <w:rsid w:val="3C733E05"/>
    <w:rsid w:val="3FC75A13"/>
    <w:rsid w:val="42771599"/>
    <w:rsid w:val="478126A2"/>
    <w:rsid w:val="49114385"/>
    <w:rsid w:val="49681D36"/>
    <w:rsid w:val="4B07408A"/>
    <w:rsid w:val="4B7D2128"/>
    <w:rsid w:val="4B893ACB"/>
    <w:rsid w:val="4CC03595"/>
    <w:rsid w:val="4D1D610E"/>
    <w:rsid w:val="50A84F3B"/>
    <w:rsid w:val="519E3339"/>
    <w:rsid w:val="51E831A4"/>
    <w:rsid w:val="5522082E"/>
    <w:rsid w:val="55493BE8"/>
    <w:rsid w:val="5663337B"/>
    <w:rsid w:val="581A1CF4"/>
    <w:rsid w:val="59384017"/>
    <w:rsid w:val="59C17088"/>
    <w:rsid w:val="5A2045E2"/>
    <w:rsid w:val="61DE5A1A"/>
    <w:rsid w:val="62AF02F1"/>
    <w:rsid w:val="63267BB4"/>
    <w:rsid w:val="65775CAE"/>
    <w:rsid w:val="65ED7BBC"/>
    <w:rsid w:val="668B7954"/>
    <w:rsid w:val="690F7A93"/>
    <w:rsid w:val="6A2C21EF"/>
    <w:rsid w:val="6B3A03E6"/>
    <w:rsid w:val="6B4B360E"/>
    <w:rsid w:val="6B9D55AC"/>
    <w:rsid w:val="70456AD7"/>
    <w:rsid w:val="73640229"/>
    <w:rsid w:val="74342847"/>
    <w:rsid w:val="762B7920"/>
    <w:rsid w:val="77674B63"/>
    <w:rsid w:val="783A2136"/>
    <w:rsid w:val="78C52A7C"/>
    <w:rsid w:val="7A115987"/>
    <w:rsid w:val="7B56516C"/>
    <w:rsid w:val="7FFF4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8"/>
    <w:semiHidden/>
    <w:unhideWhenUsed/>
    <w:qFormat/>
    <w:uiPriority w:val="0"/>
    <w:pPr>
      <w:ind w:left="100" w:leftChars="2500"/>
    </w:pPr>
  </w:style>
  <w:style w:type="paragraph" w:styleId="4">
    <w:name w:val="Balloon Text"/>
    <w:basedOn w:val="1"/>
    <w:link w:val="16"/>
    <w:qFormat/>
    <w:uiPriority w:val="0"/>
    <w:rPr>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jc w:val="left"/>
    </w:pPr>
    <w:rPr>
      <w:rFonts w:ascii="宋体" w:hAnsi="宋体" w:cs="宋体"/>
      <w:kern w:val="0"/>
      <w:sz w:val="24"/>
      <w:szCs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paragraph" w:customStyle="1" w:styleId="13">
    <w:name w:val="Table Paragraph"/>
    <w:basedOn w:val="1"/>
    <w:qFormat/>
    <w:uiPriority w:val="1"/>
  </w:style>
  <w:style w:type="character" w:customStyle="1" w:styleId="14">
    <w:name w:val="页眉 字符"/>
    <w:basedOn w:val="10"/>
    <w:link w:val="6"/>
    <w:qFormat/>
    <w:uiPriority w:val="0"/>
    <w:rPr>
      <w:rFonts w:ascii="Calibri" w:hAnsi="Calibri"/>
      <w:kern w:val="2"/>
      <w:sz w:val="18"/>
      <w:szCs w:val="18"/>
    </w:rPr>
  </w:style>
  <w:style w:type="character" w:customStyle="1" w:styleId="15">
    <w:name w:val="页脚 字符"/>
    <w:basedOn w:val="10"/>
    <w:link w:val="5"/>
    <w:qFormat/>
    <w:uiPriority w:val="0"/>
    <w:rPr>
      <w:rFonts w:ascii="Calibri" w:hAnsi="Calibri"/>
      <w:kern w:val="2"/>
      <w:sz w:val="18"/>
      <w:szCs w:val="18"/>
    </w:rPr>
  </w:style>
  <w:style w:type="character" w:customStyle="1" w:styleId="16">
    <w:name w:val="批注框文本 字符"/>
    <w:basedOn w:val="10"/>
    <w:link w:val="4"/>
    <w:qFormat/>
    <w:uiPriority w:val="0"/>
    <w:rPr>
      <w:rFonts w:ascii="Calibri" w:hAnsi="Calibri"/>
      <w:kern w:val="2"/>
      <w:sz w:val="18"/>
      <w:szCs w:val="18"/>
    </w:rPr>
  </w:style>
  <w:style w:type="character" w:customStyle="1" w:styleId="17">
    <w:name w:val="未处理的提及1"/>
    <w:basedOn w:val="10"/>
    <w:semiHidden/>
    <w:unhideWhenUsed/>
    <w:qFormat/>
    <w:uiPriority w:val="99"/>
    <w:rPr>
      <w:color w:val="605E5C"/>
      <w:shd w:val="clear" w:color="auto" w:fill="E1DFDD"/>
    </w:rPr>
  </w:style>
  <w:style w:type="character" w:customStyle="1" w:styleId="18">
    <w:name w:val="日期 字符"/>
    <w:basedOn w:val="10"/>
    <w:link w:val="3"/>
    <w:semiHidden/>
    <w:qFormat/>
    <w:uiPriority w:val="0"/>
    <w:rPr>
      <w:rFonts w:ascii="Calibri" w:hAnsi="Calibri"/>
      <w:kern w:val="2"/>
      <w:sz w:val="21"/>
      <w:szCs w:val="22"/>
    </w:rPr>
  </w:style>
  <w:style w:type="paragraph" w:styleId="19">
    <w:name w:val="List Paragraph"/>
    <w:basedOn w:val="1"/>
    <w:qFormat/>
    <w:uiPriority w:val="99"/>
    <w:pPr>
      <w:ind w:firstLine="420" w:firstLineChars="200"/>
    </w:pPr>
  </w:style>
  <w:style w:type="character" w:customStyle="1" w:styleId="20">
    <w:name w:val="Unresolved Mention"/>
    <w:basedOn w:val="10"/>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5884</Words>
  <Characters>6495</Characters>
  <Lines>48</Lines>
  <Paragraphs>13</Paragraphs>
  <TotalTime>12</TotalTime>
  <ScaleCrop>false</ScaleCrop>
  <LinksUpToDate>false</LinksUpToDate>
  <CharactersWithSpaces>6591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2022-11-15T01:03:00Z</dcterms:created>
  <dc:creator>liyuan</dc:creator>
  <cp:lastModifiedBy>墨绿1380105948</cp:lastModifiedBy>
  <cp:lastPrinted>2022-03-09T01:49:00Z</cp:lastPrinted>
  <dcterms:modified xsi:type="dcterms:W3CDTF">2022-11-17T02:39:31Z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358D357D6D1D44298CFAB2AC963E3E58</vt:lpwstr>
  </property>
</Properties>
</file>