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tabs>
          <w:tab w:val="left" w:pos="400"/>
        </w:tabs>
        <w:kinsoku/>
        <w:wordWrap/>
        <w:overflowPunct/>
        <w:topLinePunct w:val="0"/>
        <w:bidi w:val="0"/>
        <w:snapToGrid/>
        <w:spacing w:line="600" w:lineRule="exact"/>
        <w:jc w:val="both"/>
        <w:rPr>
          <w:rFonts w:ascii="黑体" w:hAnsi="黑体" w:eastAsia="黑体" w:cs="黑体"/>
          <w:spacing w:val="15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pacing w:val="15"/>
          <w:kern w:val="2"/>
          <w:sz w:val="32"/>
          <w:szCs w:val="32"/>
          <w:lang w:val="en-US"/>
        </w:rPr>
        <w:t>附件</w:t>
      </w:r>
    </w:p>
    <w:p>
      <w:pPr>
        <w:pStyle w:val="4"/>
        <w:keepNext w:val="0"/>
        <w:keepLines w:val="0"/>
        <w:pageBreakBefore w:val="0"/>
        <w:tabs>
          <w:tab w:val="left" w:pos="400"/>
        </w:tabs>
        <w:kinsoku/>
        <w:wordWrap/>
        <w:overflowPunct/>
        <w:topLinePunct w:val="0"/>
        <w:bidi w:val="0"/>
        <w:snapToGrid/>
        <w:spacing w:line="600" w:lineRule="exact"/>
        <w:jc w:val="both"/>
        <w:rPr>
          <w:rFonts w:ascii="黑体" w:hAnsi="黑体" w:eastAsia="黑体" w:cs="黑体"/>
          <w:spacing w:val="15"/>
          <w:kern w:val="2"/>
          <w:sz w:val="32"/>
          <w:szCs w:val="32"/>
          <w:lang w:val="en-US"/>
        </w:rPr>
      </w:pPr>
    </w:p>
    <w:p>
      <w:pPr>
        <w:pStyle w:val="4"/>
        <w:keepNext w:val="0"/>
        <w:keepLines w:val="0"/>
        <w:pageBreakBefore w:val="0"/>
        <w:tabs>
          <w:tab w:val="left" w:pos="400"/>
        </w:tabs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ascii="方正小标宋简体" w:hAnsi="黑体" w:eastAsia="方正小标宋简体" w:cs="黑体"/>
          <w:spacing w:val="15"/>
          <w:kern w:val="2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黑体" w:eastAsia="方正小标宋简体" w:cs="黑体"/>
          <w:spacing w:val="15"/>
          <w:kern w:val="2"/>
          <w:sz w:val="44"/>
          <w:szCs w:val="44"/>
          <w:lang w:val="en-US"/>
        </w:rPr>
        <w:t>交通路线</w:t>
      </w:r>
    </w:p>
    <w:bookmarkEnd w:id="0"/>
    <w:p>
      <w:pPr>
        <w:pStyle w:val="4"/>
        <w:keepNext w:val="0"/>
        <w:keepLines w:val="0"/>
        <w:pageBreakBefore w:val="0"/>
        <w:tabs>
          <w:tab w:val="left" w:pos="400"/>
        </w:tabs>
        <w:kinsoku/>
        <w:wordWrap/>
        <w:overflowPunct/>
        <w:topLinePunct w:val="0"/>
        <w:bidi w:val="0"/>
        <w:snapToGrid/>
        <w:spacing w:line="600" w:lineRule="exact"/>
        <w:jc w:val="both"/>
        <w:rPr>
          <w:rFonts w:ascii="黑体" w:hAnsi="黑体" w:eastAsia="黑体" w:cs="黑体"/>
          <w:spacing w:val="15"/>
          <w:kern w:val="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numPr>
          <w:ilvl w:val="9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700" w:firstLineChars="200"/>
        <w:jc w:val="both"/>
        <w:rPr>
          <w:rFonts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  <w:t>方案1：郑州新郑国际机场距离嵩山饭店40公里打车约70元。</w:t>
      </w:r>
    </w:p>
    <w:p>
      <w:pPr>
        <w:keepNext w:val="0"/>
        <w:keepLines w:val="0"/>
        <w:pageBreakBefore w:val="0"/>
        <w:numPr>
          <w:ilvl w:val="9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700" w:firstLineChars="200"/>
        <w:jc w:val="both"/>
        <w:rPr>
          <w:rFonts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  <w:t>方案2：郑州新郑国际机场距离嵩山饭店可乘坐轨道城郊线（新郑机场站）转2号线转5号线内环（南五里堡站）市中心医院C出口步行1.5公里。</w:t>
      </w:r>
    </w:p>
    <w:p>
      <w:pPr>
        <w:keepNext w:val="0"/>
        <w:keepLines w:val="0"/>
        <w:pageBreakBefore w:val="0"/>
        <w:numPr>
          <w:ilvl w:val="9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700" w:firstLineChars="200"/>
        <w:jc w:val="both"/>
        <w:rPr>
          <w:rFonts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  <w:t>方案3：郑州上街机场距离嵩山饭店50公里打车约90元。</w:t>
      </w:r>
    </w:p>
    <w:p>
      <w:pPr>
        <w:keepNext w:val="0"/>
        <w:keepLines w:val="0"/>
        <w:pageBreakBefore w:val="0"/>
        <w:numPr>
          <w:ilvl w:val="9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700" w:firstLineChars="200"/>
        <w:jc w:val="both"/>
        <w:rPr>
          <w:rFonts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  <w:t>方案4：郑州火车站距离嵩山饭店5.2公里打车约15元。</w:t>
      </w:r>
    </w:p>
    <w:p>
      <w:pPr>
        <w:keepNext w:val="0"/>
        <w:keepLines w:val="0"/>
        <w:pageBreakBefore w:val="0"/>
        <w:numPr>
          <w:ilvl w:val="9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700" w:firstLineChars="200"/>
        <w:jc w:val="both"/>
        <w:rPr>
          <w:rFonts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  <w:t>方案5：郑州火车站距离嵩山饭店可乘坐轨道1号线至绿城广场D出口步行1.5公里。</w:t>
      </w:r>
    </w:p>
    <w:p>
      <w:pPr>
        <w:keepNext w:val="0"/>
        <w:keepLines w:val="0"/>
        <w:pageBreakBefore w:val="0"/>
        <w:numPr>
          <w:ilvl w:val="9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700" w:firstLineChars="200"/>
        <w:jc w:val="both"/>
        <w:rPr>
          <w:rFonts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  <w:t>方案6：郑州火车东站距离嵩山饭店17公里打车约45元。</w:t>
      </w:r>
    </w:p>
    <w:p>
      <w:pPr>
        <w:keepNext w:val="0"/>
        <w:keepLines w:val="0"/>
        <w:pageBreakBefore w:val="0"/>
        <w:numPr>
          <w:ilvl w:val="9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700" w:firstLineChars="200"/>
        <w:jc w:val="both"/>
        <w:rPr>
          <w:rFonts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  <w:t>方案7：郑州火车东站距离嵩山饭店可乘坐轨道1号线至绿城广场D出口步行1.5公里。</w:t>
      </w:r>
    </w:p>
    <w:p>
      <w:pPr>
        <w:keepNext w:val="0"/>
        <w:keepLines w:val="0"/>
        <w:pageBreakBefore w:val="0"/>
        <w:numPr>
          <w:ilvl w:val="9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700" w:firstLineChars="200"/>
        <w:jc w:val="both"/>
        <w:rPr>
          <w:rFonts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pacing w:val="15"/>
          <w:kern w:val="2"/>
          <w:sz w:val="32"/>
          <w:szCs w:val="32"/>
          <w:lang w:val="en-US"/>
        </w:rPr>
        <w:t>方案8：郑州火车西站距离嵩山饭店25公里打车约47元。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35EFD"/>
    <w:rsid w:val="0F03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基本段落]"/>
    <w:basedOn w:val="1"/>
    <w:qFormat/>
    <w:uiPriority w:val="99"/>
    <w:pPr>
      <w:adjustRightInd w:val="0"/>
      <w:spacing w:line="288" w:lineRule="auto"/>
      <w:textAlignment w:val="center"/>
    </w:pPr>
    <w:rPr>
      <w:rFonts w:ascii="AdobeSongStd-Light" w:hAnsi="Calibri" w:eastAsia="AdobeSongStd-Light" w:cs="AdobeSongStd-Ligh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2021-07-21T06:10:00Z</dcterms:created>
  <dc:creator>Jiawei</dc:creator>
  <cp:lastModifiedBy>Jiawei</cp:lastModifiedBy>
  <dcterms:modified xsi:type="dcterms:W3CDTF">2021-07-21T06:10:40Z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77ADCF4C7EE64BAF8AA69601CB7B1982</vt:lpwstr>
  </property>
</Properties>
</file>