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w:body>
    <w:p>
      <w:pPr>
        <w:pStyle w:val="Normal(Web)"/>
        <w:keepNext w:val="off"/>
        <w:keepLines w:val="off"/>
        <w:pageBreakBefore w:val="off"/>
        <w:pBdr>
          <w:top w:val="none" w:sz="4" w:space="0"/>
          <w:left w:val="none" w:sz="4" w:space="0"/>
          <w:bottom w:val="none" w:sz="4" w:space="0"/>
          <w:right w:val="none" w:sz="4" w:space="0"/>
        </w:pBdr>
        <w:bidi w:val="off"/>
        <w:spacing w:before="0" w:after="0" w:line="600" w:lineRule="exact"/>
        <w:ind w:right="0"/>
        <w:jc w:val="left"/>
        <w:rPr>
          <w:rFonts w:ascii="黑体" w:cs="黑体" w:eastAsia="黑体" w:hAnsi="黑体"/>
          <w:b w:val="off"/>
          <w:i w:val="off"/>
          <w:caps w:val="off"/>
          <w:color w:val="333333"/>
          <w:spacing w:val="0"/>
          <w:sz w:val="32"/>
          <w:szCs w:val="32"/>
          <w:shd w:val="clear" w:color="auto" w:fill="ffffff"/>
          <w:lang w:val="en-US" w:eastAsia="zh-CN"/>
        </w:rPr>
      </w:pPr>
      <w:r>
        <w:rPr>
          <w:rFonts w:ascii="黑体" w:cs="黑体" w:eastAsia="黑体" w:hAnsi="黑体"/>
          <w:b w:val="off"/>
          <w:i w:val="off"/>
          <w:caps w:val="off"/>
          <w:color w:val="333333"/>
          <w:spacing w:val="0"/>
          <w:sz w:val="32"/>
          <w:szCs w:val="32"/>
          <w:shd w:val="clear" w:color="auto" w:fill="ffffff"/>
          <w:lang w:val="en-US" w:eastAsia="zh-CN"/>
        </w:rPr>
        <w:t>附件</w:t>
      </w:r>
    </w:p>
    <w:p>
      <w:pPr>
        <w:pStyle w:val="Normal(Web)"/>
        <w:keepNext w:val="off"/>
        <w:keepLines w:val="off"/>
        <w:pageBreakBefore w:val="off"/>
        <w:pBdr>
          <w:top w:val="none" w:sz="4" w:space="0"/>
          <w:left w:val="none" w:sz="4" w:space="0"/>
          <w:bottom w:val="none" w:sz="4" w:space="0"/>
          <w:right w:val="none" w:sz="4" w:space="0"/>
        </w:pBdr>
        <w:bidi w:val="off"/>
        <w:spacing w:before="0" w:after="0" w:line="600" w:lineRule="exact"/>
        <w:ind w:right="0"/>
        <w:jc w:val="left"/>
        <w:rPr>
          <w:rFonts w:ascii="黑体" w:cs="黑体" w:eastAsia="黑体" w:hAnsi="黑体"/>
          <w:b w:val="off"/>
          <w:i w:val="off"/>
          <w:caps w:val="off"/>
          <w:color w:val="333333"/>
          <w:spacing w:val="0"/>
          <w:sz w:val="30"/>
          <w:szCs w:val="30"/>
          <w:shd w:val="clear" w:color="auto" w:fill="ffffff"/>
          <w:lang w:val="en-US" w:eastAsia="zh-CN"/>
        </w:rPr>
      </w:pPr>
    </w:p>
    <w:p>
      <w:pPr>
        <w:pStyle w:val="Normal(Web)"/>
        <w:keepNext w:val="off"/>
        <w:keepLines w:val="off"/>
        <w:pageBreakBefore w:val="off"/>
        <w:pBdr>
          <w:top w:val="none" w:sz="4" w:space="0"/>
          <w:left w:val="none" w:sz="4" w:space="0"/>
          <w:bottom w:val="none" w:sz="4" w:space="0"/>
          <w:right w:val="none" w:sz="4" w:space="0"/>
        </w:pBdr>
        <w:bidi w:val="off"/>
        <w:spacing w:before="0" w:after="0" w:line="600" w:lineRule="exact"/>
        <w:ind w:right="0"/>
        <w:jc w:val="center"/>
        <w:rPr>
          <w:rFonts w:ascii="方正小标宋简体" w:cs="方正小标宋简体" w:eastAsia="方正小标宋简体" w:hAnsi="方正小标宋简体"/>
          <w:b w:val="off"/>
          <w:i w:val="off"/>
          <w:caps w:val="off"/>
          <w:color w:val="333333"/>
          <w:spacing w:val="0"/>
          <w:sz w:val="30"/>
          <w:szCs w:val="30"/>
          <w:shd w:val="clear" w:color="auto" w:fill="ffffff"/>
          <w:lang w:val="en-US" w:eastAsia="zh-CN"/>
        </w:rPr>
      </w:pPr>
    </w:p>
    <w:p>
      <w:pPr>
        <w:jc w:val="cente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pPr>
      <w: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t>2020年度中医药学百篇优秀论文</w:t>
      </w:r>
      <w:bookmarkStart w:id="0" w:name="_GoBack"/>
      <w:bookmarkEnd w:id="0"/>
      <w: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t>入</w:t>
      </w:r>
      <w: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t>选名单</w:t>
      </w:r>
    </w:p>
    <w:p>
      <w:pPr>
        <w:jc w:val="center"/>
        <w:rPr>
          <w:rFonts w:ascii="方正小标宋简体" w:cs="方正小标宋简体" w:eastAsia="方正小标宋简体" w:hAnsi="方正小标宋简体"/>
          <w:b w:val="off"/>
          <w:i w:val="off"/>
          <w:caps w:val="off"/>
          <w:color w:val="auto"/>
          <w:spacing w:val="0"/>
          <w:sz w:val="40"/>
          <w:szCs w:val="40"/>
          <w:shd w:val="clear" w:color="auto" w:fill="ffffff"/>
          <w:lang w:val="en-US" w:bidi="ar-DZ" w:eastAsia="zh-CN"/>
        </w:rPr>
      </w:pPr>
      <w:r>
        <w:rPr>
          <w:rFonts w:ascii="方正小标宋简体" w:cs="方正小标宋简体" w:eastAsia="方正小标宋简体" w:hAnsi="方正小标宋简体"/>
          <w:b w:val="off"/>
          <w:i w:val="off"/>
          <w:caps w:val="off"/>
          <w:color w:val="auto"/>
          <w:spacing w:val="0"/>
          <w:sz w:val="40"/>
          <w:szCs w:val="40"/>
          <w:shd w:val="clear" w:color="auto" w:fill="ffffff"/>
          <w:lang w:val="en-US" w:bidi="ar-DZ" w:eastAsia="zh-CN"/>
        </w:rPr>
        <w:t>（排名不分前后）</w:t>
      </w:r>
    </w:p>
    <w:tbl>
      <w:tblPr>
        <w:tblStyle w:val="NormalTable"/>
        <w:tblpPr w:leftFromText="180" w:rightFromText="180" w:vertAnchor="text" w:horzAnchor="page" w:tblpX="1741" w:tblpY="636"/>
        <w:tblOverlap w:val="never"/>
        <w:tblW w:w="14044" w:type="dxa"/>
        <w:tblInd w:w="0" w:type="dxa"/>
        <w:shd w:val="clear" w:color="auto" w:fill="auto"/>
        <w:tblLayout w:type="fixed"/>
        <w:tblCellMar>
          <w:top w:w="0" w:type="dxa"/>
          <w:left w:w="0" w:type="dxa"/>
          <w:bottom w:w="0" w:type="dxa"/>
          <w:right w:w="0" w:type="dxa"/>
        </w:tblCellMar>
      </w:tblPr>
      <w:tblGrid>
        <w:gridCol w:w="769"/>
        <w:gridCol w:w="8812"/>
        <w:gridCol w:w="1294"/>
        <w:gridCol w:w="3169"/>
      </w:tblGrid>
      <w:tr>
        <w:trPr>
          <w:trHeight w:val="315" w:hRule="atLeast"/>
        </w:trPr>
        <w:tc>
          <w:tcPr>
            <w:cnfStyle w:val="1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方正小标宋简体" w:cs="方正小标宋简体" w:eastAsia="方正小标宋简体" w:hAnsi="方正小标宋简体"/>
                <w:i w:val="off"/>
                <w:color w:val="000000"/>
                <w:sz w:val="24"/>
                <w:szCs w:val="24"/>
              </w:rPr>
            </w:pPr>
            <w:r>
              <w:rPr>
                <w:rFonts w:ascii="方正小标宋简体" w:cs="方正小标宋简体" w:eastAsia="方正小标宋简体" w:hAnsi="方正小标宋简体"/>
                <w:i w:val="off"/>
                <w:color w:val="000000"/>
                <w:sz w:val="24"/>
                <w:szCs w:val="24"/>
                <w:lang w:val="en-US" w:bidi="ar-DZ" w:eastAsia="zh-CN"/>
              </w:rPr>
              <w:t>编号</w:t>
            </w:r>
          </w:p>
        </w:tc>
        <w:tc>
          <w:tcPr>
            <w:cnfStyle w:val="100001000000"/>
            <w:tcW w:w="881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方正小标宋简体" w:cs="方正小标宋简体" w:eastAsia="方正小标宋简体" w:hAnsi="方正小标宋简体"/>
                <w:i w:val="off"/>
                <w:color w:val="000000"/>
                <w:sz w:val="24"/>
                <w:szCs w:val="24"/>
              </w:rPr>
            </w:pPr>
            <w:r>
              <w:rPr>
                <w:rFonts w:ascii="方正小标宋简体" w:cs="方正小标宋简体" w:eastAsia="方正小标宋简体" w:hAnsi="方正小标宋简体"/>
                <w:i w:val="off"/>
                <w:color w:val="000000"/>
                <w:sz w:val="24"/>
                <w:szCs w:val="24"/>
                <w:lang w:val="en-US" w:bidi="ar-DZ" w:eastAsia="zh-CN"/>
              </w:rPr>
              <w:t>篇名</w:t>
            </w:r>
          </w:p>
        </w:tc>
        <w:tc>
          <w:tcPr>
            <w:cnfStyle w:val="100010000000"/>
            <w:tcW w:w="12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方正小标宋简体" w:cs="方正小标宋简体" w:eastAsia="方正小标宋简体" w:hAnsi="方正小标宋简体"/>
                <w:i w:val="off"/>
                <w:color w:val="000000"/>
                <w:sz w:val="24"/>
                <w:szCs w:val="24"/>
              </w:rPr>
            </w:pPr>
            <w:r>
              <w:rPr>
                <w:rFonts w:ascii="方正小标宋简体" w:cs="方正小标宋简体" w:eastAsia="方正小标宋简体" w:hAnsi="方正小标宋简体"/>
                <w:i w:val="off"/>
                <w:color w:val="000000"/>
                <w:sz w:val="24"/>
                <w:szCs w:val="24"/>
                <w:lang w:val="en-US" w:bidi="ar-DZ" w:eastAsia="zh-CN"/>
              </w:rPr>
              <w:t>作者</w:t>
            </w:r>
          </w:p>
        </w:tc>
        <w:tc>
          <w:tcPr>
            <w:cnfStyle w:val="100001000000"/>
            <w:tcW w:w="3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方正小标宋简体" w:cs="方正小标宋简体" w:eastAsia="方正小标宋简体" w:hAnsi="方正小标宋简体"/>
                <w:i w:val="off"/>
                <w:color w:val="000000"/>
                <w:sz w:val="24"/>
                <w:szCs w:val="24"/>
              </w:rPr>
            </w:pPr>
            <w:r>
              <w:rPr>
                <w:rFonts w:ascii="方正小标宋简体" w:cs="方正小标宋简体" w:eastAsia="方正小标宋简体" w:hAnsi="方正小标宋简体"/>
                <w:i w:val="off"/>
                <w:color w:val="000000"/>
                <w:sz w:val="24"/>
                <w:szCs w:val="24"/>
                <w:lang w:val="en-US" w:bidi="ar-DZ" w:eastAsia="zh-CN"/>
              </w:rPr>
              <w:t>来源</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参芪地黄汤化裁方结合西医常规疗法治疗</w:t>
            </w:r>
            <w:r>
              <w:rPr>
                <w:rStyle w:val="Font41"/>
                <w:rFonts w:eastAsia="宋体"/>
                <w:sz w:val="24"/>
                <w:szCs w:val="24"/>
                <w:lang w:val="en-US" w:bidi="ar-DZ" w:eastAsia="zh-CN"/>
              </w:rPr>
              <w:t>Ⅳ</w:t>
            </w:r>
            <w:r>
              <w:rPr>
                <w:rStyle w:val="Font11"/>
                <w:sz w:val="24"/>
                <w:szCs w:val="24"/>
                <w:lang w:val="en-US" w:bidi="ar-DZ" w:eastAsia="zh-CN"/>
              </w:rPr>
              <w:t>期糖尿病肾病临床研究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吕翠岩</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国际中医中药杂志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国医大师洪广祥教授治疗慢性阻塞性肺疾病经验</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王丽华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中华中医药杂志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经方治疗面部痤疮</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冯世纶</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中华中医药杂志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国医大师邓铁涛强肌健力饮治疗重症肌无力的临床应用及学术传承</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黄子天</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广州中医药大学学报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急性</w:t>
            </w:r>
            <w:r>
              <w:rPr>
                <w:rStyle w:val="Font41"/>
                <w:rFonts w:eastAsia="宋体"/>
                <w:sz w:val="24"/>
                <w:szCs w:val="24"/>
                <w:lang w:val="en-US" w:bidi="ar-DZ" w:eastAsia="zh-CN"/>
              </w:rPr>
              <w:t>ST</w:t>
            </w:r>
            <w:r>
              <w:rPr>
                <w:rStyle w:val="Font11"/>
                <w:sz w:val="24"/>
                <w:szCs w:val="24"/>
                <w:lang w:val="en-US" w:bidi="ar-DZ" w:eastAsia="zh-CN"/>
              </w:rPr>
              <w:t>段抬高型心肌梗死不同形态的机制及中医证型分布规律探讨</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褚庆民</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广州中医药大学学报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基于中医证候学的糖尿病肾病患者肾小球滤过率评估方法的探索</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贾冕</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环球中医药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基于</w:t>
            </w:r>
            <w:r>
              <w:rPr>
                <w:rStyle w:val="Font41"/>
                <w:rFonts w:eastAsia="宋体"/>
                <w:sz w:val="24"/>
                <w:szCs w:val="24"/>
                <w:lang w:val="en-US" w:bidi="ar-DZ" w:eastAsia="zh-CN"/>
              </w:rPr>
              <w:t>“</w:t>
            </w:r>
            <w:r>
              <w:rPr>
                <w:rStyle w:val="Font11"/>
                <w:sz w:val="24"/>
                <w:szCs w:val="24"/>
                <w:lang w:val="en-US" w:bidi="ar-DZ" w:eastAsia="zh-CN"/>
              </w:rPr>
              <w:t>寒热虚实</w:t>
            </w:r>
            <w:r>
              <w:rPr>
                <w:rStyle w:val="Font41"/>
                <w:rFonts w:eastAsia="宋体"/>
                <w:sz w:val="24"/>
                <w:szCs w:val="24"/>
                <w:lang w:val="en-US" w:bidi="ar-DZ" w:eastAsia="zh-CN"/>
              </w:rPr>
              <w:t>”</w:t>
            </w:r>
            <w:r>
              <w:rPr>
                <w:rStyle w:val="Font11"/>
                <w:sz w:val="24"/>
                <w:szCs w:val="24"/>
                <w:lang w:val="en-US" w:bidi="ar-DZ" w:eastAsia="zh-CN"/>
              </w:rPr>
              <w:t>辨证治疗功能性消化不良：患者评价结局的随机对照试验</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张声生</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中华中医药杂志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从中医病因病机与常用药探讨痤疮的中医治疗特色</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顾炜</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辽宁中医杂志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张景岳真阴精气理论在糖尿病肾病治疗中的应用探讨</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柳红芳</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北京中医药大学学报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中医体质类型与代谢综合征相关性研究的系统评价和</w:t>
            </w:r>
            <w:r>
              <w:rPr>
                <w:rStyle w:val="Font41"/>
                <w:rFonts w:eastAsia="宋体"/>
                <w:sz w:val="24"/>
                <w:szCs w:val="24"/>
                <w:lang w:val="en-US" w:bidi="ar-DZ" w:eastAsia="zh-CN"/>
              </w:rPr>
              <w:t xml:space="preserve"> Meta </w:t>
            </w:r>
            <w:r>
              <w:rPr>
                <w:rStyle w:val="Font11"/>
                <w:sz w:val="24"/>
                <w:szCs w:val="24"/>
                <w:lang w:val="en-US" w:bidi="ar-DZ" w:eastAsia="zh-CN"/>
              </w:rPr>
              <w:t>分析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罗辉</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北京中医药大学学报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基于关联规则和熵聚类算法的抑郁症肝郁脾虚证患者</w:t>
            </w:r>
            <w:r>
              <w:rPr>
                <w:rStyle w:val="Font41"/>
                <w:rFonts w:eastAsia="宋体"/>
                <w:sz w:val="24"/>
                <w:szCs w:val="24"/>
                <w:lang w:val="en-US" w:bidi="ar-DZ" w:eastAsia="zh-CN"/>
              </w:rPr>
              <w:t xml:space="preserve"> </w:t>
            </w:r>
            <w:r>
              <w:rPr>
                <w:rStyle w:val="Font11"/>
                <w:sz w:val="24"/>
                <w:szCs w:val="24"/>
                <w:lang w:val="en-US" w:bidi="ar-DZ" w:eastAsia="zh-CN"/>
              </w:rPr>
              <w:t>汉密尔顿抑郁</w:t>
            </w:r>
            <w:r>
              <w:rPr>
                <w:rStyle w:val="Font41"/>
                <w:rFonts w:eastAsia="宋体"/>
                <w:sz w:val="24"/>
                <w:szCs w:val="24"/>
                <w:lang w:val="en-US" w:bidi="ar-DZ" w:eastAsia="zh-CN"/>
              </w:rPr>
              <w:t xml:space="preserve"> /</w:t>
            </w:r>
            <w:r>
              <w:rPr>
                <w:rStyle w:val="Font11"/>
                <w:sz w:val="24"/>
                <w:szCs w:val="24"/>
                <w:lang w:val="en-US" w:bidi="ar-DZ" w:eastAsia="zh-CN"/>
              </w:rPr>
              <w:t>焦虑量表研究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张宇翔</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北京中医药大学学报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五行医学流变述要</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蔡超产</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河南中医</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肺系病辨证纲要与证候的认识</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李建生</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稳心汤治疗不稳定性心绞痛的随机对照研究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李军</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中国实验方剂学杂志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冠心病血瘀证转录组学研究</w:t>
            </w:r>
            <w:r>
              <w:rPr>
                <w:rStyle w:val="Font41"/>
                <w:rFonts w:eastAsia="宋体"/>
                <w:sz w:val="24"/>
                <w:szCs w:val="24"/>
                <w:lang w:val="en-US" w:bidi="ar-DZ" w:eastAsia="zh-CN"/>
              </w:rPr>
              <w:t>——</w:t>
            </w:r>
            <w:r>
              <w:rPr>
                <w:rStyle w:val="Font11"/>
                <w:sz w:val="24"/>
                <w:szCs w:val="24"/>
                <w:lang w:val="en-US" w:bidi="ar-DZ" w:eastAsia="zh-CN"/>
              </w:rPr>
              <w:t>病证结合生物标志物研究思路与方法</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王阶</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中国实验方剂学杂志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肝脏象现代研究重要发现述评</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侯雅静</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世界科学技术</w:t>
            </w:r>
            <w:r>
              <w:rPr>
                <w:rStyle w:val="Font11"/>
                <w:sz w:val="24"/>
                <w:szCs w:val="24"/>
                <w:lang w:val="en-US" w:bidi="ar-DZ" w:eastAsia="zh-CN"/>
              </w:rPr>
              <w:t>--</w:t>
            </w:r>
            <w:r>
              <w:rPr>
                <w:rStyle w:val="Font11"/>
                <w:sz w:val="24"/>
                <w:szCs w:val="24"/>
                <w:lang w:val="en-US" w:bidi="ar-DZ" w:eastAsia="zh-CN"/>
              </w:rPr>
              <w:t>中医药现代化</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41"/>
                <w:rFonts w:eastAsia="宋体"/>
                <w:sz w:val="24"/>
                <w:szCs w:val="24"/>
                <w:lang w:val="en-US" w:bidi="ar-DZ" w:eastAsia="zh-CN"/>
              </w:rPr>
              <w:t>50</w:t>
            </w:r>
            <w:r>
              <w:rPr>
                <w:rStyle w:val="Font11"/>
                <w:sz w:val="24"/>
                <w:szCs w:val="24"/>
                <w:lang w:val="en-US" w:bidi="ar-DZ" w:eastAsia="zh-CN"/>
              </w:rPr>
              <w:t>例新型冠状病毒感染的肺炎患者中医临床特征分析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陆云飞</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上海中医药大学学报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中医诊断技术发展及四诊信息融合研究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王忆勤</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上海中医药大学学报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含砷中药青黄散对骨髓增生异常综合征</w:t>
            </w:r>
            <w:r>
              <w:rPr>
                <w:rStyle w:val="Font41"/>
                <w:rFonts w:eastAsia="宋体"/>
                <w:sz w:val="24"/>
                <w:szCs w:val="24"/>
                <w:lang w:val="en-US" w:bidi="ar-DZ" w:eastAsia="zh-CN"/>
              </w:rPr>
              <w:t xml:space="preserve"> </w:t>
            </w:r>
            <w:r>
              <w:rPr>
                <w:rStyle w:val="Font11"/>
                <w:sz w:val="24"/>
                <w:szCs w:val="24"/>
                <w:lang w:val="en-US" w:bidi="ar-DZ" w:eastAsia="zh-CN"/>
              </w:rPr>
              <w:t>患者线粒体</w:t>
            </w:r>
            <w:r>
              <w:rPr>
                <w:rStyle w:val="Font41"/>
                <w:rFonts w:eastAsia="宋体"/>
                <w:sz w:val="24"/>
                <w:szCs w:val="24"/>
                <w:lang w:val="en-US" w:bidi="ar-DZ" w:eastAsia="zh-CN"/>
              </w:rPr>
              <w:t xml:space="preserve"> DNA </w:t>
            </w:r>
            <w:r>
              <w:rPr>
                <w:rStyle w:val="Font11"/>
                <w:sz w:val="24"/>
                <w:szCs w:val="24"/>
                <w:lang w:val="en-US" w:bidi="ar-DZ" w:eastAsia="zh-CN"/>
              </w:rPr>
              <w:t>拷贝数的影响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杨秀鹏</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世界中西医结合杂志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糖尿病中医认识及研究进展述评</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仝小林</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北京中医药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病机兼化理论框架下的冠心病病机解析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胡镜清</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中国中医基础医学杂志</w:t>
            </w:r>
          </w:p>
        </w:tc>
      </w:tr>
      <w:tr>
        <w:trPr>
          <w:trHeight w:val="9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21"/>
                <w:rFonts w:eastAsia="宋体"/>
                <w:sz w:val="24"/>
                <w:szCs w:val="24"/>
                <w:lang w:val="en-US" w:bidi="ar-DZ" w:eastAsia="zh-CN"/>
              </w:rPr>
              <w:t>808</w:t>
            </w:r>
            <w:r>
              <w:rPr>
                <w:rStyle w:val="Font31"/>
                <w:sz w:val="24"/>
                <w:szCs w:val="24"/>
                <w:lang w:val="en-US" w:bidi="ar-DZ" w:eastAsia="zh-CN"/>
              </w:rPr>
              <w:t>例社区老年高血压病患者中医体质状况与相关因素分析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尉敏琦</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冠心丹参滴丸对慢性稳定型心绞痛血瘀证患者血瘀证计分及血清相关黏附因子水平的影响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曲华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癌毒病机的生物学基础探讨</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程海波</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南京中医药大学学报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冠心病现代中医证候特征的临床流行病学调查</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毕颖斐</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证候表型与肠道微生态的相关性</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张北华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益气活血解毒方治疗晚期上皮性卵巢癌疗效相关靶基因筛选</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李娟</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中国中医药信息杂志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酸枣仁汤对抑郁模型大鼠海马</w:t>
            </w:r>
            <w:r>
              <w:rPr>
                <w:rStyle w:val="Font21"/>
                <w:rFonts w:eastAsia="宋体"/>
                <w:sz w:val="24"/>
                <w:szCs w:val="24"/>
                <w:lang w:val="en-US" w:bidi="ar-DZ" w:eastAsia="zh-CN"/>
              </w:rPr>
              <w:t>Ca</w:t>
            </w:r>
            <w:r>
              <w:rPr>
                <w:rStyle w:val="Font21"/>
                <w:rFonts w:eastAsia="宋体"/>
                <w:i w:val="off"/>
                <w:color w:val="000000"/>
                <w:sz w:val="24"/>
                <w:szCs w:val="24"/>
                <w:lang w:val="en-US" w:bidi="ar-DZ" w:eastAsia="zh-CN"/>
              </w:rPr>
              <w:t>MK Ⅱ</w:t>
            </w:r>
            <w:r>
              <w:rPr>
                <w:rStyle w:val="Font31"/>
                <w:sz w:val="24"/>
                <w:szCs w:val="24"/>
                <w:lang w:val="en-US" w:bidi="ar-DZ" w:eastAsia="zh-CN"/>
              </w:rPr>
              <w:t>基因表达影响的实验研究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田旭升</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中医药信息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29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消风宣窍汤联合鼻用激素治疗变应性鼻炎近期疗效及对血清</w:t>
            </w:r>
            <w:r>
              <w:rPr>
                <w:rStyle w:val="Font21"/>
                <w:rFonts w:eastAsia="宋体"/>
                <w:sz w:val="24"/>
                <w:szCs w:val="24"/>
                <w:lang w:val="en-US" w:bidi="ar-DZ" w:eastAsia="zh-CN"/>
              </w:rPr>
              <w:t>EOS</w:t>
            </w:r>
            <w:r>
              <w:rPr>
                <w:rStyle w:val="Font31"/>
                <w:sz w:val="24"/>
                <w:szCs w:val="24"/>
                <w:lang w:val="en-US" w:bidi="ar-DZ" w:eastAsia="zh-CN"/>
              </w:rPr>
              <w:t>、</w:t>
            </w:r>
            <w:r>
              <w:rPr>
                <w:rStyle w:val="Font21"/>
                <w:rFonts w:eastAsia="宋体"/>
                <w:sz w:val="24"/>
                <w:szCs w:val="24"/>
                <w:lang w:val="en-US" w:bidi="ar-DZ" w:eastAsia="zh-CN"/>
              </w:rPr>
              <w:t>CSF</w:t>
            </w:r>
            <w:r>
              <w:rPr>
                <w:rStyle w:val="Font31"/>
                <w:sz w:val="24"/>
                <w:szCs w:val="24"/>
                <w:lang w:val="en-US" w:bidi="ar-DZ" w:eastAsia="zh-CN"/>
              </w:rPr>
              <w:t>水平和免疫细胞功能的影响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史军</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中国中医急症</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中医药防治糖尿病及其并发症研究述评</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赵进喜</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世界中医药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中医药理论的近代嬗变及其影响</w:t>
            </w:r>
            <w:r>
              <w:rPr>
                <w:rStyle w:val="Font21"/>
                <w:rFonts w:eastAsia="宋体"/>
                <w:sz w:val="24"/>
                <w:szCs w:val="24"/>
                <w:lang w:val="en-US" w:bidi="ar-DZ" w:eastAsia="zh-CN"/>
              </w:rPr>
              <w:t xml:space="preserve"> ——</w:t>
            </w:r>
            <w:r>
              <w:rPr>
                <w:rStyle w:val="Font21"/>
                <w:rFonts w:eastAsia="宋体"/>
                <w:sz w:val="24"/>
                <w:szCs w:val="24"/>
                <w:lang w:val="en-US" w:bidi="ar-DZ" w:eastAsia="zh-CN"/>
              </w:rPr>
              <w:t xml:space="preserve"> </w:t>
            </w:r>
            <w:r>
              <w:rPr>
                <w:rStyle w:val="Font31"/>
                <w:sz w:val="24"/>
                <w:szCs w:val="24"/>
                <w:lang w:val="en-US" w:bidi="ar-DZ" w:eastAsia="zh-CN"/>
              </w:rPr>
              <w:t>以本草诠释方法为视角</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王振国</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山东中医杂志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21"/>
                <w:rFonts w:eastAsia="宋体"/>
                <w:sz w:val="24"/>
                <w:szCs w:val="24"/>
                <w:lang w:val="en-US" w:bidi="ar-DZ" w:eastAsia="zh-CN"/>
              </w:rPr>
              <w:t>1010</w:t>
            </w:r>
            <w:r>
              <w:rPr>
                <w:rStyle w:val="Font31"/>
                <w:sz w:val="24"/>
                <w:szCs w:val="24"/>
                <w:lang w:val="en-US" w:bidi="ar-DZ" w:eastAsia="zh-CN"/>
              </w:rPr>
              <w:t>例早期先兆流产患者中医证型分布及妊娠结局相关因素分析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黄玉华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中国中医药信息杂志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新型冠状病毒肺炎中医临床特征与辨证治疗初探</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王玉光</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中医杂志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新型冠状病毒感染的肺炎</w:t>
            </w:r>
            <w:r>
              <w:rPr>
                <w:rStyle w:val="Font21"/>
                <w:rFonts w:eastAsia="宋体"/>
                <w:sz w:val="24"/>
                <w:szCs w:val="24"/>
                <w:lang w:val="en-US" w:bidi="ar-DZ" w:eastAsia="zh-CN"/>
              </w:rPr>
              <w:t>( COVID</w:t>
            </w:r>
            <w:r>
              <w:rPr>
                <w:rStyle w:val="Font21"/>
                <w:rFonts w:eastAsia="宋体"/>
                <w:sz w:val="24"/>
                <w:szCs w:val="24"/>
                <w:lang w:val="en-US" w:bidi="ar-DZ" w:eastAsia="zh-CN"/>
              </w:rPr>
              <w:t>—</w:t>
            </w:r>
            <w:r>
              <w:rPr>
                <w:rStyle w:val="Font21"/>
                <w:rFonts w:eastAsia="宋体"/>
                <w:sz w:val="24"/>
                <w:szCs w:val="24"/>
                <w:lang w:val="en-US" w:bidi="ar-DZ" w:eastAsia="zh-CN"/>
              </w:rPr>
              <w:t xml:space="preserve">19) </w:t>
            </w:r>
            <w:r>
              <w:rPr>
                <w:rStyle w:val="Font31"/>
                <w:sz w:val="24"/>
                <w:szCs w:val="24"/>
                <w:lang w:val="en-US" w:bidi="ar-DZ" w:eastAsia="zh-CN"/>
              </w:rPr>
              <w:t>与风寒湿疫</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石岩</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中华中医药学刊</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新型冠状病毒肺炎防治中的辛开苦降之法</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庞稳泰</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中华中医药学刊</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基于肺络构效理论的肺脏生理功能发微</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刘勇明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中华中医药学刊</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传统经典名方应对心律失常疾病大有可</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丁书文</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陕西中医药大学学报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基于液相色谱-质谱联用的血清代谢组学在中医上火研究中的应用</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吴德鸿</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浙江中医药大学学报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39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《新型冠状病毒肺炎诊疗方案（试行第六版）》</w:t>
            </w:r>
            <w:r>
              <w:rPr>
                <w:rStyle w:val="Font21"/>
                <w:rFonts w:eastAsia="宋体"/>
                <w:sz w:val="24"/>
                <w:szCs w:val="24"/>
                <w:lang w:val="en-US" w:bidi="ar-DZ" w:eastAsia="zh-CN"/>
              </w:rPr>
              <w:t xml:space="preserve"> </w:t>
            </w:r>
            <w:r>
              <w:rPr>
                <w:rStyle w:val="Font31"/>
                <w:sz w:val="24"/>
                <w:szCs w:val="24"/>
                <w:lang w:val="en-US" w:bidi="ar-DZ" w:eastAsia="zh-CN"/>
              </w:rPr>
              <w:t>中医诊疗方案解读</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李修洋</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吉林中医药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脉络学说营卫理论指导血管病变防治研究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吴以岭</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中国实验方剂学杂志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基于标准汤剂（物质基准）的经典名方制备工艺和质量标准研究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代云桃</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中国实验方剂学杂志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fldChar w:fldCharType="begin"/>
            </w:r>
            <w:r>
              <w:instrText xml:space="preserve"> HYPERLINK "https://kns.cnki.net/KNS8/Detail?sfield=fn&amp;QueryID=0&amp;CurRec=1&amp;recid=&amp;FileName=ZSFX202006001&amp;DbName=CJFDLAST2020&amp;DbCode=CJFD&amp;yx=A&amp;pr=&amp;URLID=11.3495.r.20191218.1357.005" \o "https://kns.cnki.net/KNS8/Detail?sfield=fn&amp;QueryID=0&amp;CurRec=1&amp;recid=&amp;FileName=ZSFX202006001&amp;DbName=CJFDLAST2020&amp;DbCode=CJFD&amp;yx=A&amp;pr=&amp;URLID=11.3495.r.20191218.1357.005" </w:instrText>
            </w:r>
            <w:r>
              <w:fldChar w:fldCharType="separate"/>
            </w:r>
            <w:r>
              <w:rPr>
                <w:rStyle w:val="Font11"/>
                <w:i w:val="off"/>
                <w:color w:val="000000"/>
                <w:sz w:val="24"/>
                <w:szCs w:val="24"/>
                <w:lang w:val="en-US" w:bidi="ar-DZ" w:eastAsia="zh-CN"/>
              </w:rPr>
              <w:t>经典名方药味考证及方法研究</w:t>
            </w:r>
            <w:r>
              <w:fldChar w:fldCharType="end"/>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王淳</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中国实验方剂学杂志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经典名方的研发</w:t>
            </w:r>
            <w:r>
              <w:rPr>
                <w:rStyle w:val="Font41"/>
                <w:rFonts w:eastAsia="宋体"/>
                <w:sz w:val="24"/>
                <w:szCs w:val="24"/>
                <w:lang w:val="en-US" w:bidi="ar-DZ" w:eastAsia="zh-CN"/>
              </w:rPr>
              <w:t>——</w:t>
            </w:r>
            <w:r>
              <w:rPr>
                <w:rStyle w:val="Font11"/>
                <w:sz w:val="24"/>
                <w:szCs w:val="24"/>
                <w:lang w:val="en-US" w:bidi="ar-DZ" w:eastAsia="zh-CN"/>
              </w:rPr>
              <w:t>中医药传承发展的突破口之一</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杨洪军</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中国现代中药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芪苈强心胶囊对心肌梗死大鼠心肌纤维化及</w:t>
            </w:r>
            <w:r>
              <w:rPr>
                <w:rStyle w:val="Font41"/>
                <w:rFonts w:eastAsia="宋体"/>
                <w:sz w:val="24"/>
                <w:szCs w:val="24"/>
                <w:lang w:val="en-US" w:bidi="ar-DZ" w:eastAsia="zh-CN"/>
              </w:rPr>
              <w:t xml:space="preserve"> TGF-β1 /Smad3 </w:t>
            </w:r>
            <w:r>
              <w:rPr>
                <w:rStyle w:val="Font11"/>
                <w:sz w:val="24"/>
                <w:szCs w:val="24"/>
                <w:lang w:val="en-US" w:bidi="ar-DZ" w:eastAsia="zh-CN"/>
              </w:rPr>
              <w:t>信号通路的影响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韩安邦</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北京中医药大学学报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宋体" w:cs="宋体" w:eastAsia="宋体" w:hAnsi="宋体"/>
                <w:i w:val="off"/>
                <w:color w:val="000000"/>
                <w:sz w:val="22"/>
                <w:szCs w:val="22"/>
                <w:lang w:val="en-US" w:bidi="ar-DZ" w:eastAsia="zh-CN"/>
              </w:rPr>
              <w:t>一种快速评价葛根药材质量的胶体金免疫层析试纸的研制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宋体" w:cs="宋体" w:eastAsia="宋体" w:hAnsi="宋体"/>
                <w:i w:val="off"/>
                <w:color w:val="000000"/>
                <w:sz w:val="22"/>
                <w:szCs w:val="22"/>
                <w:lang w:val="en-US" w:bidi="ar-DZ" w:eastAsia="zh-CN"/>
              </w:rPr>
              <w:t>宋兴兴</w:t>
            </w:r>
            <w:r>
              <w:rPr>
                <w:rFonts w:ascii="Times New Roman" w:cs="Times New Roman" w:eastAsia="宋体" w:hAnsi="Times New Roman"/>
                <w:i w:val="off"/>
                <w:color w:val="000000"/>
                <w:sz w:val="22"/>
                <w:szCs w:val="22"/>
                <w:lang w:val="en-US" w:bidi="ar-DZ" w:eastAsia="zh-CN"/>
              </w:rPr>
              <w:t xml:space="preserve"> </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宋体" w:cs="宋体" w:eastAsia="宋体" w:hAnsi="宋体"/>
                <w:i w:val="off"/>
                <w:color w:val="000000"/>
                <w:sz w:val="22"/>
                <w:szCs w:val="22"/>
                <w:lang w:val="en-US" w:bidi="ar-DZ" w:eastAsia="zh-CN"/>
              </w:rPr>
              <w:t>成都中医药大学学报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加味补阳还五汤对七氟烷麻醉处理后早期糖尿病肾病</w:t>
            </w:r>
            <w:r>
              <w:rPr>
                <w:rStyle w:val="Font41"/>
                <w:rFonts w:eastAsia="宋体"/>
                <w:sz w:val="24"/>
                <w:szCs w:val="24"/>
                <w:lang w:val="en-US" w:bidi="ar-DZ" w:eastAsia="zh-CN"/>
              </w:rPr>
              <w:t xml:space="preserve"> </w:t>
            </w:r>
            <w:r>
              <w:rPr>
                <w:rStyle w:val="Font11"/>
                <w:sz w:val="24"/>
                <w:szCs w:val="24"/>
                <w:lang w:val="en-US" w:bidi="ar-DZ" w:eastAsia="zh-CN"/>
              </w:rPr>
              <w:t>大鼠肾足细胞影响实验研究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林华阳</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辽宁中医药大学学报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从古今炮制方法演变探讨何首乌毒性的潜在影响因素</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崔鹤蓉</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白术各化学拆分组分及其配伍对大鼠肾病综合征的影响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郑晓珂</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中药新药与临床药理</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49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双向电泳分析水蛭酒炙前后差异蛋白表达</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马莉</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中成药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葛根芩连汤对溃疡性结肠炎模型大鼠抗氧化及抗炎的作用机制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赵益</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中华中医药杂志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关于中药材产业发展的几点思考</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李颖</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中华中医药杂志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中药饮片标准汤剂研究策略</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陈士林</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中国中药杂志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生态农业</w:t>
            </w:r>
            <w:r>
              <w:rPr>
                <w:rStyle w:val="Font41"/>
                <w:rFonts w:eastAsia="宋体"/>
                <w:sz w:val="24"/>
                <w:szCs w:val="24"/>
                <w:lang w:val="en-US" w:bidi="ar-DZ" w:eastAsia="zh-CN"/>
              </w:rPr>
              <w:t>——</w:t>
            </w:r>
            <w:r>
              <w:rPr>
                <w:rStyle w:val="Font11"/>
                <w:sz w:val="24"/>
                <w:szCs w:val="24"/>
                <w:lang w:val="en-US" w:bidi="ar-DZ" w:eastAsia="zh-CN"/>
              </w:rPr>
              <w:t>中药农业的必由之路</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郭兰萍</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论中药质量源于设计</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徐冰</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创建以过程管控为核心的中药质量控制技术体系</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程翼宇</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中国中药杂志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基于整合药理学的中药质量标志物发现与应用</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许海玉</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中国实验方剂学杂志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Times New Roman" w:cs="Times New Roman" w:eastAsia="宋体" w:hAnsi="Times New Roman"/>
                <w:i w:val="off"/>
                <w:color w:val="000000"/>
                <w:sz w:val="24"/>
                <w:szCs w:val="24"/>
                <w:lang w:val="en-US" w:bidi="ar-DZ" w:eastAsia="zh-CN"/>
              </w:rPr>
              <w:t>川楝子炒制对长期给药大鼠肝肾毒性的影响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Times New Roman" w:cs="Times New Roman" w:eastAsia="宋体" w:hAnsi="Times New Roman"/>
                <w:i w:val="off"/>
                <w:color w:val="000000"/>
                <w:sz w:val="24"/>
                <w:szCs w:val="24"/>
                <w:lang w:val="en-US" w:bidi="ar-DZ" w:eastAsia="zh-CN"/>
              </w:rPr>
              <w:t>李文华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Times New Roman" w:cs="Times New Roman" w:eastAsia="宋体" w:hAnsi="Times New Roman"/>
                <w:i w:val="off"/>
                <w:color w:val="000000"/>
                <w:sz w:val="24"/>
                <w:szCs w:val="24"/>
                <w:lang w:val="en-US" w:bidi="ar-DZ" w:eastAsia="zh-CN"/>
              </w:rPr>
              <w:t>辽宁中医药大学学报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炒王不留行爆花与僵子差异性研究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林伟雄</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亚太传统医药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59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41"/>
                <w:rFonts w:ascii="Times New Roman" w:cs="Times New Roman" w:eastAsia="宋体" w:hAnsi="Times New Roman"/>
                <w:sz w:val="24"/>
                <w:szCs w:val="24"/>
                <w:lang w:val="en-US" w:bidi="ar-DZ" w:eastAsia="zh-CN"/>
              </w:rPr>
              <w:t>Research on Herb Pairs of Classical Formulae of</w:t>
            </w:r>
            <w:r>
              <w:rPr>
                <w:rStyle w:val="Font41"/>
                <w:rFonts w:ascii="Times New Roman" w:cs="Times New Roman" w:eastAsia="宋体" w:hAnsi="Times New Roman"/>
                <w:sz w:val="24"/>
                <w:szCs w:val="24"/>
                <w:lang w:val="en-US" w:bidi="ar-DZ" w:eastAsia="zh-CN"/>
              </w:rPr>
              <w:t xml:space="preserve"> </w:t>
            </w:r>
            <w:r>
              <w:rPr>
                <w:rStyle w:val="Font41"/>
                <w:rFonts w:ascii="Times New Roman" w:cs="Times New Roman" w:eastAsia="宋体" w:hAnsi="Times New Roman"/>
                <w:sz w:val="24"/>
                <w:szCs w:val="24"/>
                <w:lang w:val="en-US" w:bidi="ar-DZ" w:eastAsia="zh-CN"/>
              </w:rPr>
              <w:t>ZHANG Zhong</w:t>
            </w:r>
            <w:r>
              <w:rPr>
                <w:rStyle w:val="Font41"/>
                <w:rFonts w:ascii="Times New Roman" w:cs="Times New Roman" w:eastAsia="宋体" w:hAnsi="Times New Roman"/>
                <w:sz w:val="24"/>
                <w:szCs w:val="24"/>
                <w:lang w:val="en-US" w:bidi="ar-DZ" w:eastAsia="zh-CN"/>
              </w:rPr>
              <w:t>-</w:t>
            </w:r>
            <w:r>
              <w:rPr>
                <w:rStyle w:val="Font41"/>
                <w:rFonts w:ascii="Times New Roman" w:cs="Times New Roman" w:eastAsia="宋体" w:hAnsi="Times New Roman"/>
                <w:sz w:val="24"/>
                <w:szCs w:val="24"/>
                <w:lang w:val="en-US" w:bidi="ar-DZ" w:eastAsia="zh-CN"/>
              </w:rPr>
              <w:t>Jing Using Big Data Technology</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黄辛迪</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数字中医药</w:t>
            </w:r>
            <w:r>
              <w:rPr>
                <w:rStyle w:val="Font41"/>
                <w:rFonts w:eastAsia="宋体"/>
                <w:sz w:val="24"/>
                <w:szCs w:val="24"/>
                <w:lang w:val="en-US" w:bidi="ar-DZ" w:eastAsia="zh-CN"/>
              </w:rPr>
              <w:t>(</w:t>
            </w:r>
            <w:r>
              <w:rPr>
                <w:rStyle w:val="Font11"/>
                <w:sz w:val="24"/>
                <w:szCs w:val="24"/>
                <w:lang w:val="en-US" w:bidi="ar-DZ" w:eastAsia="zh-CN"/>
              </w:rPr>
              <w:t>英文版</w:t>
            </w:r>
            <w:r>
              <w:rPr>
                <w:rStyle w:val="Font41"/>
                <w:rFonts w:eastAsia="宋体"/>
                <w:sz w:val="24"/>
                <w:szCs w:val="24"/>
                <w:lang w:val="en-US" w:bidi="ar-DZ" w:eastAsia="zh-CN"/>
              </w:rPr>
              <w:t>)</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二仙补肾益精解毒方对弱精子症大鼠模型氧化</w:t>
            </w:r>
            <w:r>
              <w:rPr>
                <w:rStyle w:val="Font41"/>
                <w:rFonts w:eastAsia="宋体"/>
                <w:sz w:val="24"/>
                <w:szCs w:val="24"/>
                <w:lang w:val="en-US" w:bidi="ar-DZ" w:eastAsia="zh-CN"/>
              </w:rPr>
              <w:t xml:space="preserve"> </w:t>
            </w:r>
            <w:r>
              <w:rPr>
                <w:rStyle w:val="Font11"/>
                <w:sz w:val="24"/>
                <w:szCs w:val="24"/>
                <w:lang w:val="en-US" w:bidi="ar-DZ" w:eastAsia="zh-CN"/>
              </w:rPr>
              <w:t>应激损伤的保护机制研究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刘绍明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中医药学报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蒲黄的化学成分和药理活性研究进展</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胡立宏</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天津中医药大学学报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甘草产业链的现状与技术提升</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边育红</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天津中医药大学学报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中药资源循环利用模式构建及产业化示范</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段金廒</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江苏中医药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冰片配伍黄芪甲苷与三七总皂苷抗脑缺血再灌注损伤有效剂量的研究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杨筱倩</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湖南中医药大学学报</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Calibri" w:cs="Calibri" w:hAnsi="Calibri"/>
                <w:i w:val="off"/>
                <w:color w:val="000000"/>
                <w:sz w:val="24"/>
                <w:szCs w:val="24"/>
              </w:rPr>
            </w:pPr>
            <w:r>
              <w:rPr>
                <w:rStyle w:val="Font21"/>
                <w:rFonts w:eastAsia="宋体"/>
                <w:i w:val="off"/>
                <w:color w:val="000000"/>
                <w:sz w:val="24"/>
                <w:szCs w:val="24"/>
                <w:lang w:val="en-US" w:bidi="ar-DZ" w:eastAsia="zh-CN"/>
              </w:rPr>
              <w:t>A New Concept on Quality Marker for Quality Assessment and Process Control of Chinese Medicines</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eastAsia="en-US"/>
              </w:rPr>
              <w:t>刘</w:t>
            </w:r>
            <w:r>
              <w:rPr>
                <w:rFonts w:ascii="宋体" w:cs="宋体" w:eastAsia="宋体" w:hAnsi="宋体"/>
                <w:i w:val="off"/>
                <w:color w:val="000000"/>
                <w:sz w:val="24"/>
                <w:szCs w:val="24"/>
                <w:lang w:eastAsia="en-US"/>
              </w:rPr>
              <w:t>昌</w:t>
            </w:r>
            <w:r>
              <w:rPr>
                <w:rFonts w:ascii="宋体" w:cs="宋体" w:eastAsia="宋体" w:hAnsi="宋体"/>
                <w:i w:val="off"/>
                <w:color w:val="000000"/>
                <w:sz w:val="24"/>
                <w:szCs w:val="24"/>
                <w:lang w:eastAsia="en-US"/>
              </w:rPr>
              <w:t>孝</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中草药（英文版）</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Calibri" w:cs="Calibri" w:hAnsi="Calibri"/>
                <w:i w:val="off"/>
                <w:color w:val="000000"/>
                <w:sz w:val="24"/>
                <w:szCs w:val="24"/>
              </w:rPr>
            </w:pPr>
            <w:r>
              <w:rPr>
                <w:rStyle w:val="Font21"/>
                <w:rFonts w:eastAsia="宋体"/>
                <w:i w:val="off"/>
                <w:color w:val="000000"/>
                <w:sz w:val="24"/>
                <w:szCs w:val="24"/>
                <w:lang w:val="en-US" w:bidi="ar-DZ" w:eastAsia="zh-CN"/>
              </w:rPr>
              <w:t>Extrinsic harmful residues in Chinese herbal medicines: types,detection, and safety evaluation</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rPr>
              <w:t>Cong-min Liu</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中草药（英文版）</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中药产品质量控制的新概念</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刘昌孝</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延胡索质量评价及质量标准研究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张铁军</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69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清肺排毒汤治疗新型冠状病毒肺炎机制的网络药理学探讨</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赵静</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网络药理学在中药领域中的研究进展与应用策略</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解静</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11"/>
                <w:sz w:val="24"/>
                <w:szCs w:val="24"/>
                <w:lang w:val="en-US" w:bidi="ar-DZ" w:eastAsia="zh-CN"/>
              </w:rPr>
              <w:t>中药在抗新型冠状病毒肺炎</w:t>
            </w:r>
            <w:r>
              <w:rPr>
                <w:rStyle w:val="Font21"/>
                <w:rFonts w:eastAsia="宋体"/>
                <w:i w:val="off"/>
                <w:color w:val="000000"/>
                <w:sz w:val="24"/>
                <w:szCs w:val="24"/>
                <w:lang w:val="en-US" w:bidi="ar-DZ" w:eastAsia="zh-CN"/>
              </w:rPr>
              <w:t>（COVID-19）</w:t>
            </w:r>
            <w:r>
              <w:rPr>
                <w:rStyle w:val="Font11"/>
                <w:sz w:val="24"/>
                <w:szCs w:val="24"/>
                <w:lang w:val="en-US" w:bidi="ar-DZ" w:eastAsia="zh-CN"/>
              </w:rPr>
              <w:t>引起的细胞因子风暴中的应用分析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何黎黎</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中草药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绝经后骨质疏松症骨折危险因素及中医症状相关性研究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申浩</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中国中西医结合杂志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中药联合</w:t>
            </w:r>
            <w:r>
              <w:rPr>
                <w:rStyle w:val="Font21"/>
                <w:rFonts w:eastAsia="宋体"/>
                <w:sz w:val="24"/>
                <w:szCs w:val="24"/>
                <w:lang w:val="en-US" w:bidi="ar-DZ" w:eastAsia="zh-CN"/>
              </w:rPr>
              <w:t>“</w:t>
            </w:r>
            <w:r>
              <w:rPr>
                <w:rStyle w:val="Font31"/>
                <w:sz w:val="24"/>
                <w:szCs w:val="24"/>
                <w:lang w:val="en-US" w:bidi="ar-DZ" w:eastAsia="zh-CN"/>
              </w:rPr>
              <w:t>四联疗法</w:t>
            </w:r>
            <w:r>
              <w:rPr>
                <w:rStyle w:val="Font21"/>
                <w:rFonts w:eastAsia="宋体"/>
                <w:sz w:val="24"/>
                <w:szCs w:val="24"/>
                <w:lang w:val="en-US" w:bidi="ar-DZ" w:eastAsia="zh-CN"/>
              </w:rPr>
              <w:t>”</w:t>
            </w:r>
            <w:r>
              <w:rPr>
                <w:rStyle w:val="Font31"/>
                <w:sz w:val="24"/>
                <w:szCs w:val="24"/>
                <w:lang w:val="en-US" w:bidi="ar-DZ" w:eastAsia="zh-CN"/>
              </w:rPr>
              <w:t>治疗</w:t>
            </w:r>
            <w:r>
              <w:rPr>
                <w:rStyle w:val="Font21"/>
                <w:rFonts w:eastAsia="宋体"/>
                <w:sz w:val="24"/>
                <w:szCs w:val="24"/>
                <w:lang w:val="en-US" w:bidi="ar-DZ" w:eastAsia="zh-CN"/>
              </w:rPr>
              <w:t>Hp</w:t>
            </w:r>
            <w:r>
              <w:rPr>
                <w:rStyle w:val="Font31"/>
                <w:sz w:val="24"/>
                <w:szCs w:val="24"/>
                <w:lang w:val="en-US" w:bidi="ar-DZ" w:eastAsia="zh-CN"/>
              </w:rPr>
              <w:t>阳性慢性胃炎疗效观察</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汪楠</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中国中西医结合杂志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中西医结合康复方案对脑卒中后偏瘫患者运动功能、日常生活活动能力和生活质量的影响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陈红霞</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中国中西医结合杂志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石萆汤对肾虚夹湿型弱精子症患者精子线粒体酶及精浆锌的影响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程宛钧</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中医药通报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电针百会、神庭对脑缺血再灌注损伤大鼠学习记忆能力及突触可塑性的影响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林晓敏</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康复学报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新型冠状病毒肺炎中西医结合康复诊疗规范</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夏文广</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康复学报</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中国急性缺血性脑卒中中西医急诊诊治专家共识</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中国中西医结合学会急救医学专业委员会</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中华危重病急救医学</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79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lang w:val="en-US"/>
              </w:rPr>
            </w:pPr>
            <w:r>
              <w:rPr>
                <w:rFonts w:ascii="Times New Roman" w:cs="Times New Roman" w:eastAsia="宋体" w:hAnsi="Times New Roman"/>
                <w:i w:val="off"/>
                <w:color w:val="000000"/>
                <w:sz w:val="24"/>
                <w:szCs w:val="24"/>
                <w:lang w:val="en-US" w:bidi="ar-DZ" w:eastAsia="zh-CN"/>
              </w:rPr>
              <w:t>Asymmetric Dimethylarginine Predicts One-year Recurrent Cardiovascular Events: Potential Biomarker of “</w:t>
            </w:r>
            <w:r>
              <w:rPr>
                <w:rFonts w:ascii="Times New Roman" w:cs="Times New Roman" w:eastAsia="宋体" w:hAnsi="Times New Roman"/>
                <w:i w:val="off"/>
                <w:color w:val="000000"/>
                <w:sz w:val="24"/>
                <w:szCs w:val="24"/>
                <w:lang w:val="en-US" w:bidi="ar-DZ" w:eastAsia="zh-CN"/>
              </w:rPr>
              <w:t>Toxin Syndrome</w:t>
            </w:r>
            <w:r>
              <w:rPr>
                <w:rFonts w:ascii="Times New Roman" w:cs="Times New Roman" w:eastAsia="宋体" w:hAnsi="Times New Roman"/>
                <w:i w:val="off"/>
                <w:color w:val="000000"/>
                <w:sz w:val="24"/>
                <w:szCs w:val="24"/>
                <w:lang w:val="en-US" w:bidi="ar-DZ" w:eastAsia="zh-CN"/>
              </w:rPr>
              <w:t>”</w:t>
            </w:r>
            <w:r>
              <w:rPr>
                <w:rFonts w:ascii="Times New Roman" w:cs="Times New Roman" w:eastAsia="宋体" w:hAnsi="Times New Roman"/>
                <w:i w:val="off"/>
                <w:color w:val="000000"/>
                <w:sz w:val="24"/>
                <w:szCs w:val="24"/>
                <w:lang w:val="en-US" w:bidi="ar-DZ" w:eastAsia="zh-CN"/>
              </w:rPr>
              <w:t xml:space="preserve"> in Coronary Heart Disease</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徐浩</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中国结合医学杂志（英文版）</w:t>
            </w:r>
          </w:p>
        </w:tc>
      </w:tr>
      <w:tr>
        <w:trPr>
          <w:trHeight w:val="9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中医医院急诊科医疗质量管理和控制指标体系专家共识</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中医医院急诊科医疗质量管理和控制指标体系共识专家组</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中国中西医结合急救杂志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Times New Roman" w:cs="Times New Roman" w:eastAsia="宋体" w:hAnsi="Times New Roman"/>
                <w:i w:val="off"/>
                <w:color w:val="000000"/>
                <w:sz w:val="24"/>
                <w:szCs w:val="24"/>
                <w:lang w:val="en-US" w:bidi="ar-DZ" w:eastAsia="zh-CN"/>
              </w:rPr>
              <w:t>Artificial Intelligence Meets Chinese Medicine</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郭艳</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中国结合医学杂志（英文版）</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21"/>
                <w:rFonts w:eastAsia="宋体"/>
                <w:sz w:val="24"/>
                <w:szCs w:val="24"/>
                <w:lang w:val="en-US" w:bidi="ar-DZ" w:eastAsia="zh-CN"/>
              </w:rPr>
              <w:t>Effect and Safety of Huannao Yicong Formula (</w:t>
            </w:r>
            <w:r>
              <w:rPr>
                <w:rStyle w:val="Font31"/>
                <w:sz w:val="24"/>
                <w:szCs w:val="24"/>
                <w:lang w:val="en-US" w:bidi="ar-DZ" w:eastAsia="zh-CN"/>
              </w:rPr>
              <w:t>还脑益聪方</w:t>
            </w:r>
            <w:r>
              <w:rPr>
                <w:rStyle w:val="Font21"/>
                <w:rFonts w:eastAsia="宋体"/>
                <w:sz w:val="24"/>
                <w:szCs w:val="24"/>
                <w:lang w:val="en-US" w:bidi="ar-DZ" w:eastAsia="zh-CN"/>
              </w:rPr>
              <w:t>) on Patients with Mild-to-Moderate Alzheime's Disease: A Randomized, Double-Blinded, Donepezil-Controlled Trial</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杨洋</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中国结合医学杂志（英文版）</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经皮穴位电刺激对胃肠手术患者术后胃肠功能及自主神经功能的影响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李进进</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针刺研究</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针麻镇痛研究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韩济生</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针刺研究</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21"/>
                <w:rFonts w:eastAsia="宋体"/>
                <w:sz w:val="24"/>
                <w:szCs w:val="24"/>
                <w:lang w:val="en-US" w:bidi="ar-DZ" w:eastAsia="zh-CN"/>
              </w:rPr>
              <w:t>“</w:t>
            </w:r>
            <w:r>
              <w:rPr>
                <w:rStyle w:val="Font31"/>
                <w:sz w:val="24"/>
                <w:szCs w:val="24"/>
                <w:lang w:val="en-US" w:bidi="ar-DZ" w:eastAsia="zh-CN"/>
              </w:rPr>
              <w:t>调神健脾</w:t>
            </w:r>
            <w:r>
              <w:rPr>
                <w:rStyle w:val="Font21"/>
                <w:rFonts w:eastAsia="宋体"/>
                <w:sz w:val="24"/>
                <w:szCs w:val="24"/>
                <w:lang w:val="en-US" w:bidi="ar-DZ" w:eastAsia="zh-CN"/>
              </w:rPr>
              <w:t>”</w:t>
            </w:r>
            <w:r>
              <w:rPr>
                <w:rStyle w:val="Font31"/>
                <w:sz w:val="24"/>
                <w:szCs w:val="24"/>
                <w:lang w:val="en-US" w:bidi="ar-DZ" w:eastAsia="zh-CN"/>
              </w:rPr>
              <w:t>配穴针刺改善腹泻型肠易激综合征</w:t>
            </w:r>
            <w:r>
              <w:rPr>
                <w:rStyle w:val="Font21"/>
                <w:rFonts w:eastAsia="宋体"/>
                <w:sz w:val="24"/>
                <w:szCs w:val="24"/>
                <w:lang w:val="en-US" w:bidi="ar-DZ" w:eastAsia="zh-CN"/>
              </w:rPr>
              <w:t xml:space="preserve"> </w:t>
            </w:r>
            <w:r>
              <w:rPr>
                <w:rStyle w:val="Font31"/>
                <w:sz w:val="24"/>
                <w:szCs w:val="24"/>
                <w:lang w:val="en-US" w:bidi="ar-DZ" w:eastAsia="zh-CN"/>
              </w:rPr>
              <w:t>症状和睡眠质量：随机对照试验</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李</w:t>
            </w:r>
            <w:r>
              <w:rPr>
                <w:rStyle w:val="Font41"/>
                <w:rFonts w:eastAsia="宋体"/>
                <w:sz w:val="24"/>
                <w:szCs w:val="24"/>
                <w:lang w:val="en-US" w:bidi="ar-DZ" w:eastAsia="zh-CN"/>
              </w:rPr>
              <w:t xml:space="preserve"> </w:t>
            </w:r>
            <w:r>
              <w:rPr>
                <w:rStyle w:val="Font11"/>
                <w:sz w:val="24"/>
                <w:szCs w:val="24"/>
                <w:lang w:val="en-US" w:bidi="ar-DZ" w:eastAsia="zh-CN"/>
              </w:rPr>
              <w:t>静</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中国针灸</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不同频率电针廉泉、风府穴治疗中风吞咽障碍临床研究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张立志</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中国针灸</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针刺配合西药治疗中风后轻度认知障碍：</w:t>
            </w:r>
            <w:r>
              <w:rPr>
                <w:rStyle w:val="Font21"/>
                <w:rFonts w:eastAsia="宋体"/>
                <w:sz w:val="24"/>
                <w:szCs w:val="24"/>
                <w:lang w:val="en-US" w:bidi="ar-DZ" w:eastAsia="zh-CN"/>
              </w:rPr>
              <w:t xml:space="preserve"> </w:t>
            </w:r>
            <w:r>
              <w:rPr>
                <w:rStyle w:val="Font31"/>
                <w:sz w:val="24"/>
                <w:szCs w:val="24"/>
                <w:lang w:val="en-US" w:bidi="ar-DZ" w:eastAsia="zh-CN"/>
              </w:rPr>
              <w:t>随机对照研究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陈晓军</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中国针灸</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Style w:val="Font31"/>
                <w:sz w:val="24"/>
                <w:szCs w:val="24"/>
                <w:lang w:val="en-US" w:bidi="ar-DZ" w:eastAsia="zh-CN"/>
              </w:rPr>
              <w:t>针灸序贯疗法对卵巢储备功能下降患者</w:t>
            </w:r>
            <w:r>
              <w:rPr>
                <w:rStyle w:val="Font21"/>
                <w:rFonts w:eastAsia="宋体"/>
                <w:sz w:val="24"/>
                <w:szCs w:val="24"/>
                <w:lang w:val="en-US" w:bidi="ar-DZ" w:eastAsia="zh-CN"/>
              </w:rPr>
              <w:t>IVF-ET</w:t>
            </w:r>
            <w:r>
              <w:rPr>
                <w:rStyle w:val="Font31"/>
                <w:sz w:val="24"/>
                <w:szCs w:val="24"/>
                <w:lang w:val="en-US" w:bidi="ar-DZ" w:eastAsia="zh-CN"/>
              </w:rPr>
              <w:t>的影响</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周</w:t>
            </w:r>
            <w:r>
              <w:rPr>
                <w:rStyle w:val="Font41"/>
                <w:rFonts w:eastAsia="宋体"/>
                <w:sz w:val="24"/>
                <w:szCs w:val="24"/>
                <w:lang w:val="en-US" w:bidi="ar-DZ" w:eastAsia="zh-CN"/>
              </w:rPr>
              <w:t xml:space="preserve"> </w:t>
            </w:r>
            <w:r>
              <w:rPr>
                <w:rStyle w:val="Font11"/>
                <w:sz w:val="24"/>
                <w:szCs w:val="24"/>
                <w:lang w:val="en-US" w:bidi="ar-DZ" w:eastAsia="zh-CN"/>
              </w:rPr>
              <w:t>莉</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中国针灸</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89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针灸防治新型冠状病毒肺炎理论与临证思路探析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刘</w:t>
            </w:r>
            <w:r>
              <w:rPr>
                <w:rStyle w:val="Font41"/>
                <w:rFonts w:eastAsia="宋体"/>
                <w:sz w:val="24"/>
                <w:szCs w:val="24"/>
                <w:lang w:val="en-US" w:bidi="ar-DZ" w:eastAsia="zh-CN"/>
              </w:rPr>
              <w:t xml:space="preserve"> </w:t>
            </w:r>
            <w:r>
              <w:rPr>
                <w:rStyle w:val="Font11"/>
                <w:sz w:val="24"/>
                <w:szCs w:val="24"/>
                <w:lang w:val="en-US" w:bidi="ar-DZ" w:eastAsia="zh-CN"/>
              </w:rPr>
              <w:t>兵</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中国针灸</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基于免疫相关性疾病的艾灸镇痛与抗炎免疫研究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吴焕淦</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世界中医药</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91</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Fonts w:ascii="Times New Roman" w:cs="Times New Roman" w:eastAsia="宋体" w:hAnsi="Times New Roman"/>
                <w:i w:val="off"/>
                <w:color w:val="000000"/>
                <w:sz w:val="24"/>
                <w:szCs w:val="24"/>
                <w:lang w:val="en-US" w:bidi="ar-DZ" w:eastAsia="zh-CN"/>
              </w:rPr>
              <w:t>李时珍的生卒时间存疑再考</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王剑</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时珍国医国药</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92</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以协同创新驱动中医药重点学科建设与发展</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刘健</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中医药管理杂志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93</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中医药信息学工程技术领域研究进展</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崔蒙</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中国中医药图书情报杂志</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94</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《针经》《素问》编撰与流传解谜</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黄龙祥</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中华医史杂志</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95</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韩城盘乐村宋墓壁画的范式与创新</w:t>
            </w:r>
            <w:r>
              <w:rPr>
                <w:rStyle w:val="Font41"/>
                <w:rFonts w:eastAsia="宋体"/>
                <w:sz w:val="24"/>
                <w:szCs w:val="24"/>
                <w:lang w:val="en-US" w:bidi="ar-DZ" w:eastAsia="zh-CN"/>
              </w:rPr>
              <w:t>——</w:t>
            </w:r>
            <w:r>
              <w:rPr>
                <w:rStyle w:val="Font11"/>
                <w:sz w:val="24"/>
                <w:szCs w:val="24"/>
                <w:lang w:val="en-US" w:bidi="ar-DZ" w:eastAsia="zh-CN"/>
              </w:rPr>
              <w:t>备药图背后的医学衍变</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于赓哲</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中医药文化</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96</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回鹘文《针灸图》及其与敦煌针灸文献之关联</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杨富学</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中医药文化</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97</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中医综合康复对桡骨远端骨折治疗后关节功能恢复的病例对照研究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赵勇</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中国骨伤</w:t>
            </w:r>
          </w:p>
        </w:tc>
      </w:tr>
      <w:tr>
        <w:trPr>
          <w:trHeight w:val="300"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98</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膝骨关节炎证候分型与疼痛程度的相关性分析</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王强</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中国中医骨伤科杂志</w:t>
            </w:r>
          </w:p>
        </w:tc>
      </w:tr>
      <w:tr>
        <w:trPr>
          <w:trHeight w:val="326"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99</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宋体" w:cs="宋体" w:eastAsia="宋体" w:hAnsi="宋体"/>
                <w:i w:val="off"/>
                <w:color w:val="000000"/>
                <w:sz w:val="24"/>
                <w:szCs w:val="24"/>
              </w:rPr>
            </w:pPr>
            <w:r>
              <w:rPr>
                <w:rFonts w:ascii="宋体" w:cs="宋体" w:eastAsia="宋体" w:hAnsi="宋体"/>
                <w:i w:val="off"/>
                <w:color w:val="000000"/>
                <w:sz w:val="24"/>
                <w:szCs w:val="24"/>
                <w:lang w:val="en-US" w:bidi="ar-DZ" w:eastAsia="zh-CN"/>
              </w:rPr>
              <w:t>针刺治疗慢性非特异性腰痛的临床研究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袁启令</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中医正骨</w:t>
            </w:r>
          </w:p>
        </w:tc>
      </w:tr>
      <w:tr>
        <w:trPr>
          <w:trHeight w:val="315" w:hRule="atLeast"/>
        </w:trPr>
        <w:tc>
          <w:tcPr>
            <w:cnfStyle w:val="000010000000"/>
            <w:tcW w:w="7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off"/>
              <w:keepLines w:val="off"/>
              <w:jc w:val="center"/>
              <w:rPr>
                <w:rFonts w:ascii="仿宋" w:cs="仿宋" w:eastAsia="仿宋" w:hAnsi="仿宋"/>
                <w:i w:val="off"/>
                <w:color w:val="000000"/>
                <w:sz w:val="24"/>
                <w:szCs w:val="24"/>
              </w:rPr>
            </w:pPr>
            <w:r>
              <w:rPr>
                <w:rFonts w:ascii="仿宋" w:cs="仿宋" w:eastAsia="仿宋" w:hAnsi="仿宋"/>
                <w:i w:val="off"/>
                <w:color w:val="000000"/>
                <w:sz w:val="24"/>
                <w:szCs w:val="24"/>
                <w:lang w:val="en-US" w:bidi="ar-DZ" w:eastAsia="zh-CN"/>
              </w:rPr>
              <w:t>100</w:t>
            </w:r>
          </w:p>
        </w:tc>
        <w:tc>
          <w:tcPr>
            <w:cnfStyle w:val="000001000000"/>
            <w:tcW w:w="88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w:t>
            </w:r>
            <w:r>
              <w:rPr>
                <w:rStyle w:val="Font41"/>
                <w:rFonts w:eastAsia="宋体"/>
                <w:sz w:val="24"/>
                <w:szCs w:val="24"/>
                <w:lang w:val="en-US" w:bidi="ar-DZ" w:eastAsia="zh-CN"/>
              </w:rPr>
              <w:t>“</w:t>
            </w:r>
            <w:r>
              <w:rPr>
                <w:rStyle w:val="Font11"/>
                <w:sz w:val="24"/>
                <w:szCs w:val="24"/>
                <w:lang w:val="en-US" w:bidi="ar-DZ" w:eastAsia="zh-CN"/>
              </w:rPr>
              <w:t>肝肾同源</w:t>
            </w:r>
            <w:r>
              <w:rPr>
                <w:rStyle w:val="Font41"/>
                <w:rFonts w:eastAsia="宋体"/>
                <w:sz w:val="24"/>
                <w:szCs w:val="24"/>
                <w:lang w:val="en-US" w:bidi="ar-DZ" w:eastAsia="zh-CN"/>
              </w:rPr>
              <w:t>”</w:t>
            </w:r>
            <w:r>
              <w:rPr>
                <w:rStyle w:val="Font11"/>
                <w:sz w:val="24"/>
                <w:szCs w:val="24"/>
                <w:lang w:val="en-US" w:bidi="ar-DZ" w:eastAsia="zh-CN"/>
              </w:rPr>
              <w:t>理论异病同治膝骨关节炎和绝经后骨质疏松症的实验理论基础研究</w:t>
            </w:r>
          </w:p>
        </w:tc>
        <w:tc>
          <w:tcPr>
            <w:cnfStyle w:val="000010000000"/>
            <w:tcW w:w="12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邢润麟</w:t>
            </w:r>
          </w:p>
        </w:tc>
        <w:tc>
          <w:tcPr>
            <w:cnfStyle w:val="000001000000"/>
            <w:tcW w:w="31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off"/>
              <w:keepLines w:val="off"/>
              <w:jc w:val="center"/>
              <w:rPr>
                <w:rFonts w:ascii="Times New Roman" w:cs="Times New Roman" w:hAnsi="Times New Roman"/>
                <w:i w:val="off"/>
                <w:color w:val="000000"/>
                <w:sz w:val="24"/>
                <w:szCs w:val="24"/>
              </w:rPr>
            </w:pPr>
            <w:r>
              <w:rPr>
                <w:rStyle w:val="Font11"/>
                <w:sz w:val="24"/>
                <w:szCs w:val="24"/>
                <w:lang w:val="en-US" w:bidi="ar-DZ" w:eastAsia="zh-CN"/>
              </w:rPr>
              <w:t>中医正骨</w:t>
            </w:r>
          </w:p>
        </w:tc>
      </w:tr>
    </w:tbl>
    <w:p>
      <w:pPr>
        <w:jc w:val="cente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pPr>
    </w:p>
    <w:p>
      <w:pPr>
        <w:jc w:val="cente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pPr>
    </w:p>
    <w:p>
      <w:pPr>
        <w:jc w:val="center"/>
        <w:rPr>
          <w:rFonts w:ascii="方正小标宋简体" w:cs="方正小标宋简体" w:eastAsia="方正小标宋简体" w:hAnsi="方正小标宋简体"/>
          <w:b w:val="off"/>
          <w:i w:val="off"/>
          <w:caps w:val="off"/>
          <w:color w:val="auto"/>
          <w:spacing w:val="0"/>
          <w:sz w:val="44"/>
          <w:szCs w:val="44"/>
          <w:shd w:val="clear" w:color="auto" w:fill="ffffff"/>
          <w:lang w:val="en-US" w:bidi="ar-DZ" w:eastAsia="zh-CN"/>
        </w:rPr>
      </w:pPr>
    </w:p>
    <w:sectPr>
      <w:pgSz w:w="16838" w:h="11906" w:orient="landscape"/>
      <w:pgMar w:top="1440" w:right="1800" w:bottom="1101" w:left="1701" w:header="851" w:footer="992" w:gutter="0"/>
      <w:cols w:space="425" w:num="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 w:name="Calibri Ligh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764DC"/>
    <w:rsid w:val="020764DC"/>
    <w:rsid w:val="43204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rPr>
    </w:rPrDefault>
    <w:pPrDefault/>
  </w:docDefaults>
  <w:style w:type="paragraph" w:default="1" w:styleId="Normal">
    <w:name w:val="Normal"/>
    <w:uiPriority w:val="99"/>
    <w:qFormat w:val="on"/>
    <w:pPr>
      <w:jc w:val="both"/>
    </w:pPr>
    <w:rPr>
      <w:rFonts w:asciiTheme="minorHAnsi" w:cstheme="minorBidi" w:eastAsiaTheme="minorEastAsia" w:hAnsiTheme="minorHAnsi"/>
      <w:sz w:val="21"/>
      <w:szCs w:val="24"/>
      <w:lang w:val="en-US" w:bidi="ar-SA" w:eastAsia="zh-CN"/>
    </w:rPr>
  </w:style>
  <w:style w:type="character" w:default="1" w:styleId="DefaultParagraphFont">
    <w:name w:val="Default Paragraph Font"/>
    <w:uiPriority w:val="99"/>
    <w:semiHidden w:val="on"/>
  </w:style>
  <w:style w:type="table" w:default="1" w:styleId="NormalTable">
    <w:name w:val="Normal Table"/>
    <w:uiPriority w:val="99"/>
    <w:semiHidden w:val="on"/>
    <w:tblPr>
      <w:tblCellMar>
        <w:top w:w="0" w:type="dxa"/>
        <w:left w:w="108" w:type="dxa"/>
        <w:bottom w:w="0" w:type="dxa"/>
        <w:right w:w="108" w:type="dxa"/>
      </w:tblCellMar>
    </w:tblPr>
  </w:style>
  <w:style w:type="paragraph" w:styleId="Normal(Web)">
    <w:name w:val="Normal (Web)"/>
    <w:basedOn w:val="Normal"/>
    <w:uiPriority w:val="0"/>
    <w:pPr>
      <w:spacing w:before="100" w:after="100"/>
      <w:ind w:left="0" w:right="0"/>
      <w:jc w:val="left"/>
    </w:pPr>
    <w:rPr>
      <w:sz w:val="24"/>
      <w:lang w:val="en-US" w:bidi="ar-DZ" w:eastAsia="zh-CN"/>
    </w:rPr>
  </w:style>
  <w:style w:type="table" w:styleId="TableGrid">
    <w:name w:val="Table Grid"/>
    <w:basedOn w:val="NormalTable"/>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0"/>
    <w:rPr>
      <w:color w:val="0000ff"/>
      <w:u w:val="single"/>
    </w:rPr>
  </w:style>
  <w:style w:type="character" w:customStyle="1" w:styleId="Font11">
    <w:name w:val="Font11"/>
    <w:basedOn w:val="DefaultParagraphFont"/>
    <w:uiPriority w:val="0"/>
    <w:rPr>
      <w:rFonts w:ascii="宋体" w:cs="宋体" w:eastAsia="宋体" w:hAnsi="宋体"/>
      <w:color w:val="000000"/>
      <w:sz w:val="22"/>
      <w:szCs w:val="22"/>
    </w:rPr>
  </w:style>
  <w:style w:type="character" w:customStyle="1" w:styleId="Font41">
    <w:name w:val="Font41"/>
    <w:basedOn w:val="DefaultParagraphFont"/>
    <w:uiPriority w:val="0"/>
    <w:rPr>
      <w:rFonts w:ascii="Times New Roman" w:cs="Times New Roman" w:hAnsi="Times New Roman"/>
      <w:color w:val="000000"/>
      <w:sz w:val="22"/>
      <w:szCs w:val="22"/>
    </w:rPr>
  </w:style>
  <w:style w:type="character" w:customStyle="1" w:styleId="Font21">
    <w:name w:val="Font21"/>
    <w:basedOn w:val="DefaultParagraphFont"/>
    <w:uiPriority w:val="0"/>
    <w:rPr>
      <w:rFonts w:ascii="Times New Roman" w:cs="Times New Roman" w:hAnsi="Times New Roman"/>
      <w:color w:val="000000"/>
      <w:sz w:val="22"/>
      <w:szCs w:val="22"/>
    </w:rPr>
  </w:style>
  <w:style w:type="character" w:customStyle="1" w:styleId="Font31">
    <w:name w:val="Font31"/>
    <w:basedOn w:val="DefaultParagraphFont"/>
    <w:uiPriority w:val="0"/>
    <w:rPr>
      <w:rFonts w:ascii="宋体" w:cs="宋体" w:eastAsia="宋体" w:hAnsi="宋体"/>
      <w:color w:val="000000"/>
      <w:sz w:val="22"/>
      <w:szCs w:val="22"/>
    </w:rPr>
  </w:style>
  <w:style w:type="character" w:customStyle="1" w:styleId="Font01">
    <w:name w:val="Font01"/>
    <w:basedOn w:val="DefaultParagraphFont"/>
    <w:uiPriority w:val="0"/>
    <w:rPr>
      <w:rFonts w:ascii="Arial" w:cs="Arial" w:hAnsi="Arial"/>
      <w:color w:val="000000"/>
      <w:sz w:val="22"/>
      <w:szCs w:val="22"/>
    </w:rPr>
  </w:style>
  <w:style w:type="character" w:customStyle="1" w:styleId="Font51">
    <w:name w:val="Font51"/>
    <w:basedOn w:val="DefaultParagraphFont"/>
    <w:uiPriority w:val="0"/>
    <w:rPr>
      <w:rFonts w:ascii="Calibri" w:cs="Calibri" w:hAnsi="Calibri"/>
      <w:color w:val="000000"/>
      <w:sz w:val="22"/>
      <w:szCs w:val="22"/>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numPr>
        <w:ilvl w:val="1"/>
        <w:numId w:val="0"/>
      </w:numPr>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xinxibu</dc:creator>
  <cp:lastModifiedBy>unknown</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