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napToGrid w:val="0"/>
        <w:spacing w:after="156" w:afterLines="50"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sz w:val="30"/>
          <w:szCs w:val="30"/>
        </w:rPr>
        <w:t>中华中医药学会中药临床药理分会2018年会日程安排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635"/>
        <w:gridCol w:w="5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7月26日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24:00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报到与注册——伊犁宾馆大堂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19:30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GCP培训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20:30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20:30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22:00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中药临床药理分会常委会会议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7月27日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10:45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开幕式、领导致辞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10:45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国家药品监督管理局领导做当前形势和政策解读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院士和知名专家做学术报告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13:30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“一带一路”传统医药合作研究现状及前景报告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13:30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16:00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午餐、午休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17:00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18:00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机构、企业和CRO三方面对面讨论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19:00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辩论赛（证候类中药）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19:30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辩论赛专家点评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大会总结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20:00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21:00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7月28日</w:t>
            </w:r>
          </w:p>
        </w:tc>
        <w:tc>
          <w:tcPr>
            <w:tcW w:w="71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离会、返程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2018-06-06T02:50:45Z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