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9640" w:type="dxa"/>
        <w:tblInd w:w="8" w:type="dxa"/>
        <w:tblLayout w:type="fixed"/>
        <w:tblCellMar>
          <w:top w:w="0" w:type="dxa"/>
          <w:left w:w="0" w:type="dxa"/>
          <w:bottom w:w="0" w:type="dxa"/>
          <w:right w:w="0" w:type="dxa"/>
        </w:tblCellMar>
      </w:tblPr>
      <w:tblGrid>
        <w:gridCol w:w="454"/>
        <w:gridCol w:w="684"/>
        <w:gridCol w:w="1641"/>
        <w:gridCol w:w="6861"/>
      </w:tblGrid>
      <w:tr>
        <w:tblPrEx>
          <w:tblCellMar>
            <w:top w:w="0" w:type="dxa"/>
            <w:left w:w="0" w:type="dxa"/>
            <w:bottom w:w="0" w:type="dxa"/>
            <w:right w:w="0" w:type="dxa"/>
          </w:tblCellMar>
        </w:tblPrEx>
        <w:trPr>
          <w:gridAfter w:val="1"/>
          <w:wAfter w:w="6861" w:type="dxa"/>
          <w:trHeight w:val="312" w:hRule="exact"/>
        </w:trPr>
        <w:tc>
          <w:tcPr>
            <w:tcW w:w="454" w:type="dxa"/>
            <w:vAlign w:val="center"/>
          </w:tcPr>
          <w:p>
            <w:pPr>
              <w:rPr>
                <w:rFonts w:eastAsia="黑体"/>
                <w:b/>
              </w:rPr>
            </w:pPr>
            <w:r>
              <w:rPr>
                <w:rFonts w:hint="eastAsia" w:ascii="黑体" w:hAnsi="黑体" w:eastAsia="黑体" w:cs="黑体"/>
                <w:b w:val="0"/>
                <w:bCs/>
              </w:rPr>
              <w:t>ICS</w:t>
            </w:r>
          </w:p>
        </w:tc>
        <w:tc>
          <w:tcPr>
            <w:tcW w:w="2325" w:type="dxa"/>
            <w:gridSpan w:val="2"/>
            <w:vAlign w:val="center"/>
          </w:tcPr>
          <w:p>
            <w:pPr>
              <w:pStyle w:val="30"/>
              <w:framePr w:hSpace="0" w:vSpace="0" w:wrap="auto" w:vAnchor="margin" w:hAnchor="text" w:yAlign="inline"/>
              <w:rPr>
                <w:rFonts w:ascii="黑体" w:hAnsi="黑体"/>
              </w:rPr>
            </w:pPr>
            <w:r>
              <w:rPr>
                <w:rFonts w:hint="eastAsia" w:ascii="黑体" w:hAnsi="黑体"/>
                <w:spacing w:val="10"/>
                <w:kern w:val="2"/>
              </w:rPr>
              <w:drawing>
                <wp:anchor distT="0" distB="0" distL="114300" distR="114300" simplePos="0" relativeHeight="251661312" behindDoc="0" locked="0" layoutInCell="1" allowOverlap="1">
                  <wp:simplePos x="0" y="0"/>
                  <wp:positionH relativeFrom="column">
                    <wp:posOffset>4218305</wp:posOffset>
                  </wp:positionH>
                  <wp:positionV relativeFrom="paragraph">
                    <wp:posOffset>22860</wp:posOffset>
                  </wp:positionV>
                  <wp:extent cx="1242695" cy="1223645"/>
                  <wp:effectExtent l="0" t="0" r="0" b="0"/>
                  <wp:wrapNone/>
                  <wp:docPr id="6" name="图片 49" descr="徽标&#10;&#10;描述已自动生成"/>
                  <wp:cNvGraphicFramePr/>
                  <a:graphic xmlns:a="http://schemas.openxmlformats.org/drawingml/2006/main">
                    <a:graphicData uri="http://schemas.openxmlformats.org/drawingml/2006/picture">
                      <pic:pic xmlns:pic="http://schemas.openxmlformats.org/drawingml/2006/picture">
                        <pic:nvPicPr>
                          <pic:cNvPr id="6" name="图片 49" descr="徽标&#10;&#10;描述已自动生成"/>
                          <pic:cNvPicPr/>
                        </pic:nvPicPr>
                        <pic:blipFill>
                          <a:blip r:embed="rId9">
                            <a:extLst>
                              <a:ext uri="{28A0092B-C50C-407E-A947-70E740481C1C}">
                                <a14:useLocalDpi xmlns:a14="http://schemas.microsoft.com/office/drawing/2010/main" val="0"/>
                              </a:ext>
                            </a:extLst>
                          </a:blip>
                          <a:srcRect/>
                          <a:stretch>
                            <a:fillRect/>
                          </a:stretch>
                        </pic:blipFill>
                        <pic:spPr>
                          <a:xfrm>
                            <a:off x="0" y="0"/>
                            <a:ext cx="1242695" cy="1223645"/>
                          </a:xfrm>
                          <a:prstGeom prst="rect">
                            <a:avLst/>
                          </a:prstGeom>
                          <a:noFill/>
                          <a:ln>
                            <a:noFill/>
                          </a:ln>
                        </pic:spPr>
                      </pic:pic>
                    </a:graphicData>
                  </a:graphic>
                </wp:anchor>
              </w:drawing>
            </w:r>
          </w:p>
          <w:p>
            <w:pPr>
              <w:rPr>
                <w:rFonts w:ascii="黑体" w:hAnsi="黑体" w:eastAsia="黑体"/>
              </w:rPr>
            </w:pPr>
          </w:p>
        </w:tc>
      </w:tr>
      <w:tr>
        <w:tblPrEx>
          <w:tblCellMar>
            <w:top w:w="0" w:type="dxa"/>
            <w:left w:w="0" w:type="dxa"/>
            <w:bottom w:w="0" w:type="dxa"/>
            <w:right w:w="0" w:type="dxa"/>
          </w:tblCellMar>
        </w:tblPrEx>
        <w:trPr>
          <w:gridAfter w:val="1"/>
          <w:wAfter w:w="6861" w:type="dxa"/>
          <w:trHeight w:val="312" w:hRule="exact"/>
        </w:trPr>
        <w:tc>
          <w:tcPr>
            <w:tcW w:w="1138" w:type="dxa"/>
            <w:gridSpan w:val="2"/>
            <w:vAlign w:val="center"/>
          </w:tcPr>
          <w:p>
            <w:pPr>
              <w:ind w:right="-170"/>
              <w:rPr>
                <w:rFonts w:ascii="黑体" w:hAnsi="黑体" w:eastAsia="黑体"/>
                <w:b/>
                <w:bCs/>
              </w:rPr>
            </w:pPr>
            <w:r>
              <w:rPr>
                <w:rFonts w:hint="eastAsia" w:ascii="黑体" w:hAnsi="黑体" w:eastAsia="黑体" w:cs="黑体"/>
                <w:b w:val="0"/>
                <w:bCs w:val="0"/>
              </w:rPr>
              <w:t>C</w:t>
            </w:r>
            <w:r>
              <w:rPr>
                <w:rFonts w:hint="eastAsia" w:ascii="黑体" w:hAnsi="黑体" w:eastAsia="黑体"/>
                <w:b w:val="0"/>
                <w:bCs w:val="0"/>
              </w:rPr>
              <w:t xml:space="preserve"> </w:t>
            </w:r>
          </w:p>
        </w:tc>
        <w:tc>
          <w:tcPr>
            <w:tcW w:w="1641" w:type="dxa"/>
            <w:vAlign w:val="center"/>
          </w:tcPr>
          <w:p>
            <w:pPr>
              <w:rPr>
                <w:rFonts w:eastAsia="黑体"/>
              </w:rPr>
            </w:pPr>
          </w:p>
        </w:tc>
      </w:tr>
      <w:tr>
        <w:tblPrEx>
          <w:tblCellMar>
            <w:top w:w="0" w:type="dxa"/>
            <w:left w:w="0" w:type="dxa"/>
            <w:bottom w:w="0" w:type="dxa"/>
            <w:right w:w="0" w:type="dxa"/>
          </w:tblCellMar>
        </w:tblPrEx>
        <w:trPr>
          <w:gridAfter w:val="1"/>
          <w:wAfter w:w="6861" w:type="dxa"/>
          <w:trHeight w:val="312" w:hRule="exact"/>
        </w:trPr>
        <w:tc>
          <w:tcPr>
            <w:tcW w:w="1138" w:type="dxa"/>
            <w:gridSpan w:val="2"/>
            <w:vAlign w:val="center"/>
          </w:tcPr>
          <w:p>
            <w:pPr>
              <w:ind w:right="-170"/>
              <w:rPr>
                <w:rFonts w:eastAsia="黑体"/>
                <w:b/>
                <w:bCs/>
              </w:rPr>
            </w:pPr>
          </w:p>
        </w:tc>
        <w:tc>
          <w:tcPr>
            <w:tcW w:w="1641" w:type="dxa"/>
            <w:vAlign w:val="center"/>
          </w:tcPr>
          <w:p>
            <w:pPr>
              <w:ind w:left="57"/>
              <w:rPr>
                <w:rFonts w:ascii="Arial Narrow" w:hAnsi="Arial Narrow" w:eastAsia="黑体"/>
              </w:rPr>
            </w:pPr>
          </w:p>
        </w:tc>
      </w:tr>
      <w:tr>
        <w:tblPrEx>
          <w:tblCellMar>
            <w:top w:w="0" w:type="dxa"/>
            <w:left w:w="0" w:type="dxa"/>
            <w:bottom w:w="0" w:type="dxa"/>
            <w:right w:w="0" w:type="dxa"/>
          </w:tblCellMar>
        </w:tblPrEx>
        <w:trPr>
          <w:gridAfter w:val="1"/>
          <w:wAfter w:w="6861" w:type="dxa"/>
          <w:trHeight w:val="312" w:hRule="exact"/>
        </w:trPr>
        <w:tc>
          <w:tcPr>
            <w:tcW w:w="1138" w:type="dxa"/>
            <w:gridSpan w:val="2"/>
            <w:vAlign w:val="center"/>
          </w:tcPr>
          <w:p>
            <w:pPr>
              <w:ind w:right="-170"/>
              <w:rPr>
                <w:rFonts w:eastAsia="黑体"/>
                <w:i/>
              </w:rPr>
            </w:pPr>
          </w:p>
        </w:tc>
        <w:tc>
          <w:tcPr>
            <w:tcW w:w="1641" w:type="dxa"/>
            <w:vAlign w:val="center"/>
          </w:tcPr>
          <w:p>
            <w:pPr>
              <w:ind w:left="57"/>
              <w:rPr>
                <w:rFonts w:ascii="Arial Narrow" w:hAnsi="Arial Narrow" w:eastAsia="黑体"/>
                <w:i/>
              </w:rPr>
            </w:pPr>
          </w:p>
        </w:tc>
      </w:tr>
      <w:tr>
        <w:tblPrEx>
          <w:tblCellMar>
            <w:top w:w="0" w:type="dxa"/>
            <w:left w:w="0" w:type="dxa"/>
            <w:bottom w:w="0" w:type="dxa"/>
            <w:right w:w="0" w:type="dxa"/>
          </w:tblCellMar>
        </w:tblPrEx>
        <w:trPr>
          <w:trHeight w:val="368" w:hRule="exact"/>
        </w:trPr>
        <w:tc>
          <w:tcPr>
            <w:tcW w:w="9640" w:type="dxa"/>
            <w:gridSpan w:val="4"/>
          </w:tcPr>
          <w:p>
            <w:pPr>
              <w:spacing w:before="120" w:after="120"/>
            </w:pPr>
          </w:p>
        </w:tc>
      </w:tr>
    </w:tbl>
    <w:p>
      <w:pPr>
        <w:jc w:val="center"/>
        <w:rPr>
          <w:rFonts w:cs="Times New Roman"/>
          <w:sz w:val="28"/>
          <w:szCs w:val="28"/>
        </w:rPr>
      </w:pPr>
    </w:p>
    <w:p>
      <w:pPr>
        <w:spacing w:after="240" w:line="560" w:lineRule="exact"/>
        <w:ind w:right="28"/>
        <w:jc w:val="center"/>
        <w:rPr>
          <w:rFonts w:cs="Times New Roman"/>
          <w:b/>
          <w:bCs/>
          <w:sz w:val="28"/>
          <w:szCs w:val="28"/>
        </w:rPr>
      </w:pPr>
      <w:r>
        <w:rPr>
          <w:rFonts w:cs="Times New Roman"/>
          <w:b/>
          <w:bCs/>
          <w:sz w:val="28"/>
          <w:szCs w:val="28"/>
        </w:rPr>
        <w:t xml:space="preserve"> </w:t>
      </w:r>
    </w:p>
    <w:p>
      <w:pPr>
        <w:ind w:firstLine="1440" w:firstLineChars="200"/>
        <w:rPr>
          <w:rFonts w:hint="eastAsia" w:ascii="黑体" w:hAnsi="黑体" w:eastAsia="黑体" w:cs="黑体"/>
          <w:sz w:val="72"/>
          <w:szCs w:val="72"/>
        </w:rPr>
      </w:pPr>
      <w:r>
        <w:rPr>
          <w:rFonts w:hint="eastAsia" w:ascii="黑体" w:hAnsi="黑体" w:eastAsia="黑体" w:cs="黑体"/>
          <w:sz w:val="72"/>
          <w:szCs w:val="72"/>
        </w:rPr>
        <w:t>团</w:t>
      </w:r>
      <w:r>
        <w:rPr>
          <w:rFonts w:hint="eastAsia" w:ascii="黑体" w:hAnsi="黑体" w:eastAsia="黑体" w:cs="黑体"/>
          <w:sz w:val="72"/>
          <w:szCs w:val="72"/>
          <w:lang w:val="en-US" w:eastAsia="zh-CN"/>
        </w:rPr>
        <w:t xml:space="preserve">    </w:t>
      </w:r>
      <w:r>
        <w:rPr>
          <w:rFonts w:hint="eastAsia" w:ascii="黑体" w:hAnsi="黑体" w:eastAsia="黑体" w:cs="黑体"/>
          <w:sz w:val="72"/>
          <w:szCs w:val="72"/>
        </w:rPr>
        <w:t>体</w:t>
      </w:r>
      <w:r>
        <w:rPr>
          <w:rFonts w:hint="eastAsia" w:ascii="黑体" w:hAnsi="黑体" w:eastAsia="黑体" w:cs="黑体"/>
          <w:sz w:val="72"/>
          <w:szCs w:val="72"/>
          <w:lang w:val="en-US" w:eastAsia="zh-CN"/>
        </w:rPr>
        <w:t xml:space="preserve">    </w:t>
      </w:r>
      <w:r>
        <w:rPr>
          <w:rFonts w:hint="eastAsia" w:ascii="黑体" w:hAnsi="黑体" w:eastAsia="黑体" w:cs="黑体"/>
          <w:sz w:val="72"/>
          <w:szCs w:val="72"/>
        </w:rPr>
        <w:t>标</w:t>
      </w:r>
      <w:r>
        <w:rPr>
          <w:rFonts w:hint="eastAsia" w:ascii="黑体" w:hAnsi="黑体" w:eastAsia="黑体" w:cs="黑体"/>
          <w:sz w:val="72"/>
          <w:szCs w:val="72"/>
          <w:lang w:val="en-US" w:eastAsia="zh-CN"/>
        </w:rPr>
        <w:t xml:space="preserve">    </w:t>
      </w:r>
      <w:r>
        <w:rPr>
          <w:rFonts w:hint="eastAsia" w:ascii="黑体" w:hAnsi="黑体" w:eastAsia="黑体" w:cs="黑体"/>
          <w:sz w:val="72"/>
          <w:szCs w:val="72"/>
        </w:rPr>
        <w:t>准</w:t>
      </w:r>
    </w:p>
    <w:p>
      <w:pPr>
        <w:rPr>
          <w:rFonts w:cs="Times New Roman"/>
          <w:sz w:val="28"/>
          <w:szCs w:val="28"/>
        </w:rPr>
      </w:pPr>
    </w:p>
    <w:tbl>
      <w:tblPr>
        <w:tblStyle w:val="11"/>
        <w:tblW w:w="9640" w:type="dxa"/>
        <w:tblInd w:w="8" w:type="dxa"/>
        <w:tblLayout w:type="fixed"/>
        <w:tblCellMar>
          <w:top w:w="0" w:type="dxa"/>
          <w:left w:w="0" w:type="dxa"/>
          <w:bottom w:w="0" w:type="dxa"/>
          <w:right w:w="0" w:type="dxa"/>
        </w:tblCellMar>
      </w:tblPr>
      <w:tblGrid>
        <w:gridCol w:w="9366"/>
        <w:gridCol w:w="274"/>
      </w:tblGrid>
      <w:tr>
        <w:tblPrEx>
          <w:tblCellMar>
            <w:top w:w="0" w:type="dxa"/>
            <w:left w:w="0" w:type="dxa"/>
            <w:bottom w:w="0" w:type="dxa"/>
            <w:right w:w="0" w:type="dxa"/>
          </w:tblCellMar>
        </w:tblPrEx>
        <w:trPr>
          <w:cantSplit/>
          <w:trHeight w:val="360" w:hRule="exact"/>
        </w:trPr>
        <w:tc>
          <w:tcPr>
            <w:tcW w:w="5124" w:type="dxa"/>
            <w:vAlign w:val="center"/>
          </w:tcPr>
          <w:p>
            <w:pPr>
              <w:spacing w:line="360" w:lineRule="exact"/>
              <w:jc w:val="right"/>
              <w:rPr>
                <w:rFonts w:ascii="黑体" w:hAnsi="黑体" w:eastAsia="黑体"/>
              </w:rPr>
            </w:pPr>
            <w:r>
              <w:rPr>
                <w:rFonts w:hint="eastAsia" w:ascii="黑体" w:hAnsi="黑体" w:eastAsia="黑体"/>
                <w:sz w:val="28"/>
                <w:szCs w:val="28"/>
              </w:rPr>
              <w:t xml:space="preserve">T/CACM </w:t>
            </w:r>
            <w:r>
              <w:rPr>
                <w:rFonts w:ascii="黑体" w:hAnsi="黑体" w:eastAsia="黑体"/>
                <w:sz w:val="28"/>
                <w:szCs w:val="28"/>
              </w:rPr>
              <w:t xml:space="preserve"> </w:t>
            </w:r>
            <w:r>
              <w:rPr>
                <w:rFonts w:hint="eastAsia" w:ascii="黑体" w:hAnsi="黑体" w:eastAsia="黑体"/>
                <w:sz w:val="28"/>
                <w:szCs w:val="28"/>
              </w:rPr>
              <w:t>.</w:t>
            </w:r>
            <w:r>
              <w:rPr>
                <w:rFonts w:ascii="黑体" w:hAnsi="黑体" w:eastAsia="黑体"/>
                <w:sz w:val="28"/>
                <w:szCs w:val="28"/>
              </w:rPr>
              <w:t xml:space="preserve"> </w:t>
            </w:r>
            <w:r>
              <w:rPr>
                <w:rFonts w:hint="eastAsia" w:ascii="黑体" w:hAnsi="黑体" w:eastAsia="黑体"/>
                <w:sz w:val="28"/>
                <w:szCs w:val="28"/>
              </w:rPr>
              <w:t>—20</w:t>
            </w:r>
            <w:r>
              <w:rPr>
                <w:rFonts w:ascii="黑体" w:hAnsi="黑体" w:eastAsia="黑体"/>
                <w:sz w:val="28"/>
                <w:szCs w:val="28"/>
              </w:rPr>
              <w:t>21</w:t>
            </w:r>
          </w:p>
        </w:tc>
        <w:tc>
          <w:tcPr>
            <w:tcW w:w="150" w:type="dxa"/>
            <w:vAlign w:val="center"/>
          </w:tcPr>
          <w:p/>
        </w:tc>
      </w:tr>
    </w:tbl>
    <w:p>
      <w:pPr>
        <w:ind w:firstLine="2730" w:firstLineChars="1300"/>
        <w:rPr>
          <w:rFonts w:cs="Times New Roman"/>
          <w:sz w:val="28"/>
          <w:szCs w:val="28"/>
        </w:rPr>
      </w:pPr>
      <w:r>
        <w:rPr>
          <w:rFonts w:cs="Times New Roman"/>
        </w:rPr>
        <mc:AlternateContent>
          <mc:Choice Requires="wps">
            <w:drawing>
              <wp:anchor distT="0" distB="0" distL="114300" distR="114300" simplePos="0" relativeHeight="251659264" behindDoc="0" locked="0" layoutInCell="1" allowOverlap="1">
                <wp:simplePos x="0" y="0"/>
                <wp:positionH relativeFrom="column">
                  <wp:posOffset>263525</wp:posOffset>
                </wp:positionH>
                <wp:positionV relativeFrom="paragraph">
                  <wp:posOffset>102235</wp:posOffset>
                </wp:positionV>
                <wp:extent cx="5949315" cy="29210"/>
                <wp:effectExtent l="0" t="0" r="19685" b="21590"/>
                <wp:wrapNone/>
                <wp:docPr id="1" name="直接连接符 1"/>
                <wp:cNvGraphicFramePr/>
                <a:graphic xmlns:a="http://schemas.openxmlformats.org/drawingml/2006/main">
                  <a:graphicData uri="http://schemas.microsoft.com/office/word/2010/wordprocessingShape">
                    <wps:wsp>
                      <wps:cNvCnPr/>
                      <wps:spPr>
                        <a:xfrm>
                          <a:off x="0" y="0"/>
                          <a:ext cx="5949462" cy="29308"/>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0.75pt;margin-top:8.05pt;height:2.3pt;width:468.45pt;z-index:251659264;mso-width-relative:page;mso-height-relative:page;" filled="f" stroked="t" coordsize="21600,21600" o:gfxdata="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m3R1wAAAAgBAAAPAAAAAAAAAAEAIAAAACIAAABkcnMvZG93bnJldi54bWxQSwECFAAUAAAA&#10;CACHTuJA/oEf5u8BAADcAwAADgAAAAAAAAABACAAAAAmAQAAZHJzL2Uyb0RvYy54bWxQSwUGAAAA&#10;AAYABgBZAQAAhwUAAAAA&#10;">
                <v:fill on="f" focussize="0,0"/>
                <v:stroke color="#000000" joinstyle="round"/>
                <v:imagedata o:title=""/>
                <o:lock v:ext="edit" aspectratio="f"/>
              </v:line>
            </w:pict>
          </mc:Fallback>
        </mc:AlternateContent>
      </w:r>
    </w:p>
    <w:p>
      <w:pPr>
        <w:ind w:firstLine="3640" w:firstLineChars="1300"/>
        <w:rPr>
          <w:rFonts w:cs="Times New Roman"/>
          <w:sz w:val="28"/>
          <w:szCs w:val="28"/>
        </w:rPr>
      </w:pPr>
    </w:p>
    <w:p>
      <w:pPr>
        <w:ind w:firstLine="3640" w:firstLineChars="1300"/>
        <w:rPr>
          <w:rFonts w:cs="Times New Roman"/>
          <w:sz w:val="28"/>
          <w:szCs w:val="28"/>
        </w:rPr>
      </w:pPr>
    </w:p>
    <w:p>
      <w:pPr>
        <w:spacing w:before="156" w:beforeLines="50" w:after="156" w:afterLines="50" w:line="360" w:lineRule="auto"/>
        <w:jc w:val="center"/>
        <w:rPr>
          <w:rFonts w:cs="Times New Roman"/>
          <w:sz w:val="28"/>
          <w:szCs w:val="28"/>
        </w:rPr>
      </w:pPr>
      <w:r>
        <w:rPr>
          <w:rFonts w:ascii="黑体" w:hAnsi="黑体" w:eastAsia="黑体" w:cs="Times New Roman"/>
          <w:color w:val="000000"/>
          <w:sz w:val="52"/>
          <w:szCs w:val="52"/>
        </w:rPr>
        <w:t>动物药材生产及产地加工技术规程  熊胆</w:t>
      </w:r>
      <w:r>
        <w:rPr>
          <w:rFonts w:hint="eastAsia" w:ascii="黑体" w:hAnsi="黑体" w:eastAsia="黑体" w:cs="Times New Roman"/>
          <w:color w:val="000000"/>
          <w:sz w:val="52"/>
          <w:szCs w:val="52"/>
        </w:rPr>
        <w:t>粉</w:t>
      </w:r>
    </w:p>
    <w:p>
      <w:pPr>
        <w:spacing w:line="0" w:lineRule="atLeast"/>
        <w:jc w:val="center"/>
        <w:rPr>
          <w:rFonts w:eastAsia="Arial Unicode MS" w:cs="Times New Roman"/>
          <w:b/>
          <w:sz w:val="28"/>
          <w:szCs w:val="28"/>
        </w:rPr>
      </w:pPr>
      <w:r>
        <w:rPr>
          <w:rFonts w:eastAsia="Arial Unicode MS" w:cs="Times New Roman"/>
          <w:b/>
          <w:sz w:val="28"/>
          <w:szCs w:val="28"/>
        </w:rPr>
        <w:t>Technical regulations for production and processing</w:t>
      </w:r>
    </w:p>
    <w:p>
      <w:pPr>
        <w:spacing w:line="0" w:lineRule="atLeast"/>
        <w:jc w:val="center"/>
        <w:rPr>
          <w:rFonts w:eastAsia="Arial Unicode MS" w:cs="Times New Roman"/>
          <w:b/>
          <w:sz w:val="28"/>
          <w:szCs w:val="28"/>
        </w:rPr>
      </w:pPr>
      <w:r>
        <w:rPr>
          <w:rFonts w:eastAsia="Arial Unicode MS" w:cs="Times New Roman"/>
          <w:b/>
          <w:sz w:val="28"/>
          <w:szCs w:val="28"/>
        </w:rPr>
        <w:t>of medicinal materials of animal-derivative</w:t>
      </w:r>
    </w:p>
    <w:p>
      <w:pPr>
        <w:pStyle w:val="31"/>
        <w:spacing w:before="0"/>
        <w:rPr>
          <w:szCs w:val="28"/>
        </w:rPr>
      </w:pPr>
      <w:r>
        <w:rPr>
          <w:szCs w:val="28"/>
        </w:rPr>
        <w:t xml:space="preserve"> </w:t>
      </w:r>
      <w:r>
        <w:rPr>
          <w:rFonts w:eastAsia="Arial Unicode MS"/>
          <w:b/>
          <w:kern w:val="2"/>
          <w:szCs w:val="28"/>
        </w:rPr>
        <w:t>PULVIS FELLIS URSI</w:t>
      </w:r>
    </w:p>
    <w:p>
      <w:pPr>
        <w:jc w:val="center"/>
        <w:rPr>
          <w:rFonts w:cs="Times New Roman"/>
          <w:sz w:val="28"/>
          <w:szCs w:val="28"/>
        </w:rPr>
      </w:pPr>
    </w:p>
    <w:p>
      <w:pPr>
        <w:jc w:val="left"/>
        <w:rPr>
          <w:rFonts w:cs="Times New Roman"/>
          <w:sz w:val="28"/>
          <w:szCs w:val="28"/>
        </w:rPr>
      </w:pPr>
    </w:p>
    <w:p>
      <w:pPr>
        <w:jc w:val="left"/>
        <w:rPr>
          <w:rFonts w:cs="Times New Roman"/>
          <w:sz w:val="28"/>
          <w:szCs w:val="28"/>
        </w:rPr>
      </w:pPr>
    </w:p>
    <w:p>
      <w:pPr>
        <w:jc w:val="left"/>
        <w:rPr>
          <w:rFonts w:cs="Times New Roman"/>
          <w:sz w:val="28"/>
          <w:szCs w:val="28"/>
        </w:rPr>
      </w:pPr>
    </w:p>
    <w:p>
      <w:pPr>
        <w:jc w:val="left"/>
        <w:rPr>
          <w:rFonts w:cs="Times New Roman"/>
          <w:sz w:val="28"/>
          <w:szCs w:val="28"/>
        </w:rPr>
      </w:pPr>
    </w:p>
    <w:p>
      <w:pPr>
        <w:jc w:val="center"/>
        <w:rPr>
          <w:rFonts w:cs="Times New Roman"/>
          <w:sz w:val="28"/>
          <w:szCs w:val="28"/>
        </w:rPr>
      </w:pPr>
      <w:r>
        <w:rPr>
          <w:rFonts w:cs="Times New Roman"/>
        </w:rPr>
        <mc:AlternateContent>
          <mc:Choice Requires="wps">
            <w:drawing>
              <wp:anchor distT="0" distB="0" distL="114300" distR="114300" simplePos="0" relativeHeight="251660288" behindDoc="0" locked="0" layoutInCell="0" allowOverlap="1">
                <wp:simplePos x="0" y="0"/>
                <wp:positionH relativeFrom="column">
                  <wp:posOffset>298450</wp:posOffset>
                </wp:positionH>
                <wp:positionV relativeFrom="page">
                  <wp:posOffset>8317230</wp:posOffset>
                </wp:positionV>
                <wp:extent cx="6120130" cy="2160270"/>
                <wp:effectExtent l="0" t="0" r="13970" b="11430"/>
                <wp:wrapNone/>
                <wp:docPr id="2" name="文本框 81"/>
                <wp:cNvGraphicFramePr/>
                <a:graphic xmlns:a="http://schemas.openxmlformats.org/drawingml/2006/main">
                  <a:graphicData uri="http://schemas.microsoft.com/office/word/2010/wordprocessingShape">
                    <wps:wsp>
                      <wps:cNvSpPr txBox="1"/>
                      <wps:spPr>
                        <a:xfrm>
                          <a:off x="0" y="0"/>
                          <a:ext cx="6120130" cy="2160270"/>
                        </a:xfrm>
                        <a:prstGeom prst="rect">
                          <a:avLst/>
                        </a:prstGeom>
                        <a:solidFill>
                          <a:srgbClr val="FFFFFF"/>
                        </a:solidFill>
                        <a:ln>
                          <a:noFill/>
                        </a:ln>
                      </wps:spPr>
                      <wps:txbx>
                        <w:txbxContent>
                          <w:tbl>
                            <w:tblPr>
                              <w:tblStyle w:val="11"/>
                              <w:tblW w:w="0" w:type="auto"/>
                              <w:jc w:val="center"/>
                              <w:shd w:val="clear" w:color="auto" w:fill="auto"/>
                              <w:tblLayout w:type="fixed"/>
                              <w:tblCellMar>
                                <w:top w:w="0" w:type="dxa"/>
                                <w:left w:w="0" w:type="dxa"/>
                                <w:bottom w:w="0" w:type="dxa"/>
                                <w:right w:w="0" w:type="dxa"/>
                              </w:tblCellMar>
                            </w:tblPr>
                            <w:tblGrid>
                              <w:gridCol w:w="3232"/>
                              <w:gridCol w:w="3175"/>
                              <w:gridCol w:w="3232"/>
                            </w:tblGrid>
                            <w:tr>
                              <w:tblPrEx>
                                <w:shd w:val="clear" w:color="auto" w:fill="auto"/>
                              </w:tblPrEx>
                              <w:trPr>
                                <w:trHeight w:val="312" w:hRule="exact"/>
                                <w:jc w:val="center"/>
                              </w:trPr>
                              <w:tc>
                                <w:tcPr>
                                  <w:tcW w:w="9639" w:type="dxa"/>
                                  <w:gridSpan w:val="3"/>
                                  <w:shd w:val="clear" w:color="auto" w:fill="auto"/>
                                </w:tcPr>
                                <w:p>
                                  <w:pPr>
                                    <w:rPr>
                                      <w:rFonts w:cs="Times New Roman"/>
                                    </w:rPr>
                                  </w:pPr>
                                </w:p>
                              </w:tc>
                            </w:tr>
                            <w:tr>
                              <w:tblPrEx>
                                <w:tblCellMar>
                                  <w:top w:w="0" w:type="dxa"/>
                                  <w:left w:w="0" w:type="dxa"/>
                                  <w:bottom w:w="0" w:type="dxa"/>
                                  <w:right w:w="0" w:type="dxa"/>
                                </w:tblCellMar>
                              </w:tblPrEx>
                              <w:trPr>
                                <w:trHeight w:val="567" w:hRule="exact"/>
                                <w:jc w:val="center"/>
                              </w:trPr>
                              <w:tc>
                                <w:tcPr>
                                  <w:tcW w:w="9639" w:type="dxa"/>
                                  <w:gridSpan w:val="3"/>
                                  <w:shd w:val="clear" w:color="auto" w:fill="auto"/>
                                </w:tcPr>
                                <w:p>
                                  <w:pPr>
                                    <w:rPr>
                                      <w:rFonts w:cs="Times New Roman"/>
                                    </w:rPr>
                                  </w:pPr>
                                </w:p>
                              </w:tc>
                            </w:tr>
                            <w:tr>
                              <w:tblPrEx>
                                <w:tblCellMar>
                                  <w:top w:w="0" w:type="dxa"/>
                                  <w:left w:w="0" w:type="dxa"/>
                                  <w:bottom w:w="0" w:type="dxa"/>
                                  <w:right w:w="0" w:type="dxa"/>
                                </w:tblCellMar>
                              </w:tblPrEx>
                              <w:trPr>
                                <w:trHeight w:val="567" w:hRule="exact"/>
                                <w:jc w:val="center"/>
                              </w:trPr>
                              <w:tc>
                                <w:tcPr>
                                  <w:tcW w:w="3232" w:type="dxa"/>
                                  <w:tcBorders>
                                    <w:bottom w:val="single" w:color="auto" w:sz="8" w:space="0"/>
                                  </w:tcBorders>
                                  <w:shd w:val="clear" w:color="auto" w:fill="auto"/>
                                  <w:vAlign w:val="bottom"/>
                                </w:tcPr>
                                <w:p>
                                  <w:pPr>
                                    <w:rPr>
                                      <w:rFonts w:ascii="黑体" w:hAnsi="黑体" w:eastAsia="黑体"/>
                                    </w:rPr>
                                  </w:pPr>
                                  <w:r>
                                    <w:rPr>
                                      <w:rFonts w:ascii="黑体" w:hAnsi="黑体" w:eastAsia="黑体"/>
                                      <w:spacing w:val="10"/>
                                      <w:sz w:val="28"/>
                                      <w:szCs w:val="28"/>
                                    </w:rPr>
                                    <w:t>2021</w:t>
                                  </w:r>
                                  <w:r>
                                    <w:rPr>
                                      <w:rFonts w:hint="eastAsia" w:ascii="黑体" w:hAnsi="黑体" w:eastAsia="黑体"/>
                                      <w:sz w:val="28"/>
                                    </w:rPr>
                                    <w:t>-</w:t>
                                  </w:r>
                                  <w:r>
                                    <w:rPr>
                                      <w:rFonts w:ascii="黑体" w:hAnsi="黑体" w:eastAsia="黑体"/>
                                      <w:spacing w:val="10"/>
                                      <w:sz w:val="28"/>
                                      <w:szCs w:val="28"/>
                                    </w:rPr>
                                    <w:t xml:space="preserve"> </w:t>
                                  </w:r>
                                  <w:r>
                                    <w:rPr>
                                      <w:rFonts w:hint="eastAsia" w:ascii="黑体" w:hAnsi="黑体" w:eastAsia="黑体"/>
                                      <w:sz w:val="28"/>
                                    </w:rPr>
                                    <w:t>-</w:t>
                                  </w:r>
                                  <w:r>
                                    <w:rPr>
                                      <w:rFonts w:ascii="黑体" w:hAnsi="黑体" w:eastAsia="黑体"/>
                                      <w:spacing w:val="10"/>
                                      <w:sz w:val="28"/>
                                      <w:szCs w:val="28"/>
                                    </w:rPr>
                                    <w:t xml:space="preserve"> </w:t>
                                  </w:r>
                                  <w:r>
                                    <w:rPr>
                                      <w:rFonts w:hint="eastAsia" w:ascii="黑体" w:hAnsi="黑体" w:eastAsia="黑体"/>
                                      <w:sz w:val="28"/>
                                    </w:rPr>
                                    <w:t>发布</w:t>
                                  </w:r>
                                </w:p>
                              </w:tc>
                              <w:tc>
                                <w:tcPr>
                                  <w:tcW w:w="3175" w:type="dxa"/>
                                  <w:tcBorders>
                                    <w:bottom w:val="single" w:color="auto" w:sz="8" w:space="0"/>
                                  </w:tcBorders>
                                  <w:shd w:val="clear" w:color="auto" w:fill="auto"/>
                                  <w:vAlign w:val="bottom"/>
                                </w:tcPr>
                                <w:p>
                                  <w:pPr>
                                    <w:jc w:val="center"/>
                                    <w:rPr>
                                      <w:rFonts w:ascii="黑体" w:eastAsia="黑体"/>
                                      <w:sz w:val="28"/>
                                    </w:rPr>
                                  </w:pPr>
                                </w:p>
                              </w:tc>
                              <w:tc>
                                <w:tcPr>
                                  <w:tcW w:w="3232" w:type="dxa"/>
                                  <w:tcBorders>
                                    <w:bottom w:val="single" w:color="auto" w:sz="8" w:space="0"/>
                                  </w:tcBorders>
                                  <w:shd w:val="clear" w:color="auto" w:fill="auto"/>
                                  <w:vAlign w:val="bottom"/>
                                </w:tcPr>
                                <w:p>
                                  <w:pPr>
                                    <w:jc w:val="right"/>
                                    <w:rPr>
                                      <w:rFonts w:ascii="黑体" w:hAnsi="黑体" w:eastAsia="黑体"/>
                                    </w:rPr>
                                  </w:pPr>
                                  <w:r>
                                    <w:rPr>
                                      <w:rFonts w:hint="eastAsia" w:ascii="黑体" w:hAnsi="黑体" w:eastAsia="黑体"/>
                                      <w:spacing w:val="10"/>
                                      <w:sz w:val="28"/>
                                      <w:szCs w:val="28"/>
                                    </w:rPr>
                                    <w:t>20</w:t>
                                  </w:r>
                                  <w:r>
                                    <w:rPr>
                                      <w:rFonts w:ascii="黑体" w:hAnsi="黑体" w:eastAsia="黑体"/>
                                      <w:spacing w:val="10"/>
                                      <w:sz w:val="28"/>
                                      <w:szCs w:val="28"/>
                                    </w:rPr>
                                    <w:t>21</w:t>
                                  </w:r>
                                  <w:r>
                                    <w:rPr>
                                      <w:rFonts w:hint="eastAsia" w:ascii="黑体" w:hAnsi="黑体" w:eastAsia="黑体"/>
                                      <w:sz w:val="28"/>
                                    </w:rPr>
                                    <w:t>-</w:t>
                                  </w:r>
                                  <w:r>
                                    <w:rPr>
                                      <w:rFonts w:ascii="黑体" w:hAnsi="黑体" w:eastAsia="黑体"/>
                                      <w:spacing w:val="10"/>
                                      <w:sz w:val="28"/>
                                      <w:szCs w:val="28"/>
                                    </w:rPr>
                                    <w:t xml:space="preserve"> </w:t>
                                  </w:r>
                                  <w:r>
                                    <w:rPr>
                                      <w:rFonts w:hint="eastAsia" w:ascii="黑体" w:hAnsi="黑体" w:eastAsia="黑体"/>
                                      <w:sz w:val="28"/>
                                    </w:rPr>
                                    <w:t>-</w:t>
                                  </w:r>
                                  <w:r>
                                    <w:rPr>
                                      <w:rFonts w:ascii="黑体" w:hAnsi="黑体" w:eastAsia="黑体"/>
                                      <w:spacing w:val="10"/>
                                      <w:sz w:val="28"/>
                                      <w:szCs w:val="28"/>
                                    </w:rPr>
                                    <w:t xml:space="preserve"> </w:t>
                                  </w:r>
                                  <w:r>
                                    <w:rPr>
                                      <w:rFonts w:hint="eastAsia" w:ascii="黑体" w:hAnsi="黑体" w:eastAsia="黑体"/>
                                      <w:sz w:val="28"/>
                                    </w:rPr>
                                    <w:t>实施</w:t>
                                  </w:r>
                                </w:p>
                              </w:tc>
                            </w:tr>
                            <w:tr>
                              <w:tblPrEx>
                                <w:tblCellMar>
                                  <w:top w:w="0" w:type="dxa"/>
                                  <w:left w:w="0" w:type="dxa"/>
                                  <w:bottom w:w="0" w:type="dxa"/>
                                  <w:right w:w="0" w:type="dxa"/>
                                </w:tblCellMar>
                              </w:tblPrEx>
                              <w:trPr>
                                <w:trHeight w:val="377" w:hRule="exact"/>
                                <w:jc w:val="center"/>
                              </w:trPr>
                              <w:tc>
                                <w:tcPr>
                                  <w:tcW w:w="9639" w:type="dxa"/>
                                  <w:gridSpan w:val="3"/>
                                  <w:tcBorders>
                                    <w:top w:val="single" w:color="auto" w:sz="8" w:space="0"/>
                                  </w:tcBorders>
                                  <w:shd w:val="clear" w:color="auto" w:fill="auto"/>
                                  <w:vAlign w:val="center"/>
                                </w:tcPr>
                                <w:p>
                                  <w:pPr>
                                    <w:jc w:val="center"/>
                                    <w:rPr>
                                      <w:rFonts w:eastAsia="黑体" w:cs="Times New Roman"/>
                                      <w:spacing w:val="30"/>
                                      <w:sz w:val="32"/>
                                      <w:szCs w:val="32"/>
                                    </w:rPr>
                                  </w:pPr>
                                </w:p>
                              </w:tc>
                            </w:tr>
                            <w:tr>
                              <w:tblPrEx>
                                <w:tblCellMar>
                                  <w:top w:w="0" w:type="dxa"/>
                                  <w:left w:w="0" w:type="dxa"/>
                                  <w:bottom w:w="0" w:type="dxa"/>
                                  <w:right w:w="0" w:type="dxa"/>
                                </w:tblCellMar>
                              </w:tblPrEx>
                              <w:trPr>
                                <w:trHeight w:val="1070" w:hRule="exact"/>
                                <w:jc w:val="center"/>
                              </w:trPr>
                              <w:tc>
                                <w:tcPr>
                                  <w:tcW w:w="9639" w:type="dxa"/>
                                  <w:gridSpan w:val="3"/>
                                  <w:shd w:val="clear" w:color="auto" w:fill="auto"/>
                                </w:tcPr>
                                <w:p>
                                  <w:pPr>
                                    <w:pStyle w:val="32"/>
                                  </w:pPr>
                                  <w:r>
                                    <w:rPr>
                                      <w:rFonts w:hint="eastAsia" w:ascii="隶书" w:hAnsi="黑体" w:eastAsia="隶书"/>
                                      <w:spacing w:val="0"/>
                                      <w:w w:val="100"/>
                                      <w:sz w:val="52"/>
                                      <w:szCs w:val="52"/>
                                    </w:rPr>
                                    <w:t>中 华 中 医 药 学 会</w:t>
                                  </w:r>
                                  <w:r>
                                    <w:rPr>
                                      <w:rStyle w:val="34"/>
                                    </w:rPr>
                                    <w:t xml:space="preserve"> </w:t>
                                  </w:r>
                                  <w:r>
                                    <w:rPr>
                                      <w:rStyle w:val="34"/>
                                      <w:rFonts w:hint="eastAsia"/>
                                    </w:rPr>
                                    <w:t>发布</w:t>
                                  </w:r>
                                </w:p>
                                <w:p>
                                  <w:pPr>
                                    <w:spacing w:line="360" w:lineRule="exact"/>
                                    <w:jc w:val="center"/>
                                    <w:rPr>
                                      <w:rFonts w:hint="eastAsia" w:ascii="隶书" w:hAnsi="黑体" w:eastAsia="隶书" w:cs="Times New Roman"/>
                                      <w:b w:val="0"/>
                                      <w:spacing w:val="0"/>
                                      <w:w w:val="100"/>
                                      <w:kern w:val="0"/>
                                      <w:sz w:val="52"/>
                                      <w:szCs w:val="52"/>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50" w:line="600" w:lineRule="exact"/>
                                    <w:jc w:val="center"/>
                                    <w:textAlignment w:val="auto"/>
                                    <w:rPr>
                                      <w:rFonts w:cs="Times New Roman"/>
                                      <w:sz w:val="30"/>
                                      <w:szCs w:val="30"/>
                                    </w:rPr>
                                  </w:pPr>
                                </w:p>
                              </w:tc>
                            </w:tr>
                          </w:tbl>
                          <w:p>
                            <w:pPr>
                              <w:rPr>
                                <w:rFonts w:cs="Times New Roman"/>
                              </w:rPr>
                            </w:pPr>
                          </w:p>
                        </w:txbxContent>
                      </wps:txbx>
                      <wps:bodyPr lIns="0" tIns="0" rIns="0" bIns="0" upright="1"/>
                    </wps:wsp>
                  </a:graphicData>
                </a:graphic>
              </wp:anchor>
            </w:drawing>
          </mc:Choice>
          <mc:Fallback>
            <w:pict>
              <v:shape id="文本框 81" o:spid="_x0000_s1026" o:spt="202" type="#_x0000_t202" style="position:absolute;left:0pt;margin-left:23.5pt;margin-top:654.9pt;height:170.1pt;width:481.9pt;mso-position-vertical-relative:page;z-index:251660288;mso-width-relative:page;mso-height-relative:page;" fillcolor="#FFFFFF" filled="t" stroked="f" coordsize="21600,21600" o:allowincell="f" o:gfxdata="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jvEx39kAAAANAQAADwAAAAAAAAABACAAAAAi&#10;AAAAZHJzL2Rvd25yZXYueG1sUEsBAhQAFAAAAAgAh07iQF8ZQS7QAQAAnQMAAA4AAAAAAAAAAQAg&#10;AAAAKAEAAGRycy9lMm9Eb2MueG1sUEsFBgAAAAAGAAYAWQEAAGoFAAAAAA==&#10;">
                <v:fill on="t" focussize="0,0"/>
                <v:stroke on="f"/>
                <v:imagedata o:title=""/>
                <o:lock v:ext="edit" aspectratio="f"/>
                <v:textbox inset="0mm,0mm,0mm,0mm">
                  <w:txbxContent>
                    <w:tbl>
                      <w:tblPr>
                        <w:tblStyle w:val="11"/>
                        <w:tblW w:w="0" w:type="auto"/>
                        <w:jc w:val="center"/>
                        <w:shd w:val="clear" w:color="auto" w:fill="auto"/>
                        <w:tblLayout w:type="fixed"/>
                        <w:tblCellMar>
                          <w:top w:w="0" w:type="dxa"/>
                          <w:left w:w="0" w:type="dxa"/>
                          <w:bottom w:w="0" w:type="dxa"/>
                          <w:right w:w="0" w:type="dxa"/>
                        </w:tblCellMar>
                      </w:tblPr>
                      <w:tblGrid>
                        <w:gridCol w:w="3232"/>
                        <w:gridCol w:w="3175"/>
                        <w:gridCol w:w="3232"/>
                      </w:tblGrid>
                      <w:tr>
                        <w:tblPrEx>
                          <w:shd w:val="clear" w:color="auto" w:fill="auto"/>
                          <w:tblCellMar>
                            <w:top w:w="0" w:type="dxa"/>
                            <w:left w:w="0" w:type="dxa"/>
                            <w:bottom w:w="0" w:type="dxa"/>
                            <w:right w:w="0" w:type="dxa"/>
                          </w:tblCellMar>
                        </w:tblPrEx>
                        <w:trPr>
                          <w:trHeight w:val="312" w:hRule="exact"/>
                          <w:jc w:val="center"/>
                        </w:trPr>
                        <w:tc>
                          <w:tcPr>
                            <w:tcW w:w="9639" w:type="dxa"/>
                            <w:gridSpan w:val="3"/>
                            <w:shd w:val="clear" w:color="auto" w:fill="auto"/>
                          </w:tcPr>
                          <w:p>
                            <w:pPr>
                              <w:rPr>
                                <w:rFonts w:cs="Times New Roman"/>
                              </w:rPr>
                            </w:pPr>
                          </w:p>
                        </w:tc>
                      </w:tr>
                      <w:tr>
                        <w:tblPrEx>
                          <w:tblCellMar>
                            <w:top w:w="0" w:type="dxa"/>
                            <w:left w:w="0" w:type="dxa"/>
                            <w:bottom w:w="0" w:type="dxa"/>
                            <w:right w:w="0" w:type="dxa"/>
                          </w:tblCellMar>
                        </w:tblPrEx>
                        <w:trPr>
                          <w:trHeight w:val="567" w:hRule="exact"/>
                          <w:jc w:val="center"/>
                        </w:trPr>
                        <w:tc>
                          <w:tcPr>
                            <w:tcW w:w="9639" w:type="dxa"/>
                            <w:gridSpan w:val="3"/>
                            <w:shd w:val="clear" w:color="auto" w:fill="auto"/>
                          </w:tcPr>
                          <w:p>
                            <w:pPr>
                              <w:rPr>
                                <w:rFonts w:cs="Times New Roman"/>
                              </w:rPr>
                            </w:pPr>
                          </w:p>
                        </w:tc>
                      </w:tr>
                      <w:tr>
                        <w:tblPrEx>
                          <w:tblCellMar>
                            <w:top w:w="0" w:type="dxa"/>
                            <w:left w:w="0" w:type="dxa"/>
                            <w:bottom w:w="0" w:type="dxa"/>
                            <w:right w:w="0" w:type="dxa"/>
                          </w:tblCellMar>
                        </w:tblPrEx>
                        <w:trPr>
                          <w:trHeight w:val="567" w:hRule="exact"/>
                          <w:jc w:val="center"/>
                        </w:trPr>
                        <w:tc>
                          <w:tcPr>
                            <w:tcW w:w="3232" w:type="dxa"/>
                            <w:tcBorders>
                              <w:bottom w:val="single" w:color="auto" w:sz="8" w:space="0"/>
                            </w:tcBorders>
                            <w:shd w:val="clear" w:color="auto" w:fill="auto"/>
                            <w:vAlign w:val="bottom"/>
                          </w:tcPr>
                          <w:p>
                            <w:pPr>
                              <w:rPr>
                                <w:rFonts w:ascii="黑体" w:hAnsi="黑体" w:eastAsia="黑体"/>
                              </w:rPr>
                            </w:pPr>
                            <w:r>
                              <w:rPr>
                                <w:rFonts w:ascii="黑体" w:hAnsi="黑体" w:eastAsia="黑体"/>
                                <w:spacing w:val="10"/>
                                <w:sz w:val="28"/>
                                <w:szCs w:val="28"/>
                              </w:rPr>
                              <w:t>2021</w:t>
                            </w:r>
                            <w:r>
                              <w:rPr>
                                <w:rFonts w:hint="eastAsia" w:ascii="黑体" w:hAnsi="黑体" w:eastAsia="黑体"/>
                                <w:sz w:val="28"/>
                              </w:rPr>
                              <w:t>-</w:t>
                            </w:r>
                            <w:r>
                              <w:rPr>
                                <w:rFonts w:ascii="黑体" w:hAnsi="黑体" w:eastAsia="黑体"/>
                                <w:spacing w:val="10"/>
                                <w:sz w:val="28"/>
                                <w:szCs w:val="28"/>
                              </w:rPr>
                              <w:t xml:space="preserve"> </w:t>
                            </w:r>
                            <w:r>
                              <w:rPr>
                                <w:rFonts w:hint="eastAsia" w:ascii="黑体" w:hAnsi="黑体" w:eastAsia="黑体"/>
                                <w:sz w:val="28"/>
                              </w:rPr>
                              <w:t>-</w:t>
                            </w:r>
                            <w:r>
                              <w:rPr>
                                <w:rFonts w:ascii="黑体" w:hAnsi="黑体" w:eastAsia="黑体"/>
                                <w:spacing w:val="10"/>
                                <w:sz w:val="28"/>
                                <w:szCs w:val="28"/>
                              </w:rPr>
                              <w:t xml:space="preserve"> </w:t>
                            </w:r>
                            <w:r>
                              <w:rPr>
                                <w:rFonts w:hint="eastAsia" w:ascii="黑体" w:hAnsi="黑体" w:eastAsia="黑体"/>
                                <w:sz w:val="28"/>
                              </w:rPr>
                              <w:t>发布</w:t>
                            </w:r>
                          </w:p>
                        </w:tc>
                        <w:tc>
                          <w:tcPr>
                            <w:tcW w:w="3175" w:type="dxa"/>
                            <w:tcBorders>
                              <w:bottom w:val="single" w:color="auto" w:sz="8" w:space="0"/>
                            </w:tcBorders>
                            <w:shd w:val="clear" w:color="auto" w:fill="auto"/>
                            <w:vAlign w:val="bottom"/>
                          </w:tcPr>
                          <w:p>
                            <w:pPr>
                              <w:jc w:val="center"/>
                              <w:rPr>
                                <w:rFonts w:ascii="黑体" w:eastAsia="黑体"/>
                                <w:sz w:val="28"/>
                              </w:rPr>
                            </w:pPr>
                          </w:p>
                        </w:tc>
                        <w:tc>
                          <w:tcPr>
                            <w:tcW w:w="3232" w:type="dxa"/>
                            <w:tcBorders>
                              <w:bottom w:val="single" w:color="auto" w:sz="8" w:space="0"/>
                            </w:tcBorders>
                            <w:shd w:val="clear" w:color="auto" w:fill="auto"/>
                            <w:vAlign w:val="bottom"/>
                          </w:tcPr>
                          <w:p>
                            <w:pPr>
                              <w:jc w:val="right"/>
                              <w:rPr>
                                <w:rFonts w:ascii="黑体" w:hAnsi="黑体" w:eastAsia="黑体"/>
                              </w:rPr>
                            </w:pPr>
                            <w:r>
                              <w:rPr>
                                <w:rFonts w:hint="eastAsia" w:ascii="黑体" w:hAnsi="黑体" w:eastAsia="黑体"/>
                                <w:spacing w:val="10"/>
                                <w:sz w:val="28"/>
                                <w:szCs w:val="28"/>
                              </w:rPr>
                              <w:t>20</w:t>
                            </w:r>
                            <w:r>
                              <w:rPr>
                                <w:rFonts w:ascii="黑体" w:hAnsi="黑体" w:eastAsia="黑体"/>
                                <w:spacing w:val="10"/>
                                <w:sz w:val="28"/>
                                <w:szCs w:val="28"/>
                              </w:rPr>
                              <w:t>21</w:t>
                            </w:r>
                            <w:r>
                              <w:rPr>
                                <w:rFonts w:hint="eastAsia" w:ascii="黑体" w:hAnsi="黑体" w:eastAsia="黑体"/>
                                <w:sz w:val="28"/>
                              </w:rPr>
                              <w:t>-</w:t>
                            </w:r>
                            <w:r>
                              <w:rPr>
                                <w:rFonts w:ascii="黑体" w:hAnsi="黑体" w:eastAsia="黑体"/>
                                <w:spacing w:val="10"/>
                                <w:sz w:val="28"/>
                                <w:szCs w:val="28"/>
                              </w:rPr>
                              <w:t xml:space="preserve"> </w:t>
                            </w:r>
                            <w:r>
                              <w:rPr>
                                <w:rFonts w:hint="eastAsia" w:ascii="黑体" w:hAnsi="黑体" w:eastAsia="黑体"/>
                                <w:sz w:val="28"/>
                              </w:rPr>
                              <w:t>-</w:t>
                            </w:r>
                            <w:r>
                              <w:rPr>
                                <w:rFonts w:ascii="黑体" w:hAnsi="黑体" w:eastAsia="黑体"/>
                                <w:spacing w:val="10"/>
                                <w:sz w:val="28"/>
                                <w:szCs w:val="28"/>
                              </w:rPr>
                              <w:t xml:space="preserve"> </w:t>
                            </w:r>
                            <w:r>
                              <w:rPr>
                                <w:rFonts w:hint="eastAsia" w:ascii="黑体" w:hAnsi="黑体" w:eastAsia="黑体"/>
                                <w:sz w:val="28"/>
                              </w:rPr>
                              <w:t>实施</w:t>
                            </w:r>
                          </w:p>
                        </w:tc>
                      </w:tr>
                      <w:tr>
                        <w:tblPrEx>
                          <w:tblCellMar>
                            <w:top w:w="0" w:type="dxa"/>
                            <w:left w:w="0" w:type="dxa"/>
                            <w:bottom w:w="0" w:type="dxa"/>
                            <w:right w:w="0" w:type="dxa"/>
                          </w:tblCellMar>
                        </w:tblPrEx>
                        <w:trPr>
                          <w:trHeight w:val="377" w:hRule="exact"/>
                          <w:jc w:val="center"/>
                        </w:trPr>
                        <w:tc>
                          <w:tcPr>
                            <w:tcW w:w="9639" w:type="dxa"/>
                            <w:gridSpan w:val="3"/>
                            <w:tcBorders>
                              <w:top w:val="single" w:color="auto" w:sz="8" w:space="0"/>
                            </w:tcBorders>
                            <w:shd w:val="clear" w:color="auto" w:fill="auto"/>
                            <w:vAlign w:val="center"/>
                          </w:tcPr>
                          <w:p>
                            <w:pPr>
                              <w:jc w:val="center"/>
                              <w:rPr>
                                <w:rFonts w:eastAsia="黑体" w:cs="Times New Roman"/>
                                <w:spacing w:val="30"/>
                                <w:sz w:val="32"/>
                                <w:szCs w:val="32"/>
                              </w:rPr>
                            </w:pPr>
                          </w:p>
                        </w:tc>
                      </w:tr>
                      <w:tr>
                        <w:tblPrEx>
                          <w:tblCellMar>
                            <w:top w:w="0" w:type="dxa"/>
                            <w:left w:w="0" w:type="dxa"/>
                            <w:bottom w:w="0" w:type="dxa"/>
                            <w:right w:w="0" w:type="dxa"/>
                          </w:tblCellMar>
                        </w:tblPrEx>
                        <w:trPr>
                          <w:trHeight w:val="1070" w:hRule="exact"/>
                          <w:jc w:val="center"/>
                        </w:trPr>
                        <w:tc>
                          <w:tcPr>
                            <w:tcW w:w="9639" w:type="dxa"/>
                            <w:gridSpan w:val="3"/>
                            <w:shd w:val="clear" w:color="auto" w:fill="auto"/>
                          </w:tcPr>
                          <w:p>
                            <w:pPr>
                              <w:pStyle w:val="32"/>
                            </w:pPr>
                            <w:r>
                              <w:rPr>
                                <w:rFonts w:hint="eastAsia" w:ascii="隶书" w:hAnsi="黑体" w:eastAsia="隶书"/>
                                <w:spacing w:val="0"/>
                                <w:w w:val="100"/>
                                <w:sz w:val="52"/>
                                <w:szCs w:val="52"/>
                              </w:rPr>
                              <w:t>中 华 中 医 药 学 会</w:t>
                            </w:r>
                            <w:r>
                              <w:rPr>
                                <w:rStyle w:val="34"/>
                              </w:rPr>
                              <w:t xml:space="preserve"> </w:t>
                            </w:r>
                            <w:r>
                              <w:rPr>
                                <w:rStyle w:val="34"/>
                                <w:rFonts w:hint="eastAsia"/>
                              </w:rPr>
                              <w:t>发布</w:t>
                            </w:r>
                          </w:p>
                          <w:p>
                            <w:pPr>
                              <w:spacing w:line="360" w:lineRule="exact"/>
                              <w:jc w:val="center"/>
                              <w:rPr>
                                <w:rFonts w:hint="eastAsia" w:ascii="隶书" w:hAnsi="黑体" w:eastAsia="隶书" w:cs="Times New Roman"/>
                                <w:b w:val="0"/>
                                <w:spacing w:val="0"/>
                                <w:w w:val="100"/>
                                <w:kern w:val="0"/>
                                <w:sz w:val="52"/>
                                <w:szCs w:val="52"/>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50" w:line="600" w:lineRule="exact"/>
                              <w:jc w:val="center"/>
                              <w:textAlignment w:val="auto"/>
                              <w:rPr>
                                <w:rFonts w:cs="Times New Roman"/>
                                <w:sz w:val="30"/>
                                <w:szCs w:val="30"/>
                              </w:rPr>
                            </w:pPr>
                          </w:p>
                        </w:tc>
                      </w:tr>
                    </w:tbl>
                    <w:p>
                      <w:pPr>
                        <w:rPr>
                          <w:rFonts w:cs="Times New Roman"/>
                        </w:rPr>
                      </w:pPr>
                    </w:p>
                  </w:txbxContent>
                </v:textbox>
              </v:shape>
            </w:pict>
          </mc:Fallback>
        </mc:AlternateContent>
      </w:r>
      <w:r>
        <w:rPr>
          <w:rFonts w:cs="Times New Roman"/>
          <w:sz w:val="28"/>
          <w:szCs w:val="28"/>
        </w:rPr>
        <w:t>XXXX - XX - XX发布</w:t>
      </w:r>
    </w:p>
    <w:p>
      <w:pPr>
        <w:jc w:val="center"/>
        <w:rPr>
          <w:rFonts w:cs="Times New Roman"/>
          <w:sz w:val="28"/>
          <w:szCs w:val="28"/>
        </w:rPr>
      </w:pPr>
      <w:r>
        <w:rPr>
          <w:rFonts w:cs="Times New Roman"/>
          <w:sz w:val="28"/>
          <w:szCs w:val="28"/>
        </w:rPr>
        <w:t>XXXX - XX - X</w:t>
      </w:r>
    </w:p>
    <w:p>
      <w:pPr>
        <w:rPr>
          <w:rFonts w:cs="Times New Roman"/>
          <w:sz w:val="28"/>
          <w:szCs w:val="28"/>
        </w:rPr>
        <w:sectPr>
          <w:headerReference r:id="rId3" w:type="default"/>
          <w:footerReference r:id="rId4" w:type="default"/>
          <w:footerReference r:id="rId5" w:type="even"/>
          <w:pgSz w:w="11906" w:h="16838"/>
          <w:pgMar w:top="720" w:right="720" w:bottom="720" w:left="720" w:header="851" w:footer="992" w:gutter="0"/>
          <w:pgBorders>
            <w:top w:val="none" w:sz="0" w:space="0"/>
            <w:left w:val="none" w:sz="0" w:space="0"/>
            <w:bottom w:val="none" w:sz="0" w:space="0"/>
            <w:right w:val="none" w:sz="0" w:space="0"/>
          </w:pgBorders>
          <w:pgNumType w:start="1"/>
          <w:cols w:space="720" w:num="1"/>
          <w:titlePg/>
          <w:docGrid w:type="lines" w:linePitch="312" w:charSpace="0"/>
        </w:sectPr>
      </w:pPr>
    </w:p>
    <w:p>
      <w:pPr>
        <w:jc w:val="center"/>
        <w:rPr>
          <w:rFonts w:cs="Times New Roman"/>
          <w:sz w:val="28"/>
          <w:szCs w:val="28"/>
        </w:rPr>
      </w:pPr>
      <w:r>
        <w:rPr>
          <w:rFonts w:hint="eastAsia" w:ascii="黑体" w:hAnsi="黑体" w:eastAsia="黑体" w:cs="黑体"/>
          <w:sz w:val="32"/>
          <w:szCs w:val="28"/>
        </w:rPr>
        <w:t>目   次</w:t>
      </w:r>
    </w:p>
    <w:p>
      <w:pPr>
        <w:pStyle w:val="9"/>
        <w:tabs>
          <w:tab w:val="right" w:leader="dot" w:pos="8296"/>
        </w:tabs>
        <w:rPr>
          <w:rFonts w:hint="eastAsia" w:ascii="宋体" w:hAnsi="宋体" w:eastAsia="宋体" w:cs="宋体"/>
          <w:kern w:val="2"/>
          <w:sz w:val="21"/>
          <w:szCs w:val="21"/>
        </w:rPr>
      </w:pPr>
      <w:r>
        <w:rPr>
          <w:rFonts w:ascii="Times New Roman" w:hAnsi="Times New Roman"/>
          <w:kern w:val="2"/>
          <w:sz w:val="21"/>
          <w:szCs w:val="24"/>
        </w:rPr>
        <w:fldChar w:fldCharType="begin"/>
      </w:r>
      <w:r>
        <w:rPr>
          <w:rFonts w:ascii="Times New Roman" w:hAnsi="Times New Roman"/>
          <w:kern w:val="2"/>
          <w:sz w:val="21"/>
          <w:szCs w:val="24"/>
        </w:rPr>
        <w:instrText xml:space="preserve"> TOC \o "1-3" \h \z \u </w:instrText>
      </w:r>
      <w:r>
        <w:rPr>
          <w:rFonts w:ascii="Times New Roman" w:hAnsi="Times New Roman"/>
          <w:kern w:val="2"/>
          <w:sz w:val="21"/>
          <w:szCs w:val="24"/>
        </w:rPr>
        <w:fldChar w:fldCharType="separate"/>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"_Toc54094785" </w:instrText>
      </w:r>
      <w:r>
        <w:rPr>
          <w:rFonts w:hint="eastAsia" w:ascii="宋体" w:hAnsi="宋体" w:eastAsia="宋体" w:cs="宋体"/>
          <w:sz w:val="21"/>
          <w:szCs w:val="21"/>
        </w:rPr>
        <w:fldChar w:fldCharType="separate"/>
      </w:r>
      <w:r>
        <w:rPr>
          <w:rFonts w:hint="eastAsia" w:ascii="宋体" w:hAnsi="宋体" w:eastAsia="宋体" w:cs="宋体"/>
          <w:kern w:val="2"/>
          <w:sz w:val="21"/>
          <w:szCs w:val="21"/>
        </w:rPr>
        <w:t>前  言</w:t>
      </w:r>
      <w:r>
        <w:rPr>
          <w:rFonts w:hint="eastAsia" w:ascii="宋体" w:hAnsi="宋体" w:eastAsia="宋体" w:cs="宋体"/>
          <w:kern w:val="2"/>
          <w:sz w:val="21"/>
          <w:szCs w:val="21"/>
        </w:rPr>
        <w:tab/>
      </w: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PAGEREF _Toc54094785 \h </w:instrText>
      </w:r>
      <w:r>
        <w:rPr>
          <w:rFonts w:hint="eastAsia" w:ascii="宋体" w:hAnsi="宋体" w:eastAsia="宋体" w:cs="宋体"/>
          <w:kern w:val="2"/>
          <w:sz w:val="21"/>
          <w:szCs w:val="21"/>
        </w:rPr>
        <w:fldChar w:fldCharType="separate"/>
      </w:r>
      <w:r>
        <w:rPr>
          <w:rFonts w:hint="eastAsia" w:ascii="宋体" w:hAnsi="宋体" w:eastAsia="宋体" w:cs="宋体"/>
          <w:kern w:val="2"/>
          <w:sz w:val="21"/>
          <w:szCs w:val="21"/>
        </w:rPr>
        <w:t>II</w:t>
      </w:r>
      <w:r>
        <w:rPr>
          <w:rFonts w:hint="eastAsia" w:ascii="宋体" w:hAnsi="宋体" w:eastAsia="宋体" w:cs="宋体"/>
          <w:kern w:val="2"/>
          <w:sz w:val="21"/>
          <w:szCs w:val="21"/>
        </w:rPr>
        <w:fldChar w:fldCharType="end"/>
      </w:r>
      <w:r>
        <w:rPr>
          <w:rFonts w:hint="eastAsia" w:ascii="宋体" w:hAnsi="宋体" w:eastAsia="宋体" w:cs="宋体"/>
          <w:kern w:val="2"/>
          <w:sz w:val="21"/>
          <w:szCs w:val="21"/>
        </w:rPr>
        <w:fldChar w:fldCharType="end"/>
      </w:r>
    </w:p>
    <w:p>
      <w:pPr>
        <w:pStyle w:val="9"/>
        <w:tabs>
          <w:tab w:val="right" w:leader="dot" w:pos="8296"/>
        </w:tabs>
        <w:rPr>
          <w:rFonts w:hint="eastAsia" w:ascii="宋体" w:hAnsi="宋体" w:eastAsia="宋体" w:cs="宋体"/>
          <w:kern w:val="2"/>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"_Toc54094786" </w:instrText>
      </w:r>
      <w:r>
        <w:rPr>
          <w:rFonts w:hint="eastAsia" w:ascii="宋体" w:hAnsi="宋体" w:eastAsia="宋体" w:cs="宋体"/>
          <w:sz w:val="21"/>
          <w:szCs w:val="21"/>
        </w:rPr>
        <w:fldChar w:fldCharType="separate"/>
      </w:r>
      <w:r>
        <w:rPr>
          <w:rFonts w:hint="eastAsia" w:ascii="宋体" w:hAnsi="宋体" w:eastAsia="宋体" w:cs="宋体"/>
          <w:kern w:val="2"/>
          <w:sz w:val="21"/>
          <w:szCs w:val="21"/>
        </w:rPr>
        <w:t>1 范围</w:t>
      </w:r>
      <w:r>
        <w:rPr>
          <w:rFonts w:hint="eastAsia" w:ascii="宋体" w:hAnsi="宋体" w:eastAsia="宋体" w:cs="宋体"/>
          <w:kern w:val="2"/>
          <w:sz w:val="21"/>
          <w:szCs w:val="21"/>
        </w:rPr>
        <w:tab/>
      </w: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PAGEREF _Toc54094786 \h </w:instrText>
      </w:r>
      <w:r>
        <w:rPr>
          <w:rFonts w:hint="eastAsia" w:ascii="宋体" w:hAnsi="宋体" w:eastAsia="宋体" w:cs="宋体"/>
          <w:kern w:val="2"/>
          <w:sz w:val="21"/>
          <w:szCs w:val="21"/>
        </w:rPr>
        <w:fldChar w:fldCharType="separate"/>
      </w:r>
      <w:r>
        <w:rPr>
          <w:rFonts w:hint="eastAsia" w:ascii="宋体" w:hAnsi="宋体" w:eastAsia="宋体" w:cs="宋体"/>
          <w:kern w:val="2"/>
          <w:sz w:val="21"/>
          <w:szCs w:val="21"/>
        </w:rPr>
        <w:t>1</w:t>
      </w:r>
      <w:r>
        <w:rPr>
          <w:rFonts w:hint="eastAsia" w:ascii="宋体" w:hAnsi="宋体" w:eastAsia="宋体" w:cs="宋体"/>
          <w:kern w:val="2"/>
          <w:sz w:val="21"/>
          <w:szCs w:val="21"/>
        </w:rPr>
        <w:fldChar w:fldCharType="end"/>
      </w:r>
      <w:r>
        <w:rPr>
          <w:rFonts w:hint="eastAsia" w:ascii="宋体" w:hAnsi="宋体" w:eastAsia="宋体" w:cs="宋体"/>
          <w:kern w:val="2"/>
          <w:sz w:val="21"/>
          <w:szCs w:val="21"/>
        </w:rPr>
        <w:fldChar w:fldCharType="end"/>
      </w:r>
    </w:p>
    <w:p>
      <w:pPr>
        <w:pStyle w:val="9"/>
        <w:tabs>
          <w:tab w:val="right" w:leader="dot" w:pos="8296"/>
        </w:tabs>
        <w:rPr>
          <w:rFonts w:hint="eastAsia" w:ascii="宋体" w:hAnsi="宋体" w:eastAsia="宋体" w:cs="宋体"/>
          <w:kern w:val="2"/>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"_Toc54094787" </w:instrText>
      </w:r>
      <w:r>
        <w:rPr>
          <w:rFonts w:hint="eastAsia" w:ascii="宋体" w:hAnsi="宋体" w:eastAsia="宋体" w:cs="宋体"/>
          <w:sz w:val="21"/>
          <w:szCs w:val="21"/>
        </w:rPr>
        <w:fldChar w:fldCharType="separate"/>
      </w:r>
      <w:r>
        <w:rPr>
          <w:rFonts w:hint="eastAsia" w:ascii="宋体" w:hAnsi="宋体" w:eastAsia="宋体" w:cs="宋体"/>
          <w:kern w:val="2"/>
          <w:sz w:val="21"/>
          <w:szCs w:val="21"/>
        </w:rPr>
        <w:t>2 规范性引用文件</w:t>
      </w:r>
      <w:r>
        <w:rPr>
          <w:rFonts w:hint="eastAsia" w:ascii="宋体" w:hAnsi="宋体" w:eastAsia="宋体" w:cs="宋体"/>
          <w:kern w:val="2"/>
          <w:sz w:val="21"/>
          <w:szCs w:val="21"/>
        </w:rPr>
        <w:tab/>
      </w: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PAGEREF _Toc54094787 \h </w:instrText>
      </w:r>
      <w:r>
        <w:rPr>
          <w:rFonts w:hint="eastAsia" w:ascii="宋体" w:hAnsi="宋体" w:eastAsia="宋体" w:cs="宋体"/>
          <w:kern w:val="2"/>
          <w:sz w:val="21"/>
          <w:szCs w:val="21"/>
        </w:rPr>
        <w:fldChar w:fldCharType="separate"/>
      </w:r>
      <w:r>
        <w:rPr>
          <w:rFonts w:hint="eastAsia" w:ascii="宋体" w:hAnsi="宋体" w:eastAsia="宋体" w:cs="宋体"/>
          <w:kern w:val="2"/>
          <w:sz w:val="21"/>
          <w:szCs w:val="21"/>
        </w:rPr>
        <w:t>1</w:t>
      </w:r>
      <w:r>
        <w:rPr>
          <w:rFonts w:hint="eastAsia" w:ascii="宋体" w:hAnsi="宋体" w:eastAsia="宋体" w:cs="宋体"/>
          <w:kern w:val="2"/>
          <w:sz w:val="21"/>
          <w:szCs w:val="21"/>
        </w:rPr>
        <w:fldChar w:fldCharType="end"/>
      </w:r>
      <w:r>
        <w:rPr>
          <w:rFonts w:hint="eastAsia" w:ascii="宋体" w:hAnsi="宋体" w:eastAsia="宋体" w:cs="宋体"/>
          <w:kern w:val="2"/>
          <w:sz w:val="21"/>
          <w:szCs w:val="21"/>
        </w:rPr>
        <w:fldChar w:fldCharType="end"/>
      </w:r>
    </w:p>
    <w:p>
      <w:pPr>
        <w:pStyle w:val="9"/>
        <w:tabs>
          <w:tab w:val="right" w:leader="dot" w:pos="8296"/>
        </w:tabs>
        <w:rPr>
          <w:rFonts w:hint="eastAsia" w:ascii="宋体" w:hAnsi="宋体" w:eastAsia="宋体" w:cs="宋体"/>
          <w:kern w:val="2"/>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"_Toc54094788" </w:instrText>
      </w:r>
      <w:r>
        <w:rPr>
          <w:rFonts w:hint="eastAsia" w:ascii="宋体" w:hAnsi="宋体" w:eastAsia="宋体" w:cs="宋体"/>
          <w:sz w:val="21"/>
          <w:szCs w:val="21"/>
        </w:rPr>
        <w:fldChar w:fldCharType="separate"/>
      </w:r>
      <w:r>
        <w:rPr>
          <w:rFonts w:hint="eastAsia" w:ascii="宋体" w:hAnsi="宋体" w:eastAsia="宋体" w:cs="宋体"/>
          <w:kern w:val="2"/>
          <w:sz w:val="21"/>
          <w:szCs w:val="21"/>
        </w:rPr>
        <w:t>3 术语和定义</w:t>
      </w:r>
      <w:r>
        <w:rPr>
          <w:rFonts w:hint="eastAsia" w:ascii="宋体" w:hAnsi="宋体" w:eastAsia="宋体" w:cs="宋体"/>
          <w:kern w:val="2"/>
          <w:sz w:val="21"/>
          <w:szCs w:val="21"/>
        </w:rPr>
        <w:tab/>
      </w: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PAGEREF _Toc54094788 \h </w:instrText>
      </w:r>
      <w:r>
        <w:rPr>
          <w:rFonts w:hint="eastAsia" w:ascii="宋体" w:hAnsi="宋体" w:eastAsia="宋体" w:cs="宋体"/>
          <w:kern w:val="2"/>
          <w:sz w:val="21"/>
          <w:szCs w:val="21"/>
        </w:rPr>
        <w:fldChar w:fldCharType="separate"/>
      </w:r>
      <w:r>
        <w:rPr>
          <w:rFonts w:hint="eastAsia" w:ascii="宋体" w:hAnsi="宋体" w:eastAsia="宋体" w:cs="宋体"/>
          <w:kern w:val="2"/>
          <w:sz w:val="21"/>
          <w:szCs w:val="21"/>
        </w:rPr>
        <w:t>1</w:t>
      </w:r>
      <w:r>
        <w:rPr>
          <w:rFonts w:hint="eastAsia" w:ascii="宋体" w:hAnsi="宋体" w:eastAsia="宋体" w:cs="宋体"/>
          <w:kern w:val="2"/>
          <w:sz w:val="21"/>
          <w:szCs w:val="21"/>
        </w:rPr>
        <w:fldChar w:fldCharType="end"/>
      </w:r>
      <w:r>
        <w:rPr>
          <w:rFonts w:hint="eastAsia" w:ascii="宋体" w:hAnsi="宋体" w:eastAsia="宋体" w:cs="宋体"/>
          <w:kern w:val="2"/>
          <w:sz w:val="21"/>
          <w:szCs w:val="21"/>
        </w:rPr>
        <w:fldChar w:fldCharType="end"/>
      </w:r>
    </w:p>
    <w:p>
      <w:pPr>
        <w:pStyle w:val="9"/>
        <w:tabs>
          <w:tab w:val="right" w:leader="dot" w:pos="8296"/>
        </w:tabs>
        <w:rPr>
          <w:rFonts w:hint="eastAsia" w:ascii="宋体" w:hAnsi="宋体" w:eastAsia="宋体" w:cs="宋体"/>
          <w:kern w:val="2"/>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"_Toc54094789" </w:instrText>
      </w:r>
      <w:r>
        <w:rPr>
          <w:rFonts w:hint="eastAsia" w:ascii="宋体" w:hAnsi="宋体" w:eastAsia="宋体" w:cs="宋体"/>
          <w:sz w:val="21"/>
          <w:szCs w:val="21"/>
        </w:rPr>
        <w:fldChar w:fldCharType="separate"/>
      </w:r>
      <w:r>
        <w:rPr>
          <w:rFonts w:hint="eastAsia" w:ascii="宋体" w:hAnsi="宋体" w:eastAsia="宋体" w:cs="宋体"/>
          <w:kern w:val="2"/>
          <w:sz w:val="21"/>
          <w:szCs w:val="21"/>
        </w:rPr>
        <w:t>4 场址选择与功能区划</w:t>
      </w:r>
      <w:r>
        <w:rPr>
          <w:rFonts w:hint="eastAsia" w:ascii="宋体" w:hAnsi="宋体" w:eastAsia="宋体" w:cs="宋体"/>
          <w:kern w:val="2"/>
          <w:sz w:val="21"/>
          <w:szCs w:val="21"/>
        </w:rPr>
        <w:tab/>
      </w:r>
      <w:r>
        <w:rPr>
          <w:rFonts w:hint="eastAsia" w:ascii="宋体" w:hAnsi="宋体" w:cs="宋体"/>
          <w:kern w:val="2"/>
          <w:sz w:val="21"/>
          <w:szCs w:val="21"/>
          <w:lang w:val="en-US" w:eastAsia="zh-CN"/>
        </w:rPr>
        <w:t>2</w:t>
      </w:r>
      <w:r>
        <w:rPr>
          <w:rFonts w:hint="eastAsia" w:ascii="宋体" w:hAnsi="宋体" w:eastAsia="宋体" w:cs="宋体"/>
          <w:kern w:val="2"/>
          <w:sz w:val="21"/>
          <w:szCs w:val="21"/>
        </w:rPr>
        <w:fldChar w:fldCharType="end"/>
      </w:r>
    </w:p>
    <w:p>
      <w:pPr>
        <w:pStyle w:val="9"/>
        <w:tabs>
          <w:tab w:val="right" w:leader="dot" w:pos="8296"/>
        </w:tabs>
        <w:rPr>
          <w:rFonts w:hint="eastAsia" w:ascii="宋体" w:hAnsi="宋体" w:eastAsia="宋体" w:cs="宋体"/>
          <w:kern w:val="2"/>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"_Toc54094790" </w:instrText>
      </w:r>
      <w:r>
        <w:rPr>
          <w:rFonts w:hint="eastAsia" w:ascii="宋体" w:hAnsi="宋体" w:eastAsia="宋体" w:cs="宋体"/>
          <w:sz w:val="21"/>
          <w:szCs w:val="21"/>
        </w:rPr>
        <w:fldChar w:fldCharType="separate"/>
      </w:r>
      <w:r>
        <w:rPr>
          <w:rFonts w:hint="eastAsia" w:ascii="宋体" w:hAnsi="宋体" w:eastAsia="宋体" w:cs="宋体"/>
          <w:kern w:val="2"/>
          <w:sz w:val="21"/>
          <w:szCs w:val="21"/>
        </w:rPr>
        <w:t>5 饲养投入品</w:t>
      </w:r>
      <w:r>
        <w:rPr>
          <w:rFonts w:hint="eastAsia" w:ascii="宋体" w:hAnsi="宋体" w:eastAsia="宋体" w:cs="宋体"/>
          <w:kern w:val="2"/>
          <w:sz w:val="21"/>
          <w:szCs w:val="21"/>
        </w:rPr>
        <w:tab/>
      </w:r>
      <w:r>
        <w:rPr>
          <w:rFonts w:hint="eastAsia" w:ascii="宋体" w:hAnsi="宋体" w:cs="宋体"/>
          <w:kern w:val="2"/>
          <w:sz w:val="21"/>
          <w:szCs w:val="21"/>
          <w:lang w:val="en-US" w:eastAsia="zh-CN"/>
        </w:rPr>
        <w:t>3</w:t>
      </w:r>
      <w:r>
        <w:rPr>
          <w:rFonts w:hint="eastAsia" w:ascii="宋体" w:hAnsi="宋体" w:eastAsia="宋体" w:cs="宋体"/>
          <w:kern w:val="2"/>
          <w:sz w:val="21"/>
          <w:szCs w:val="21"/>
        </w:rPr>
        <w:fldChar w:fldCharType="end"/>
      </w:r>
    </w:p>
    <w:p>
      <w:pPr>
        <w:pStyle w:val="9"/>
        <w:tabs>
          <w:tab w:val="right" w:leader="dot" w:pos="8296"/>
        </w:tabs>
        <w:rPr>
          <w:rFonts w:hint="eastAsia" w:ascii="宋体" w:hAnsi="宋体" w:eastAsia="宋体" w:cs="宋体"/>
          <w:kern w:val="2"/>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"_Toc54094791" </w:instrText>
      </w:r>
      <w:r>
        <w:rPr>
          <w:rFonts w:hint="eastAsia" w:ascii="宋体" w:hAnsi="宋体" w:eastAsia="宋体" w:cs="宋体"/>
          <w:sz w:val="21"/>
          <w:szCs w:val="21"/>
        </w:rPr>
        <w:fldChar w:fldCharType="separate"/>
      </w:r>
      <w:r>
        <w:rPr>
          <w:rFonts w:hint="eastAsia" w:ascii="宋体" w:hAnsi="宋体" w:eastAsia="宋体" w:cs="宋体"/>
          <w:kern w:val="2"/>
          <w:sz w:val="21"/>
          <w:szCs w:val="21"/>
        </w:rPr>
        <w:t>6 饲养管理</w:t>
      </w:r>
      <w:r>
        <w:rPr>
          <w:rFonts w:hint="eastAsia" w:ascii="宋体" w:hAnsi="宋体" w:eastAsia="宋体" w:cs="宋体"/>
          <w:kern w:val="2"/>
          <w:sz w:val="21"/>
          <w:szCs w:val="21"/>
        </w:rPr>
        <w:tab/>
      </w:r>
      <w:r>
        <w:rPr>
          <w:rFonts w:hint="eastAsia" w:ascii="宋体" w:hAnsi="宋体" w:cs="宋体"/>
          <w:kern w:val="2"/>
          <w:sz w:val="21"/>
          <w:szCs w:val="21"/>
          <w:lang w:val="en-US" w:eastAsia="zh-CN"/>
        </w:rPr>
        <w:t>4</w:t>
      </w:r>
      <w:r>
        <w:rPr>
          <w:rFonts w:hint="eastAsia" w:ascii="宋体" w:hAnsi="宋体" w:eastAsia="宋体" w:cs="宋体"/>
          <w:kern w:val="2"/>
          <w:sz w:val="21"/>
          <w:szCs w:val="21"/>
        </w:rPr>
        <w:fldChar w:fldCharType="end"/>
      </w:r>
    </w:p>
    <w:p>
      <w:pPr>
        <w:pStyle w:val="9"/>
        <w:tabs>
          <w:tab w:val="right" w:leader="dot" w:pos="8296"/>
        </w:tabs>
        <w:rPr>
          <w:rFonts w:hint="eastAsia" w:ascii="宋体" w:hAnsi="宋体" w:eastAsia="宋体" w:cs="宋体"/>
          <w:kern w:val="2"/>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"_Toc54094795" </w:instrText>
      </w:r>
      <w:r>
        <w:rPr>
          <w:rFonts w:hint="eastAsia" w:ascii="宋体" w:hAnsi="宋体" w:eastAsia="宋体" w:cs="宋体"/>
          <w:sz w:val="21"/>
          <w:szCs w:val="21"/>
        </w:rPr>
        <w:fldChar w:fldCharType="separate"/>
      </w:r>
      <w:r>
        <w:rPr>
          <w:rFonts w:hint="eastAsia" w:ascii="宋体" w:hAnsi="宋体" w:eastAsia="宋体" w:cs="宋体"/>
          <w:kern w:val="2"/>
          <w:sz w:val="21"/>
          <w:szCs w:val="21"/>
        </w:rPr>
        <w:t>7 人员要求</w:t>
      </w:r>
      <w:r>
        <w:rPr>
          <w:rFonts w:hint="eastAsia" w:ascii="宋体" w:hAnsi="宋体" w:eastAsia="宋体" w:cs="宋体"/>
          <w:kern w:val="2"/>
          <w:sz w:val="21"/>
          <w:szCs w:val="21"/>
        </w:rPr>
        <w:tab/>
      </w:r>
      <w:r>
        <w:rPr>
          <w:rFonts w:hint="eastAsia" w:ascii="宋体" w:hAnsi="宋体" w:cs="宋体"/>
          <w:kern w:val="2"/>
          <w:sz w:val="21"/>
          <w:szCs w:val="21"/>
          <w:lang w:val="en-US" w:eastAsia="zh-CN"/>
        </w:rPr>
        <w:t>7</w:t>
      </w:r>
      <w:r>
        <w:rPr>
          <w:rFonts w:hint="eastAsia" w:ascii="宋体" w:hAnsi="宋体" w:eastAsia="宋体" w:cs="宋体"/>
          <w:kern w:val="2"/>
          <w:sz w:val="21"/>
          <w:szCs w:val="21"/>
        </w:rPr>
        <w:fldChar w:fldCharType="end"/>
      </w:r>
    </w:p>
    <w:p>
      <w:pPr>
        <w:pStyle w:val="9"/>
        <w:tabs>
          <w:tab w:val="right" w:leader="dot" w:pos="8296"/>
        </w:tabs>
        <w:rPr>
          <w:rFonts w:hint="eastAsia" w:ascii="宋体" w:hAnsi="宋体" w:eastAsia="宋体" w:cs="宋体"/>
          <w:kern w:val="2"/>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"_Toc54094796" </w:instrText>
      </w:r>
      <w:r>
        <w:rPr>
          <w:rFonts w:hint="eastAsia" w:ascii="宋体" w:hAnsi="宋体" w:eastAsia="宋体" w:cs="宋体"/>
          <w:sz w:val="21"/>
          <w:szCs w:val="21"/>
        </w:rPr>
        <w:fldChar w:fldCharType="separate"/>
      </w:r>
      <w:r>
        <w:rPr>
          <w:rFonts w:hint="eastAsia" w:ascii="宋体" w:hAnsi="宋体" w:eastAsia="宋体" w:cs="宋体"/>
          <w:kern w:val="2"/>
          <w:sz w:val="21"/>
          <w:szCs w:val="21"/>
        </w:rPr>
        <w:t>8 安全管理</w:t>
      </w:r>
      <w:r>
        <w:rPr>
          <w:rFonts w:hint="eastAsia" w:ascii="宋体" w:hAnsi="宋体" w:eastAsia="宋体" w:cs="宋体"/>
          <w:kern w:val="2"/>
          <w:sz w:val="21"/>
          <w:szCs w:val="21"/>
        </w:rPr>
        <w:tab/>
      </w:r>
      <w:r>
        <w:rPr>
          <w:rFonts w:hint="eastAsia" w:ascii="宋体" w:hAnsi="宋体" w:cs="宋体"/>
          <w:kern w:val="2"/>
          <w:sz w:val="21"/>
          <w:szCs w:val="21"/>
          <w:lang w:val="en-US" w:eastAsia="zh-CN"/>
        </w:rPr>
        <w:t>7</w:t>
      </w:r>
      <w:r>
        <w:rPr>
          <w:rFonts w:hint="eastAsia" w:ascii="宋体" w:hAnsi="宋体" w:eastAsia="宋体" w:cs="宋体"/>
          <w:kern w:val="2"/>
          <w:sz w:val="21"/>
          <w:szCs w:val="21"/>
        </w:rPr>
        <w:fldChar w:fldCharType="end"/>
      </w:r>
    </w:p>
    <w:p>
      <w:pPr>
        <w:pStyle w:val="9"/>
        <w:tabs>
          <w:tab w:val="right" w:leader="dot" w:pos="8296"/>
        </w:tabs>
        <w:rPr>
          <w:rFonts w:hint="eastAsia" w:ascii="宋体" w:hAnsi="宋体" w:eastAsia="宋体" w:cs="宋体"/>
          <w:kern w:val="2"/>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"_Toc54094797" </w:instrText>
      </w:r>
      <w:r>
        <w:rPr>
          <w:rFonts w:hint="eastAsia" w:ascii="宋体" w:hAnsi="宋体" w:eastAsia="宋体" w:cs="宋体"/>
          <w:sz w:val="21"/>
          <w:szCs w:val="21"/>
        </w:rPr>
        <w:fldChar w:fldCharType="separate"/>
      </w:r>
      <w:r>
        <w:rPr>
          <w:rFonts w:hint="eastAsia" w:ascii="宋体" w:hAnsi="宋体" w:eastAsia="宋体" w:cs="宋体"/>
          <w:kern w:val="2"/>
          <w:sz w:val="21"/>
          <w:szCs w:val="21"/>
        </w:rPr>
        <w:t>9 卫生防疫</w:t>
      </w:r>
      <w:r>
        <w:rPr>
          <w:rFonts w:hint="eastAsia" w:ascii="宋体" w:hAnsi="宋体" w:eastAsia="宋体" w:cs="宋体"/>
          <w:kern w:val="2"/>
          <w:sz w:val="21"/>
          <w:szCs w:val="21"/>
        </w:rPr>
        <w:tab/>
      </w:r>
      <w:r>
        <w:rPr>
          <w:rFonts w:hint="eastAsia" w:ascii="宋体" w:hAnsi="宋体" w:cs="宋体"/>
          <w:kern w:val="2"/>
          <w:sz w:val="21"/>
          <w:szCs w:val="21"/>
          <w:lang w:val="en-US" w:eastAsia="zh-CN"/>
        </w:rPr>
        <w:t>8</w:t>
      </w:r>
      <w:r>
        <w:rPr>
          <w:rFonts w:hint="eastAsia" w:ascii="宋体" w:hAnsi="宋体" w:eastAsia="宋体" w:cs="宋体"/>
          <w:kern w:val="2"/>
          <w:sz w:val="21"/>
          <w:szCs w:val="21"/>
        </w:rPr>
        <w:fldChar w:fldCharType="end"/>
      </w:r>
    </w:p>
    <w:p>
      <w:pPr>
        <w:pStyle w:val="9"/>
        <w:tabs>
          <w:tab w:val="right" w:leader="dot" w:pos="8296"/>
        </w:tabs>
        <w:rPr>
          <w:rFonts w:hint="eastAsia" w:ascii="宋体" w:hAnsi="宋体" w:eastAsia="宋体" w:cs="宋体"/>
          <w:kern w:val="2"/>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"_Toc54094798" </w:instrText>
      </w:r>
      <w:r>
        <w:rPr>
          <w:rFonts w:hint="eastAsia" w:ascii="宋体" w:hAnsi="宋体" w:eastAsia="宋体" w:cs="宋体"/>
          <w:sz w:val="21"/>
          <w:szCs w:val="21"/>
        </w:rPr>
        <w:fldChar w:fldCharType="separate"/>
      </w:r>
      <w:r>
        <w:rPr>
          <w:rFonts w:hint="eastAsia" w:ascii="宋体" w:hAnsi="宋体" w:eastAsia="宋体" w:cs="宋体"/>
          <w:kern w:val="2"/>
          <w:sz w:val="21"/>
          <w:szCs w:val="21"/>
        </w:rPr>
        <w:t>10 熊胆汁的采收</w:t>
      </w:r>
      <w:r>
        <w:rPr>
          <w:rFonts w:hint="eastAsia" w:ascii="宋体" w:hAnsi="宋体" w:eastAsia="宋体" w:cs="宋体"/>
          <w:kern w:val="2"/>
          <w:sz w:val="21"/>
          <w:szCs w:val="21"/>
        </w:rPr>
        <w:tab/>
      </w:r>
      <w:r>
        <w:rPr>
          <w:rFonts w:hint="eastAsia" w:ascii="宋体" w:hAnsi="宋体" w:cs="宋体"/>
          <w:kern w:val="2"/>
          <w:sz w:val="21"/>
          <w:szCs w:val="21"/>
          <w:lang w:val="en-US" w:eastAsia="zh-CN"/>
        </w:rPr>
        <w:t>9</w:t>
      </w:r>
      <w:r>
        <w:rPr>
          <w:rFonts w:hint="eastAsia" w:ascii="宋体" w:hAnsi="宋体" w:eastAsia="宋体" w:cs="宋体"/>
          <w:kern w:val="2"/>
          <w:sz w:val="21"/>
          <w:szCs w:val="21"/>
        </w:rPr>
        <w:fldChar w:fldCharType="end"/>
      </w:r>
    </w:p>
    <w:p>
      <w:pPr>
        <w:pStyle w:val="9"/>
        <w:tabs>
          <w:tab w:val="right" w:leader="dot" w:pos="8296"/>
        </w:tabs>
        <w:rPr>
          <w:rFonts w:hint="eastAsia" w:ascii="宋体" w:hAnsi="宋体" w:eastAsia="宋体" w:cs="宋体"/>
          <w:kern w:val="2"/>
          <w:sz w:val="21"/>
          <w:szCs w:val="21"/>
          <w:lang w:val="en-US" w:eastAsia="zh-CN"/>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"_Toc54094801" </w:instrText>
      </w:r>
      <w:r>
        <w:rPr>
          <w:rFonts w:hint="eastAsia" w:ascii="宋体" w:hAnsi="宋体" w:eastAsia="宋体" w:cs="宋体"/>
          <w:sz w:val="21"/>
          <w:szCs w:val="21"/>
        </w:rPr>
        <w:fldChar w:fldCharType="separate"/>
      </w:r>
      <w:r>
        <w:rPr>
          <w:rFonts w:hint="eastAsia" w:ascii="宋体" w:hAnsi="宋体" w:eastAsia="宋体" w:cs="宋体"/>
          <w:kern w:val="2"/>
          <w:sz w:val="21"/>
          <w:szCs w:val="21"/>
        </w:rPr>
        <w:t>11 熊胆产地加工</w:t>
      </w:r>
      <w:r>
        <w:rPr>
          <w:rFonts w:hint="eastAsia" w:ascii="宋体" w:hAnsi="宋体" w:eastAsia="宋体" w:cs="宋体"/>
          <w:kern w:val="2"/>
          <w:sz w:val="21"/>
          <w:szCs w:val="21"/>
        </w:rPr>
        <w:tab/>
      </w:r>
      <w:r>
        <w:rPr>
          <w:rFonts w:hint="eastAsia" w:ascii="宋体" w:hAnsi="宋体" w:cs="宋体"/>
          <w:kern w:val="2"/>
          <w:sz w:val="21"/>
          <w:szCs w:val="21"/>
          <w:lang w:val="en-US" w:eastAsia="zh-CN"/>
        </w:rPr>
        <w:t>1</w:t>
      </w:r>
      <w:r>
        <w:rPr>
          <w:rFonts w:hint="eastAsia" w:ascii="宋体" w:hAnsi="宋体" w:eastAsia="宋体" w:cs="宋体"/>
          <w:kern w:val="2"/>
          <w:sz w:val="21"/>
          <w:szCs w:val="21"/>
        </w:rPr>
        <w:fldChar w:fldCharType="end"/>
      </w:r>
      <w:r>
        <w:rPr>
          <w:rFonts w:hint="eastAsia" w:ascii="宋体" w:hAnsi="宋体" w:cs="宋体"/>
          <w:kern w:val="2"/>
          <w:sz w:val="21"/>
          <w:szCs w:val="21"/>
          <w:lang w:val="en-US" w:eastAsia="zh-CN"/>
        </w:rPr>
        <w:t>0</w:t>
      </w:r>
    </w:p>
    <w:p>
      <w:pPr>
        <w:pStyle w:val="9"/>
        <w:tabs>
          <w:tab w:val="right" w:leader="dot" w:pos="8296"/>
        </w:tabs>
        <w:rPr>
          <w:rFonts w:hint="eastAsia" w:ascii="宋体" w:hAnsi="宋体" w:eastAsia="宋体" w:cs="宋体"/>
          <w:kern w:val="2"/>
          <w:sz w:val="21"/>
          <w:szCs w:val="21"/>
          <w:lang w:val="en-US" w:eastAsia="zh-CN"/>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"_Toc54094802" </w:instrText>
      </w:r>
      <w:r>
        <w:rPr>
          <w:rFonts w:hint="eastAsia" w:ascii="宋体" w:hAnsi="宋体" w:eastAsia="宋体" w:cs="宋体"/>
          <w:sz w:val="21"/>
          <w:szCs w:val="21"/>
        </w:rPr>
        <w:fldChar w:fldCharType="separate"/>
      </w:r>
      <w:r>
        <w:rPr>
          <w:rFonts w:hint="eastAsia" w:ascii="宋体" w:hAnsi="宋体" w:eastAsia="宋体" w:cs="宋体"/>
          <w:kern w:val="2"/>
          <w:sz w:val="21"/>
          <w:szCs w:val="21"/>
        </w:rPr>
        <w:t>12 包装、标识、贮藏和运输</w:t>
      </w:r>
      <w:r>
        <w:rPr>
          <w:rFonts w:hint="eastAsia" w:ascii="宋体" w:hAnsi="宋体" w:eastAsia="宋体" w:cs="宋体"/>
          <w:kern w:val="2"/>
          <w:sz w:val="21"/>
          <w:szCs w:val="21"/>
        </w:rPr>
        <w:tab/>
      </w:r>
      <w:r>
        <w:rPr>
          <w:rFonts w:hint="eastAsia" w:ascii="宋体" w:hAnsi="宋体" w:cs="宋体"/>
          <w:kern w:val="2"/>
          <w:sz w:val="21"/>
          <w:szCs w:val="21"/>
          <w:lang w:val="en-US" w:eastAsia="zh-CN"/>
        </w:rPr>
        <w:t>1</w:t>
      </w:r>
      <w:r>
        <w:rPr>
          <w:rFonts w:hint="eastAsia" w:ascii="宋体" w:hAnsi="宋体" w:eastAsia="宋体" w:cs="宋体"/>
          <w:kern w:val="2"/>
          <w:sz w:val="21"/>
          <w:szCs w:val="21"/>
        </w:rPr>
        <w:fldChar w:fldCharType="end"/>
      </w:r>
      <w:r>
        <w:rPr>
          <w:rFonts w:hint="eastAsia" w:ascii="宋体" w:hAnsi="宋体" w:cs="宋体"/>
          <w:kern w:val="2"/>
          <w:sz w:val="21"/>
          <w:szCs w:val="21"/>
          <w:lang w:val="en-US" w:eastAsia="zh-CN"/>
        </w:rPr>
        <w:t>1</w:t>
      </w:r>
    </w:p>
    <w:p>
      <w:pPr>
        <w:pStyle w:val="9"/>
        <w:tabs>
          <w:tab w:val="right" w:leader="dot" w:pos="8296"/>
        </w:tabs>
        <w:rPr>
          <w:rFonts w:hint="eastAsia" w:ascii="宋体" w:hAnsi="宋体" w:eastAsia="宋体" w:cs="宋体"/>
          <w:kern w:val="2"/>
          <w:sz w:val="21"/>
          <w:szCs w:val="21"/>
          <w:lang w:val="en-US" w:eastAsia="zh-CN"/>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"_Toc54094803" </w:instrText>
      </w:r>
      <w:r>
        <w:rPr>
          <w:rFonts w:hint="eastAsia" w:ascii="宋体" w:hAnsi="宋体" w:eastAsia="宋体" w:cs="宋体"/>
          <w:sz w:val="21"/>
          <w:szCs w:val="21"/>
        </w:rPr>
        <w:fldChar w:fldCharType="separate"/>
      </w:r>
      <w:r>
        <w:rPr>
          <w:rFonts w:hint="eastAsia" w:ascii="宋体" w:hAnsi="宋体" w:eastAsia="宋体" w:cs="宋体"/>
          <w:kern w:val="2"/>
          <w:sz w:val="21"/>
          <w:szCs w:val="21"/>
        </w:rPr>
        <w:t>13 档案管理</w:t>
      </w:r>
      <w:r>
        <w:rPr>
          <w:rFonts w:hint="eastAsia" w:ascii="宋体" w:hAnsi="宋体" w:eastAsia="宋体" w:cs="宋体"/>
          <w:kern w:val="2"/>
          <w:sz w:val="21"/>
          <w:szCs w:val="21"/>
        </w:rPr>
        <w:tab/>
      </w:r>
      <w:r>
        <w:rPr>
          <w:rFonts w:hint="eastAsia" w:ascii="宋体" w:hAnsi="宋体" w:cs="宋体"/>
          <w:kern w:val="2"/>
          <w:sz w:val="21"/>
          <w:szCs w:val="21"/>
          <w:lang w:val="en-US" w:eastAsia="zh-CN"/>
        </w:rPr>
        <w:t>1</w:t>
      </w:r>
      <w:r>
        <w:rPr>
          <w:rFonts w:hint="eastAsia" w:ascii="宋体" w:hAnsi="宋体" w:eastAsia="宋体" w:cs="宋体"/>
          <w:kern w:val="2"/>
          <w:sz w:val="21"/>
          <w:szCs w:val="21"/>
        </w:rPr>
        <w:fldChar w:fldCharType="end"/>
      </w:r>
      <w:r>
        <w:rPr>
          <w:rFonts w:hint="eastAsia" w:ascii="宋体" w:hAnsi="宋体" w:cs="宋体"/>
          <w:kern w:val="2"/>
          <w:sz w:val="21"/>
          <w:szCs w:val="21"/>
          <w:lang w:val="en-US" w:eastAsia="zh-CN"/>
        </w:rPr>
        <w:t>1</w:t>
      </w:r>
    </w:p>
    <w:p>
      <w:pPr>
        <w:pStyle w:val="9"/>
        <w:tabs>
          <w:tab w:val="right" w:leader="dot" w:pos="8296"/>
        </w:tabs>
        <w:rPr>
          <w:rFonts w:hint="eastAsia" w:ascii="Times New Roman" w:hAnsi="Times New Roman" w:eastAsia="宋体"/>
          <w:kern w:val="2"/>
          <w:sz w:val="21"/>
          <w:szCs w:val="24"/>
          <w:lang w:val="en-US" w:eastAsia="zh-CN"/>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"_Toc54094804" </w:instrText>
      </w:r>
      <w:r>
        <w:rPr>
          <w:rFonts w:hint="eastAsia" w:ascii="宋体" w:hAnsi="宋体" w:eastAsia="宋体" w:cs="宋体"/>
          <w:sz w:val="21"/>
          <w:szCs w:val="21"/>
        </w:rPr>
        <w:fldChar w:fldCharType="separate"/>
      </w:r>
      <w:r>
        <w:rPr>
          <w:rFonts w:hint="eastAsia" w:ascii="宋体" w:hAnsi="宋体" w:eastAsia="宋体" w:cs="宋体"/>
          <w:kern w:val="2"/>
          <w:sz w:val="21"/>
          <w:szCs w:val="21"/>
        </w:rPr>
        <w:t>附录A（资料性附录）黑熊营养需求</w:t>
      </w:r>
      <w:r>
        <w:rPr>
          <w:rFonts w:hint="eastAsia" w:ascii="宋体" w:hAnsi="宋体" w:eastAsia="宋体" w:cs="宋体"/>
          <w:kern w:val="2"/>
          <w:sz w:val="21"/>
          <w:szCs w:val="21"/>
        </w:rPr>
        <w:tab/>
      </w:r>
      <w:r>
        <w:rPr>
          <w:rFonts w:hint="eastAsia" w:ascii="宋体" w:hAnsi="宋体" w:cs="宋体"/>
          <w:kern w:val="2"/>
          <w:sz w:val="21"/>
          <w:szCs w:val="21"/>
          <w:lang w:val="en-US" w:eastAsia="zh-CN"/>
        </w:rPr>
        <w:t>1</w:t>
      </w:r>
      <w:r>
        <w:rPr>
          <w:rFonts w:hint="eastAsia" w:ascii="宋体" w:hAnsi="宋体" w:eastAsia="宋体" w:cs="宋体"/>
          <w:kern w:val="2"/>
          <w:sz w:val="21"/>
          <w:szCs w:val="21"/>
        </w:rPr>
        <w:fldChar w:fldCharType="end"/>
      </w:r>
      <w:r>
        <w:rPr>
          <w:rFonts w:hint="eastAsia" w:ascii="宋体" w:hAnsi="宋体" w:cs="宋体"/>
          <w:kern w:val="2"/>
          <w:sz w:val="21"/>
          <w:szCs w:val="21"/>
          <w:lang w:val="en-US" w:eastAsia="zh-CN"/>
        </w:rPr>
        <w:t>2</w:t>
      </w:r>
    </w:p>
    <w:p>
      <w:pPr>
        <w:rPr>
          <w:rFonts w:cs="Times New Roman"/>
        </w:rPr>
      </w:pPr>
      <w:r>
        <w:rPr>
          <w:rFonts w:cs="Times New Roman"/>
          <w:szCs w:val="24"/>
        </w:rPr>
        <w:fldChar w:fldCharType="end"/>
      </w:r>
    </w:p>
    <w:p>
      <w:pPr>
        <w:rPr>
          <w:rFonts w:cs="Times New Roman"/>
          <w:sz w:val="28"/>
          <w:szCs w:val="28"/>
        </w:rPr>
      </w:pPr>
    </w:p>
    <w:p>
      <w:pPr>
        <w:rPr>
          <w:rFonts w:cs="Times New Roman"/>
          <w:sz w:val="28"/>
          <w:szCs w:val="28"/>
        </w:rPr>
      </w:pPr>
    </w:p>
    <w:p>
      <w:pPr>
        <w:rPr>
          <w:rFonts w:cs="Times New Roman"/>
          <w:sz w:val="28"/>
          <w:szCs w:val="28"/>
        </w:rPr>
      </w:pPr>
    </w:p>
    <w:p>
      <w:pPr>
        <w:rPr>
          <w:rFonts w:cs="Times New Roman"/>
          <w:sz w:val="28"/>
          <w:szCs w:val="28"/>
        </w:rPr>
      </w:pPr>
    </w:p>
    <w:p>
      <w:pPr>
        <w:rPr>
          <w:rFonts w:cs="Times New Roman"/>
          <w:sz w:val="28"/>
          <w:szCs w:val="28"/>
        </w:rPr>
      </w:pPr>
    </w:p>
    <w:p>
      <w:pPr>
        <w:rPr>
          <w:rFonts w:cs="Times New Roman"/>
          <w:sz w:val="28"/>
          <w:szCs w:val="28"/>
        </w:rPr>
      </w:pPr>
    </w:p>
    <w:p>
      <w:pPr>
        <w:rPr>
          <w:rFonts w:cs="Times New Roman"/>
          <w:sz w:val="28"/>
          <w:szCs w:val="28"/>
        </w:rPr>
      </w:pPr>
    </w:p>
    <w:p>
      <w:pPr>
        <w:rPr>
          <w:rFonts w:cs="Times New Roman"/>
          <w:sz w:val="28"/>
          <w:szCs w:val="28"/>
        </w:rPr>
      </w:pPr>
    </w:p>
    <w:p>
      <w:pPr>
        <w:rPr>
          <w:rFonts w:cs="Times New Roman"/>
          <w:sz w:val="28"/>
          <w:szCs w:val="28"/>
        </w:rPr>
      </w:pPr>
    </w:p>
    <w:p>
      <w:pPr>
        <w:rPr>
          <w:rFonts w:cs="Times New Roman"/>
        </w:rPr>
      </w:pPr>
    </w:p>
    <w:p>
      <w:pPr>
        <w:pStyle w:val="29"/>
        <w:numPr>
          <w:ilvl w:val="0"/>
          <w:numId w:val="1"/>
        </w:numPr>
        <w:rPr>
          <w:rFonts w:ascii="Times New Roman"/>
        </w:rPr>
      </w:pPr>
      <w:bookmarkStart w:id="0" w:name="_Toc510534526"/>
      <w:bookmarkStart w:id="1" w:name="_Toc529451013"/>
      <w:bookmarkStart w:id="2" w:name="BKYY"/>
      <w:bookmarkStart w:id="3" w:name="_Toc436205034"/>
      <w:bookmarkStart w:id="4" w:name="_Toc54094785"/>
      <w:bookmarkStart w:id="5" w:name="_Toc509933847"/>
      <w:r>
        <w:rPr>
          <w:rFonts w:ascii="Times New Roman"/>
        </w:rPr>
        <w:t>前  言</w:t>
      </w:r>
      <w:bookmarkEnd w:id="0"/>
      <w:bookmarkEnd w:id="1"/>
      <w:bookmarkEnd w:id="2"/>
      <w:bookmarkEnd w:id="3"/>
      <w:bookmarkEnd w:id="4"/>
      <w:bookmarkEnd w:id="5"/>
    </w:p>
    <w:p>
      <w:pPr>
        <w:keepNext w:val="0"/>
        <w:keepLines w:val="0"/>
        <w:pageBreakBefore w:val="0"/>
        <w:widowControl/>
        <w:kinsoku/>
        <w:wordWrap/>
        <w:overflowPunct/>
        <w:topLinePunct w:val="0"/>
        <w:bidi w:val="0"/>
        <w:adjustRightInd/>
        <w:snapToGrid/>
        <w:spacing w:line="360" w:lineRule="exact"/>
        <w:ind w:firstLine="420" w:firstLineChars="200"/>
        <w:textAlignment w:val="auto"/>
        <w:rPr>
          <w:rFonts w:cs="Times New Roman"/>
          <w:kern w:val="0"/>
        </w:rPr>
      </w:pPr>
      <w:r>
        <w:rPr>
          <w:rFonts w:cs="Times New Roman"/>
          <w:kern w:val="0"/>
        </w:rPr>
        <w:t>本标准按照GB/T 1.1－20</w:t>
      </w:r>
      <w:r>
        <w:rPr>
          <w:rFonts w:hint="eastAsia" w:cs="Times New Roman"/>
          <w:kern w:val="0"/>
        </w:rPr>
        <w:t>20</w:t>
      </w:r>
      <w:r>
        <w:rPr>
          <w:rFonts w:cs="Times New Roman"/>
          <w:kern w:val="0"/>
        </w:rPr>
        <w:t>《标准化工作导则  第1部分：标准的结构和编写》给出的规则起草。</w:t>
      </w:r>
    </w:p>
    <w:p>
      <w:pPr>
        <w:pStyle w:val="20"/>
        <w:keepNext w:val="0"/>
        <w:keepLines w:val="0"/>
        <w:pageBreakBefore w:val="0"/>
        <w:widowControl/>
        <w:kinsoku/>
        <w:wordWrap/>
        <w:overflowPunct/>
        <w:topLinePunct w:val="0"/>
        <w:bidi w:val="0"/>
        <w:adjustRightInd/>
        <w:snapToGrid/>
        <w:spacing w:line="360" w:lineRule="exact"/>
        <w:ind w:firstLine="420" w:firstLineChars="200"/>
        <w:textAlignment w:val="auto"/>
        <w:rPr>
          <w:rFonts w:ascii="Times New Roman" w:eastAsia="宋体" w:cs="Times New Roman"/>
        </w:rPr>
      </w:pPr>
      <w:r>
        <w:rPr>
          <w:rFonts w:ascii="Times New Roman" w:eastAsia="宋体" w:cs="Times New Roman"/>
        </w:rPr>
        <w:t>本标准由</w:t>
      </w:r>
      <w:r>
        <w:rPr>
          <w:rFonts w:hint="eastAsia" w:ascii="Times New Roman" w:eastAsia="宋体" w:cs="Times New Roman"/>
        </w:rPr>
        <w:t>中国中医科学院中药资源中心提出</w:t>
      </w:r>
      <w:r>
        <w:rPr>
          <w:rFonts w:ascii="Times New Roman" w:eastAsia="宋体" w:cs="Times New Roman"/>
        </w:rPr>
        <w:t>。</w:t>
      </w:r>
    </w:p>
    <w:p>
      <w:pPr>
        <w:pStyle w:val="20"/>
        <w:keepNext w:val="0"/>
        <w:keepLines w:val="0"/>
        <w:pageBreakBefore w:val="0"/>
        <w:widowControl/>
        <w:kinsoku/>
        <w:wordWrap/>
        <w:overflowPunct/>
        <w:topLinePunct w:val="0"/>
        <w:bidi w:val="0"/>
        <w:adjustRightInd/>
        <w:snapToGrid/>
        <w:spacing w:line="360" w:lineRule="exact"/>
        <w:ind w:firstLine="420" w:firstLineChars="200"/>
        <w:textAlignment w:val="auto"/>
        <w:rPr>
          <w:rFonts w:ascii="Times New Roman" w:eastAsia="宋体" w:cs="Times New Roman"/>
        </w:rPr>
      </w:pPr>
      <w:r>
        <w:rPr>
          <w:rFonts w:ascii="Times New Roman" w:eastAsia="宋体" w:cs="Times New Roman"/>
        </w:rPr>
        <w:t>本标准由中华中医药学会归口。</w:t>
      </w:r>
    </w:p>
    <w:p>
      <w:pPr>
        <w:pStyle w:val="20"/>
        <w:keepNext w:val="0"/>
        <w:keepLines w:val="0"/>
        <w:pageBreakBefore w:val="0"/>
        <w:widowControl/>
        <w:kinsoku/>
        <w:wordWrap/>
        <w:overflowPunct/>
        <w:topLinePunct w:val="0"/>
        <w:bidi w:val="0"/>
        <w:adjustRightInd/>
        <w:snapToGrid/>
        <w:spacing w:line="360" w:lineRule="exact"/>
        <w:ind w:firstLine="420" w:firstLineChars="200"/>
        <w:textAlignment w:val="auto"/>
        <w:rPr>
          <w:rFonts w:ascii="Times New Roman" w:eastAsia="宋体" w:cs="Times New Roman"/>
        </w:rPr>
      </w:pPr>
      <w:r>
        <w:rPr>
          <w:rFonts w:ascii="Times New Roman" w:eastAsia="宋体" w:cs="Times New Roman"/>
        </w:rPr>
        <w:t>本标准起草单位：四川养麝研究所</w:t>
      </w:r>
      <w:r>
        <w:rPr>
          <w:rFonts w:hint="eastAsia" w:ascii="Times New Roman" w:eastAsia="宋体" w:cs="Times New Roman"/>
        </w:rPr>
        <w:t>、中国中医科学院中药资源中心</w:t>
      </w:r>
    </w:p>
    <w:p>
      <w:pPr>
        <w:pStyle w:val="20"/>
        <w:keepNext w:val="0"/>
        <w:keepLines w:val="0"/>
        <w:pageBreakBefore w:val="0"/>
        <w:widowControl/>
        <w:kinsoku/>
        <w:wordWrap/>
        <w:overflowPunct/>
        <w:topLinePunct w:val="0"/>
        <w:bidi w:val="0"/>
        <w:adjustRightInd/>
        <w:snapToGrid/>
        <w:spacing w:line="360" w:lineRule="exact"/>
        <w:ind w:firstLine="420" w:firstLineChars="200"/>
        <w:textAlignment w:val="auto"/>
        <w:rPr>
          <w:rFonts w:ascii="Times New Roman" w:eastAsia="宋体" w:cs="Times New Roman"/>
        </w:rPr>
      </w:pPr>
      <w:r>
        <w:rPr>
          <w:rFonts w:ascii="Times New Roman" w:eastAsia="宋体" w:cs="Times New Roman"/>
        </w:rPr>
        <w:t>本标准主要起草人：</w:t>
      </w:r>
      <w:r>
        <w:rPr>
          <w:rFonts w:hint="eastAsia"/>
        </w:rPr>
        <w:t>王建明、张恬、陈凤、郑程莉、</w:t>
      </w:r>
      <w:r>
        <w:rPr>
          <w:rFonts w:hint="eastAsia" w:eastAsia="宋体"/>
          <w:lang w:val="en-US" w:eastAsia="zh-CN"/>
        </w:rPr>
        <w:t>吴杰、</w:t>
      </w:r>
      <w:r>
        <w:rPr>
          <w:rFonts w:hint="eastAsia"/>
        </w:rPr>
        <w:t>李军德、王欢、龚航、蒋桂梅、杨杰</w:t>
      </w:r>
    </w:p>
    <w:p>
      <w:pPr>
        <w:widowControl/>
        <w:spacing w:before="156" w:beforeLines="50" w:after="156" w:afterLines="50"/>
        <w:outlineLvl w:val="0"/>
        <w:rPr>
          <w:rFonts w:cs="Times New Roman"/>
          <w:kern w:val="0"/>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r>
        <w:rPr>
          <w:rFonts w:cs="Times New Roman"/>
          <w:kern w:val="0"/>
        </w:rPr>
        <w:br w:type="page"/>
      </w:r>
      <w:bookmarkStart w:id="6" w:name="_Toc54094786"/>
    </w:p>
    <w:p>
      <w:pPr>
        <w:tabs>
          <w:tab w:val="left" w:pos="920"/>
        </w:tabs>
        <w:jc w:val="center"/>
        <w:rPr>
          <w:rFonts w:ascii="黑体" w:hAnsi="黑体" w:eastAsia="黑体" w:cs="黑体"/>
          <w:sz w:val="32"/>
          <w:szCs w:val="32"/>
        </w:rPr>
      </w:pPr>
      <w:r>
        <w:rPr>
          <w:rFonts w:hint="eastAsia" w:ascii="黑体" w:hAnsi="黑体" w:eastAsia="黑体" w:cs="黑体"/>
          <w:sz w:val="32"/>
          <w:szCs w:val="32"/>
        </w:rPr>
        <w:t>动物药材生产及产地加工技术规程  熊胆粉</w:t>
      </w:r>
    </w:p>
    <w:p>
      <w:pPr>
        <w:keepNext w:val="0"/>
        <w:keepLines w:val="0"/>
        <w:pageBreakBefore w:val="0"/>
        <w:widowControl/>
        <w:kinsoku/>
        <w:wordWrap/>
        <w:overflowPunct/>
        <w:topLinePunct w:val="0"/>
        <w:autoSpaceDE/>
        <w:autoSpaceDN/>
        <w:bidi w:val="0"/>
        <w:adjustRightInd/>
        <w:snapToGrid/>
        <w:spacing w:before="313" w:beforeLines="100" w:after="313" w:afterLines="100"/>
        <w:textAlignment w:val="auto"/>
        <w:outlineLvl w:val="0"/>
        <w:rPr>
          <w:rFonts w:eastAsia="Songti SC" w:cs="Times New Roman"/>
          <w:kern w:val="0"/>
        </w:rPr>
      </w:pPr>
      <w:r>
        <w:rPr>
          <w:rFonts w:hint="eastAsia" w:ascii="黑体" w:hAnsi="Times New Roman" w:eastAsia="黑体" w:cs="Times New Roman"/>
          <w:kern w:val="0"/>
          <w:sz w:val="21"/>
          <w:szCs w:val="20"/>
          <w:lang w:val="en-US" w:eastAsia="zh-CN" w:bidi="ar-SA"/>
        </w:rPr>
        <w:t>1 范围</w:t>
      </w:r>
      <w:bookmarkEnd w:id="6"/>
      <w:r>
        <w:rPr>
          <w:rFonts w:eastAsia="Songti SC" w:cs="Times New Roman"/>
          <w:kern w:val="0"/>
        </w:rPr>
        <w:tab/>
      </w:r>
    </w:p>
    <w:p>
      <w:pPr>
        <w:pStyle w:val="20"/>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宋体" w:hAnsi="宋体" w:eastAsia="宋体" w:cs="宋体"/>
        </w:rPr>
      </w:pPr>
      <w:r>
        <w:rPr>
          <w:rFonts w:hint="eastAsia" w:ascii="宋体" w:hAnsi="宋体" w:eastAsia="宋体" w:cs="宋体"/>
        </w:rPr>
        <w:t>本标准规定了熊胆粉</w:t>
      </w:r>
      <w:r>
        <w:rPr>
          <w:rFonts w:hint="eastAsia" w:ascii="宋体" w:hAnsi="宋体" w:eastAsia="宋体" w:cs="宋体"/>
          <w:kern w:val="2"/>
        </w:rPr>
        <w:t>生产及产地加工技术的术语和定义、场址选择与功能区划、饲养投入品、饲养管理、繁殖管理、安全管理、卫生防疫、引流取胆汁、产地加工，包装、标识、贮藏和运输，档案管理等技术要求</w:t>
      </w:r>
      <w:r>
        <w:rPr>
          <w:rFonts w:hint="eastAsia" w:ascii="宋体" w:hAnsi="宋体" w:eastAsia="宋体" w:cs="宋体"/>
        </w:rPr>
        <w:t>。</w:t>
      </w:r>
    </w:p>
    <w:p>
      <w:pPr>
        <w:pStyle w:val="20"/>
        <w:keepNext w:val="0"/>
        <w:keepLines w:val="0"/>
        <w:pageBreakBefore w:val="0"/>
        <w:widowControl w:val="0"/>
        <w:kinsoku/>
        <w:wordWrap/>
        <w:overflowPunct/>
        <w:topLinePunct w:val="0"/>
        <w:autoSpaceDE w:val="0"/>
        <w:autoSpaceDN w:val="0"/>
        <w:bidi w:val="0"/>
        <w:adjustRightInd/>
        <w:snapToGrid/>
        <w:spacing w:line="360" w:lineRule="exact"/>
        <w:ind w:firstLine="420"/>
        <w:jc w:val="left"/>
        <w:textAlignment w:val="auto"/>
        <w:rPr>
          <w:rFonts w:hint="eastAsia" w:ascii="宋体" w:hAnsi="宋体" w:eastAsia="宋体" w:cs="宋体"/>
          <w:kern w:val="2"/>
        </w:rPr>
      </w:pPr>
      <w:r>
        <w:rPr>
          <w:rFonts w:hint="eastAsia" w:ascii="宋体" w:hAnsi="宋体" w:eastAsia="宋体" w:cs="宋体"/>
          <w:kern w:val="2"/>
        </w:rPr>
        <w:t>本标准适用于我国熊胆粉生产及产地加工全过程。</w:t>
      </w:r>
    </w:p>
    <w:p>
      <w:pPr>
        <w:keepNext w:val="0"/>
        <w:keepLines w:val="0"/>
        <w:pageBreakBefore w:val="0"/>
        <w:widowControl/>
        <w:kinsoku/>
        <w:wordWrap/>
        <w:overflowPunct/>
        <w:topLinePunct w:val="0"/>
        <w:autoSpaceDE/>
        <w:autoSpaceDN/>
        <w:bidi w:val="0"/>
        <w:adjustRightInd/>
        <w:snapToGrid/>
        <w:spacing w:before="313" w:beforeLines="100" w:after="313" w:afterLines="100"/>
        <w:textAlignment w:val="auto"/>
        <w:outlineLvl w:val="0"/>
        <w:rPr>
          <w:rFonts w:eastAsia="Songti SC" w:cs="Times New Roman"/>
          <w:kern w:val="0"/>
        </w:rPr>
      </w:pPr>
      <w:bookmarkStart w:id="7" w:name="_Toc54094787"/>
      <w:r>
        <w:rPr>
          <w:rFonts w:hint="eastAsia" w:ascii="黑体" w:hAnsi="Times New Roman" w:eastAsia="黑体" w:cs="Times New Roman"/>
          <w:kern w:val="0"/>
          <w:sz w:val="21"/>
          <w:szCs w:val="20"/>
          <w:lang w:val="en-US" w:eastAsia="zh-CN" w:bidi="ar-SA"/>
        </w:rPr>
        <w:t>2 规范性引用文件</w:t>
      </w:r>
      <w:bookmarkEnd w:id="7"/>
      <w:r>
        <w:rPr>
          <w:rFonts w:eastAsia="Songti SC" w:cs="Times New Roman"/>
          <w:kern w:val="0"/>
        </w:rPr>
        <w:tab/>
      </w:r>
    </w:p>
    <w:p>
      <w:pPr>
        <w:pStyle w:val="20"/>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宋体" w:hAnsi="宋体" w:eastAsia="宋体" w:cs="宋体"/>
        </w:rPr>
      </w:pPr>
      <w:r>
        <w:rPr>
          <w:rFonts w:hint="eastAsia" w:ascii="宋体" w:hAnsi="宋体" w:eastAsia="宋体" w:cs="宋体"/>
        </w:rPr>
        <w:t>下列文件对于本文件的应用是必不可少的。凡是注日期的引用文件，仅注日期的版本适用于本文件。凡是不注日期的引用文件，其最新版本（包括所有的修改单）适用于本文件。</w:t>
      </w:r>
    </w:p>
    <w:p>
      <w:pPr>
        <w:pStyle w:val="20"/>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宋体" w:hAnsi="宋体" w:eastAsia="宋体" w:cs="宋体"/>
        </w:rPr>
      </w:pPr>
      <w:r>
        <w:rPr>
          <w:rFonts w:hint="eastAsia" w:ascii="宋体" w:hAnsi="宋体" w:eastAsia="宋体" w:cs="宋体"/>
        </w:rPr>
        <w:t>GB 5748 生活饮用水卫生标准</w:t>
      </w:r>
    </w:p>
    <w:p>
      <w:pPr>
        <w:pStyle w:val="20"/>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宋体" w:hAnsi="宋体" w:eastAsia="宋体" w:cs="宋体"/>
        </w:rPr>
      </w:pPr>
      <w:r>
        <w:rPr>
          <w:rFonts w:hint="eastAsia" w:ascii="宋体" w:hAnsi="宋体" w:eastAsia="宋体" w:cs="宋体"/>
        </w:rPr>
        <w:t>GB 13078 饲料卫生标准</w:t>
      </w:r>
    </w:p>
    <w:p>
      <w:pPr>
        <w:pStyle w:val="20"/>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宋体" w:hAnsi="宋体" w:eastAsia="宋体" w:cs="宋体"/>
        </w:rPr>
      </w:pPr>
      <w:r>
        <w:rPr>
          <w:rFonts w:hint="eastAsia" w:ascii="宋体" w:hAnsi="宋体" w:eastAsia="宋体" w:cs="宋体"/>
        </w:rPr>
        <w:t>GB 16548 病害动物和病害动物产品生物安全处理规程</w:t>
      </w:r>
    </w:p>
    <w:p>
      <w:pPr>
        <w:pStyle w:val="20"/>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宋体" w:hAnsi="宋体" w:eastAsia="宋体" w:cs="宋体"/>
        </w:rPr>
      </w:pPr>
      <w:r>
        <w:rPr>
          <w:rFonts w:hint="eastAsia" w:ascii="宋体" w:hAnsi="宋体" w:eastAsia="宋体" w:cs="宋体"/>
        </w:rPr>
        <w:t>GB 16764 配合饲料企业卫生规范</w:t>
      </w:r>
    </w:p>
    <w:p>
      <w:pPr>
        <w:pStyle w:val="20"/>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宋体" w:hAnsi="宋体" w:eastAsia="宋体" w:cs="宋体"/>
        </w:rPr>
      </w:pPr>
      <w:r>
        <w:rPr>
          <w:rFonts w:hint="eastAsia" w:ascii="宋体" w:hAnsi="宋体" w:eastAsia="宋体" w:cs="宋体"/>
        </w:rPr>
        <w:t>GB 18586 畜禽养殖业污染物防治技术规范</w:t>
      </w:r>
    </w:p>
    <w:p>
      <w:pPr>
        <w:pStyle w:val="20"/>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宋体" w:hAnsi="宋体" w:eastAsia="宋体" w:cs="宋体"/>
        </w:rPr>
      </w:pPr>
      <w:r>
        <w:rPr>
          <w:rFonts w:hint="eastAsia" w:ascii="宋体" w:hAnsi="宋体" w:eastAsia="宋体" w:cs="宋体"/>
        </w:rPr>
        <w:t>GB 50385 视频安防监控系统工程设计规范</w:t>
      </w:r>
    </w:p>
    <w:p>
      <w:pPr>
        <w:pStyle w:val="20"/>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宋体" w:hAnsi="宋体" w:eastAsia="宋体" w:cs="宋体"/>
        </w:rPr>
      </w:pPr>
      <w:r>
        <w:rPr>
          <w:rFonts w:hint="eastAsia" w:ascii="宋体" w:hAnsi="宋体" w:eastAsia="宋体" w:cs="宋体"/>
        </w:rPr>
        <w:t>GB 3095-2012 环境空气质量标准</w:t>
      </w:r>
    </w:p>
    <w:p>
      <w:pPr>
        <w:pStyle w:val="20"/>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宋体" w:hAnsi="宋体" w:eastAsia="宋体" w:cs="宋体"/>
        </w:rPr>
      </w:pPr>
      <w:r>
        <w:rPr>
          <w:rFonts w:hint="eastAsia" w:ascii="宋体" w:hAnsi="宋体" w:eastAsia="宋体" w:cs="宋体"/>
        </w:rPr>
        <w:t>SB/T 11183-2017 中药材产地加工技术规范</w:t>
      </w:r>
    </w:p>
    <w:p>
      <w:pPr>
        <w:pStyle w:val="20"/>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宋体" w:hAnsi="宋体" w:eastAsia="宋体" w:cs="宋体"/>
        </w:rPr>
      </w:pPr>
      <w:r>
        <w:rPr>
          <w:rFonts w:hint="eastAsia" w:ascii="宋体" w:hAnsi="宋体" w:eastAsia="宋体" w:cs="宋体"/>
        </w:rPr>
        <w:t>WS</w:t>
      </w:r>
      <w:r>
        <w:rPr>
          <w:rFonts w:hint="eastAsia" w:ascii="宋体" w:hAnsi="宋体" w:eastAsia="宋体" w:cs="宋体"/>
          <w:vertAlign w:val="subscript"/>
        </w:rPr>
        <w:softHyphen/>
      </w:r>
      <w:r>
        <w:rPr>
          <w:rFonts w:hint="eastAsia" w:ascii="宋体" w:hAnsi="宋体" w:eastAsia="宋体" w:cs="宋体"/>
          <w:vertAlign w:val="subscript"/>
        </w:rPr>
        <w:softHyphen/>
      </w:r>
      <w:r>
        <w:rPr>
          <w:rFonts w:hint="eastAsia" w:ascii="宋体" w:hAnsi="宋体" w:eastAsia="宋体" w:cs="宋体"/>
          <w:vertAlign w:val="subscript"/>
        </w:rPr>
        <w:t>3</w:t>
      </w:r>
      <w:r>
        <w:rPr>
          <w:rFonts w:hint="eastAsia" w:ascii="宋体" w:hAnsi="宋体" w:eastAsia="宋体" w:cs="宋体"/>
        </w:rPr>
        <w:t>-09（B-09）-96（Z）中华人民共和国卫生部部颁标准</w:t>
      </w:r>
    </w:p>
    <w:p>
      <w:pPr>
        <w:keepNext w:val="0"/>
        <w:keepLines w:val="0"/>
        <w:pageBreakBefore w:val="0"/>
        <w:widowControl/>
        <w:kinsoku/>
        <w:wordWrap/>
        <w:overflowPunct/>
        <w:topLinePunct w:val="0"/>
        <w:autoSpaceDE/>
        <w:autoSpaceDN/>
        <w:bidi w:val="0"/>
        <w:adjustRightInd/>
        <w:snapToGrid/>
        <w:spacing w:before="313" w:beforeLines="100" w:after="313" w:afterLines="100"/>
        <w:textAlignment w:val="auto"/>
        <w:outlineLvl w:val="0"/>
        <w:rPr>
          <w:rFonts w:hint="eastAsia" w:ascii="黑体" w:hAnsi="Times New Roman" w:eastAsia="黑体" w:cs="Times New Roman"/>
          <w:kern w:val="0"/>
          <w:sz w:val="21"/>
          <w:szCs w:val="20"/>
          <w:lang w:val="en-US" w:eastAsia="zh-CN" w:bidi="ar-SA"/>
        </w:rPr>
      </w:pPr>
      <w:bookmarkStart w:id="8" w:name="_Toc54094788"/>
      <w:r>
        <w:rPr>
          <w:rFonts w:hint="eastAsia" w:ascii="黑体" w:hAnsi="Times New Roman" w:eastAsia="黑体" w:cs="Times New Roman"/>
          <w:kern w:val="0"/>
          <w:sz w:val="21"/>
          <w:szCs w:val="20"/>
          <w:lang w:val="en-US" w:eastAsia="zh-CN" w:bidi="ar-SA"/>
        </w:rPr>
        <w:t>3 术语和定义</w:t>
      </w:r>
      <w:bookmarkEnd w:id="8"/>
      <w:r>
        <w:rPr>
          <w:rFonts w:hint="eastAsia" w:ascii="黑体" w:hAnsi="Times New Roman" w:eastAsia="黑体" w:cs="Times New Roman"/>
          <w:kern w:val="0"/>
          <w:sz w:val="21"/>
          <w:szCs w:val="20"/>
          <w:lang w:val="en-US" w:eastAsia="zh-CN" w:bidi="ar-SA"/>
        </w:rPr>
        <w:tab/>
      </w:r>
    </w:p>
    <w:p>
      <w:pPr>
        <w:pStyle w:val="20"/>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宋体" w:hAnsi="宋体" w:eastAsia="宋体" w:cs="宋体"/>
        </w:rPr>
      </w:pPr>
      <w:r>
        <w:rPr>
          <w:rFonts w:hint="eastAsia" w:ascii="宋体" w:hAnsi="宋体" w:eastAsia="宋体" w:cs="宋体"/>
        </w:rPr>
        <w:t>下列术语和定义适用于本文件。</w:t>
      </w:r>
    </w:p>
    <w:p>
      <w:pPr>
        <w:keepNext w:val="0"/>
        <w:keepLines w:val="0"/>
        <w:pageBreakBefore w:val="0"/>
        <w:widowControl w:val="0"/>
        <w:numPr>
          <w:ilvl w:val="1"/>
          <w:numId w:val="2"/>
        </w:numPr>
        <w:kinsoku/>
        <w:wordWrap/>
        <w:overflowPunct/>
        <w:topLinePunct w:val="0"/>
        <w:autoSpaceDE/>
        <w:autoSpaceDN/>
        <w:bidi w:val="0"/>
        <w:adjustRightInd/>
        <w:snapToGrid/>
        <w:spacing w:before="156" w:beforeLines="50" w:after="156" w:afterLines="50"/>
        <w:ind w:left="363" w:hanging="363"/>
        <w:textAlignment w:val="auto"/>
        <w:rPr>
          <w:rFonts w:eastAsia="Songti SC" w:cs="黑体"/>
          <w:color w:val="00000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20" w:firstLineChars="200"/>
        <w:textAlignment w:val="auto"/>
        <w:rPr>
          <w:rFonts w:hint="eastAsia" w:ascii="黑体" w:hAnsi="黑体" w:eastAsia="黑体" w:cs="黑体"/>
          <w:color w:val="000000"/>
        </w:rPr>
      </w:pPr>
      <w:r>
        <w:rPr>
          <w:rFonts w:hint="eastAsia" w:ascii="黑体" w:hAnsi="黑体" w:eastAsia="黑体" w:cs="黑体"/>
          <w:color w:val="000000"/>
        </w:rPr>
        <w:t>熊胆粉 PULVIS FELLIS URSI</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eastAsia="Songti SC" w:cs="Times New Roman"/>
          <w:color w:val="000000"/>
        </w:rPr>
      </w:pPr>
      <w:bookmarkStart w:id="9" w:name="_Toc8832690"/>
      <w:bookmarkStart w:id="10" w:name="_Toc12285263"/>
      <w:bookmarkStart w:id="11" w:name="_Toc12288824"/>
      <w:bookmarkStart w:id="12" w:name="_Toc12292494"/>
      <w:r>
        <w:rPr>
          <w:rFonts w:hint="eastAsia" w:ascii="宋体" w:hAnsi="宋体" w:eastAsia="宋体" w:cs="宋体"/>
          <w:kern w:val="0"/>
          <w:sz w:val="21"/>
          <w:szCs w:val="21"/>
          <w:lang w:val="en-US" w:eastAsia="zh-CN" w:bidi="ar-SA"/>
        </w:rPr>
        <w:t>熊科动物黑熊 Selenaretos thibetanus Cuvier 经胆囊手术引流胆汁而得的干燥品。</w:t>
      </w:r>
      <w:bookmarkEnd w:id="9"/>
      <w:bookmarkEnd w:id="10"/>
      <w:bookmarkEnd w:id="11"/>
      <w:bookmarkEnd w:id="12"/>
    </w:p>
    <w:p>
      <w:pPr>
        <w:numPr>
          <w:ilvl w:val="1"/>
          <w:numId w:val="2"/>
        </w:numPr>
        <w:spacing w:before="156" w:beforeLines="50" w:after="156" w:afterLines="50"/>
        <w:rPr>
          <w:rFonts w:eastAsia="Songti SC" w:cs="黑体"/>
          <w:color w:val="00000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20" w:firstLineChars="200"/>
        <w:textAlignment w:val="auto"/>
        <w:rPr>
          <w:rFonts w:hint="eastAsia" w:ascii="黑体" w:hAnsi="黑体" w:eastAsia="黑体" w:cs="黑体"/>
          <w:color w:val="000000"/>
        </w:rPr>
      </w:pPr>
      <w:r>
        <w:rPr>
          <w:rFonts w:hint="eastAsia" w:ascii="黑体" w:hAnsi="黑体" w:eastAsia="黑体" w:cs="黑体"/>
          <w:color w:val="000000"/>
        </w:rPr>
        <w:t>幼熊 infant bear</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出生至6月龄的黑熊。</w:t>
      </w:r>
    </w:p>
    <w:p>
      <w:pPr>
        <w:numPr>
          <w:ilvl w:val="1"/>
          <w:numId w:val="2"/>
        </w:numPr>
        <w:spacing w:before="156" w:beforeLines="50" w:after="156" w:afterLines="50"/>
        <w:rPr>
          <w:rFonts w:eastAsia="Songti SC" w:cs="黑体"/>
          <w:color w:val="00000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20" w:firstLineChars="200"/>
        <w:textAlignment w:val="auto"/>
        <w:rPr>
          <w:rFonts w:hint="eastAsia" w:ascii="黑体" w:hAnsi="黑体" w:eastAsia="黑体" w:cs="黑体"/>
          <w:color w:val="000000"/>
        </w:rPr>
      </w:pPr>
      <w:r>
        <w:rPr>
          <w:rFonts w:hint="eastAsia" w:ascii="黑体" w:hAnsi="黑体" w:eastAsia="黑体" w:cs="黑体"/>
          <w:color w:val="000000"/>
        </w:rPr>
        <w:t>育</w:t>
      </w:r>
      <w:r>
        <w:rPr>
          <w:rFonts w:hint="eastAsia" w:ascii="黑体" w:hAnsi="黑体" w:eastAsia="黑体" w:cs="黑体"/>
          <w:b w:val="0"/>
          <w:bCs w:val="0"/>
          <w:color w:val="000000"/>
        </w:rPr>
        <w:t>成熊 bre</w:t>
      </w:r>
      <w:r>
        <w:rPr>
          <w:rFonts w:hint="eastAsia" w:ascii="黑体" w:hAnsi="黑体" w:eastAsia="黑体" w:cs="黑体"/>
          <w:color w:val="000000"/>
        </w:rPr>
        <w:t>eding bear</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6月龄至36月龄的黑熊。</w:t>
      </w:r>
    </w:p>
    <w:p>
      <w:pPr>
        <w:numPr>
          <w:ilvl w:val="1"/>
          <w:numId w:val="2"/>
        </w:numPr>
        <w:spacing w:before="156" w:beforeLines="50" w:after="156" w:afterLines="50"/>
        <w:rPr>
          <w:rFonts w:eastAsia="Songti SC" w:cs="黑体"/>
          <w:color w:val="00000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20" w:firstLineChars="200"/>
        <w:textAlignment w:val="auto"/>
        <w:rPr>
          <w:rFonts w:hint="eastAsia" w:ascii="黑体" w:hAnsi="黑体" w:eastAsia="黑体" w:cs="黑体"/>
          <w:b w:val="0"/>
          <w:bCs w:val="0"/>
          <w:color w:val="000000"/>
        </w:rPr>
      </w:pPr>
      <w:r>
        <w:rPr>
          <w:rFonts w:hint="eastAsia" w:ascii="黑体" w:hAnsi="黑体" w:eastAsia="黑体" w:cs="黑体"/>
          <w:b w:val="0"/>
          <w:bCs w:val="0"/>
          <w:color w:val="000000"/>
        </w:rPr>
        <w:t>成年熊 adult bear</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36月龄以上的黑熊。</w:t>
      </w:r>
    </w:p>
    <w:p>
      <w:pPr>
        <w:numPr>
          <w:ilvl w:val="1"/>
          <w:numId w:val="2"/>
        </w:numPr>
        <w:spacing w:before="156" w:beforeLines="50" w:after="156" w:afterLines="50"/>
        <w:rPr>
          <w:rFonts w:eastAsia="Songti SC" w:cs="黑体"/>
          <w:color w:val="00000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20" w:firstLineChars="200"/>
        <w:textAlignment w:val="auto"/>
        <w:rPr>
          <w:rFonts w:hint="eastAsia" w:ascii="黑体" w:hAnsi="黑体" w:eastAsia="黑体" w:cs="黑体"/>
          <w:b w:val="0"/>
          <w:bCs w:val="0"/>
          <w:color w:val="000000"/>
        </w:rPr>
      </w:pPr>
      <w:r>
        <w:rPr>
          <w:rFonts w:hint="eastAsia" w:ascii="黑体" w:hAnsi="黑体" w:eastAsia="黑体" w:cs="黑体"/>
          <w:b w:val="0"/>
          <w:bCs w:val="0"/>
          <w:color w:val="000000"/>
        </w:rPr>
        <w:t>养老黑熊 old-age bear</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老年、不能繁殖、不能引流取胆汁、重度残疾的黑熊。</w:t>
      </w:r>
    </w:p>
    <w:p>
      <w:pPr>
        <w:keepNext w:val="0"/>
        <w:keepLines w:val="0"/>
        <w:pageBreakBefore w:val="0"/>
        <w:widowControl/>
        <w:kinsoku/>
        <w:wordWrap/>
        <w:overflowPunct/>
        <w:topLinePunct w:val="0"/>
        <w:autoSpaceDE/>
        <w:autoSpaceDN/>
        <w:bidi w:val="0"/>
        <w:adjustRightInd/>
        <w:snapToGrid/>
        <w:spacing w:before="313" w:beforeLines="100" w:after="313" w:afterLines="100"/>
        <w:textAlignment w:val="auto"/>
        <w:outlineLvl w:val="0"/>
        <w:rPr>
          <w:rFonts w:hint="eastAsia" w:ascii="黑体" w:hAnsi="Times New Roman" w:eastAsia="黑体" w:cs="Times New Roman"/>
          <w:kern w:val="0"/>
          <w:sz w:val="21"/>
          <w:szCs w:val="20"/>
          <w:lang w:val="en-US" w:eastAsia="zh-CN" w:bidi="ar-SA"/>
        </w:rPr>
      </w:pPr>
      <w:bookmarkStart w:id="13" w:name="_Toc54094789"/>
      <w:r>
        <w:rPr>
          <w:rFonts w:hint="eastAsia" w:ascii="黑体" w:hAnsi="Times New Roman" w:eastAsia="黑体" w:cs="Times New Roman"/>
          <w:kern w:val="0"/>
          <w:sz w:val="21"/>
          <w:szCs w:val="20"/>
          <w:lang w:val="en-US" w:eastAsia="zh-CN" w:bidi="ar-SA"/>
        </w:rPr>
        <w:t>4 场址选择与功能区划</w:t>
      </w:r>
      <w:bookmarkEnd w:id="13"/>
    </w:p>
    <w:p>
      <w:pPr>
        <w:pStyle w:val="24"/>
        <w:spacing w:before="156" w:beforeLines="50" w:after="156" w:afterLines="50"/>
        <w:rPr>
          <w:rFonts w:hint="eastAsia" w:ascii="黑体" w:cs="Times New Roman"/>
          <w:kern w:val="0"/>
        </w:rPr>
      </w:pPr>
      <w:r>
        <w:rPr>
          <w:rFonts w:hint="eastAsia" w:ascii="黑体" w:cs="Times New Roman"/>
          <w:kern w:val="0"/>
        </w:rPr>
        <w:t>4.1场址选择</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养殖场地应选在避风向阳，地势平坦或坡度较小的地方；交通便利，远离主干道；水、电、通讯供给保障；无噪音、离聚居区500 m以上、非畜(禽)疫区。在900 m以内无大型的养殖场和牧场，无大型有污染企业，应符合GB/T 19525.2</w:t>
      </w:r>
      <w:r>
        <w:rPr>
          <w:rFonts w:hint="eastAsia" w:ascii="宋体" w:hAnsi="宋体" w:cs="宋体"/>
          <w:kern w:val="0"/>
          <w:sz w:val="21"/>
          <w:szCs w:val="21"/>
          <w:lang w:val="en-US" w:eastAsia="zh-CN" w:bidi="ar-SA"/>
        </w:rPr>
        <w:t xml:space="preserve"> </w:t>
      </w:r>
      <w:r>
        <w:rPr>
          <w:rFonts w:hint="eastAsia" w:ascii="宋体" w:hAnsi="宋体" w:eastAsia="宋体" w:cs="宋体"/>
          <w:kern w:val="0"/>
          <w:sz w:val="21"/>
          <w:szCs w:val="21"/>
          <w:lang w:val="en-US" w:eastAsia="zh-CN" w:bidi="ar-SA"/>
        </w:rPr>
        <w:t>畜禽场环境质量评价准则的相关规定。</w:t>
      </w:r>
    </w:p>
    <w:p>
      <w:pPr>
        <w:pStyle w:val="24"/>
        <w:spacing w:before="156" w:beforeLines="50" w:after="156" w:afterLines="50"/>
        <w:rPr>
          <w:rFonts w:hint="eastAsia" w:ascii="黑体" w:cs="Times New Roman"/>
          <w:kern w:val="0"/>
          <w:lang w:val="en-US" w:eastAsia="zh-CN"/>
        </w:rPr>
      </w:pPr>
      <w:r>
        <w:rPr>
          <w:rFonts w:hint="eastAsia" w:ascii="黑体" w:cs="Times New Roman"/>
          <w:kern w:val="0"/>
          <w:lang w:val="en-US" w:eastAsia="zh-CN"/>
        </w:rPr>
        <w:t>4.2 场区布局</w:t>
      </w:r>
    </w:p>
    <w:p>
      <w:pPr>
        <w:pStyle w:val="24"/>
        <w:spacing w:before="156" w:beforeLines="50" w:after="156" w:afterLines="50"/>
        <w:rPr>
          <w:rFonts w:hint="eastAsia" w:ascii="黑体" w:cs="Times New Roman"/>
          <w:kern w:val="0"/>
        </w:rPr>
      </w:pPr>
      <w:r>
        <w:rPr>
          <w:rFonts w:hint="eastAsia" w:ascii="黑体" w:cs="Times New Roman"/>
          <w:kern w:val="0"/>
        </w:rPr>
        <w:t>4.2.1 布局原则</w:t>
      </w:r>
    </w:p>
    <w:p>
      <w:pPr>
        <w:pStyle w:val="20"/>
        <w:keepNext w:val="0"/>
        <w:keepLines w:val="0"/>
        <w:pageBreakBefore w:val="0"/>
        <w:widowControl/>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功能区划明确，流程方便生产、管理，区域相对独立，排污通畅，设置安全应急通道，符合防疫要求为原则。</w:t>
      </w:r>
    </w:p>
    <w:p>
      <w:pPr>
        <w:pStyle w:val="24"/>
        <w:spacing w:before="156" w:beforeLines="50" w:after="156" w:afterLines="50"/>
        <w:rPr>
          <w:rFonts w:hint="eastAsia" w:ascii="黑体" w:cs="Times New Roman"/>
          <w:kern w:val="0"/>
          <w:lang w:val="en-US" w:eastAsia="zh-CN"/>
        </w:rPr>
      </w:pPr>
      <w:r>
        <w:rPr>
          <w:rFonts w:hint="eastAsia" w:ascii="黑体" w:cs="Times New Roman"/>
          <w:kern w:val="0"/>
          <w:lang w:val="en-US" w:eastAsia="zh-CN"/>
        </w:rPr>
        <w:t>4.2.2 场区划分</w:t>
      </w:r>
    </w:p>
    <w:p>
      <w:pPr>
        <w:pStyle w:val="20"/>
        <w:keepNext w:val="0"/>
        <w:keepLines w:val="0"/>
        <w:pageBreakBefore w:val="0"/>
        <w:widowControl/>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分为养殖管理区和熊胆粉生产区，其中，养殖管理区细分为管理区、辅助养殖区、养殖区污物处置区等。管理区包括办公室、职工生活区、产品加工区等。辅助养殖区用于饲料储存、加工，手术治疗室等，位于管理区和养殖生产区之间。饲养区为黑熊养殖区域，分为幼熊和育成熊养殖区、繁殖区、引流取胆区和养老区。每个区域均由熊舍和运动场组成。污物处置区是污水、粪便处理，垃圾暂存的区域，前连生产区，后与场区外界相通。熊胆粉生产区是将引流的熊胆汁加工成熊胆粉的区域，这个区域需要与养殖区域隔离成独立的区域，具体要求应符合 WS</w:t>
      </w:r>
      <w:r>
        <w:rPr>
          <w:rFonts w:hint="eastAsia" w:ascii="宋体" w:hAnsi="宋体" w:eastAsia="宋体" w:cs="宋体"/>
          <w:kern w:val="0"/>
          <w:sz w:val="21"/>
          <w:szCs w:val="21"/>
          <w:vertAlign w:val="subscript"/>
          <w:lang w:val="en-US" w:eastAsia="zh-CN" w:bidi="ar-SA"/>
        </w:rPr>
        <w:softHyphen/>
      </w:r>
      <w:r>
        <w:rPr>
          <w:rFonts w:hint="eastAsia" w:ascii="宋体" w:hAnsi="宋体" w:eastAsia="宋体" w:cs="宋体"/>
          <w:kern w:val="0"/>
          <w:sz w:val="21"/>
          <w:szCs w:val="21"/>
          <w:vertAlign w:val="subscript"/>
          <w:lang w:val="en-US" w:eastAsia="zh-CN" w:bidi="ar-SA"/>
        </w:rPr>
        <w:softHyphen/>
      </w:r>
      <w:r>
        <w:rPr>
          <w:rFonts w:hint="eastAsia" w:ascii="宋体" w:hAnsi="宋体" w:eastAsia="宋体" w:cs="宋体"/>
          <w:kern w:val="0"/>
          <w:sz w:val="21"/>
          <w:szCs w:val="21"/>
          <w:vertAlign w:val="subscript"/>
          <w:lang w:val="en-US" w:eastAsia="zh-CN" w:bidi="ar-SA"/>
        </w:rPr>
        <w:t>3</w:t>
      </w:r>
      <w:r>
        <w:rPr>
          <w:rFonts w:hint="eastAsia" w:ascii="宋体" w:hAnsi="宋体" w:eastAsia="宋体" w:cs="宋体"/>
          <w:kern w:val="0"/>
          <w:sz w:val="21"/>
          <w:szCs w:val="21"/>
          <w:lang w:val="en-US" w:eastAsia="zh-CN" w:bidi="ar-SA"/>
        </w:rPr>
        <w:t>-09（B-09）-96（Z）中华人民共和国卫生部部颁标准的相关规定。</w:t>
      </w:r>
    </w:p>
    <w:p>
      <w:pPr>
        <w:pStyle w:val="24"/>
        <w:spacing w:before="156" w:beforeLines="50" w:after="156" w:afterLines="50"/>
        <w:rPr>
          <w:rFonts w:hint="eastAsia" w:ascii="黑体" w:cs="Times New Roman"/>
          <w:kern w:val="0"/>
          <w:lang w:val="en-US" w:eastAsia="zh-CN"/>
        </w:rPr>
      </w:pPr>
      <w:r>
        <w:rPr>
          <w:rFonts w:hint="eastAsia" w:ascii="黑体" w:cs="Times New Roman"/>
          <w:kern w:val="0"/>
          <w:lang w:val="en-US" w:eastAsia="zh-CN"/>
        </w:rPr>
        <w:t>4.3主要设施</w:t>
      </w:r>
      <w:r>
        <w:rPr>
          <w:rFonts w:hint="eastAsia" w:ascii="黑体" w:cs="Times New Roman"/>
          <w:kern w:val="0"/>
          <w:lang w:val="en-US" w:eastAsia="zh-CN"/>
        </w:rPr>
        <w:tab/>
      </w:r>
    </w:p>
    <w:p>
      <w:pPr>
        <w:pStyle w:val="24"/>
        <w:spacing w:before="156" w:beforeLines="50" w:after="156" w:afterLines="50"/>
        <w:rPr>
          <w:rFonts w:hint="eastAsia" w:ascii="黑体" w:cs="Times New Roman"/>
          <w:kern w:val="0"/>
          <w:lang w:val="en-US" w:eastAsia="zh-CN"/>
        </w:rPr>
      </w:pPr>
      <w:r>
        <w:rPr>
          <w:rFonts w:hint="eastAsia" w:ascii="黑体" w:cs="Times New Roman"/>
          <w:kern w:val="0"/>
          <w:lang w:val="en-US" w:eastAsia="zh-CN"/>
        </w:rPr>
        <w:t>4.3.1 熊舍</w:t>
      </w:r>
    </w:p>
    <w:p>
      <w:pPr>
        <w:pStyle w:val="20"/>
        <w:keepNext w:val="0"/>
        <w:keepLines w:val="0"/>
        <w:pageBreakBefore w:val="0"/>
        <w:widowControl/>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净高不低于3 m的室内加固型建筑物，面积大于3m</w:t>
      </w:r>
      <w:r>
        <w:rPr>
          <w:rFonts w:hint="eastAsia" w:ascii="宋体" w:hAnsi="宋体" w:eastAsia="宋体" w:cs="宋体"/>
          <w:kern w:val="0"/>
          <w:sz w:val="21"/>
          <w:szCs w:val="21"/>
          <w:vertAlign w:val="superscript"/>
          <w:lang w:val="en-US" w:eastAsia="zh-CN" w:bidi="ar-SA"/>
        </w:rPr>
        <w:t>2</w:t>
      </w:r>
      <w:r>
        <w:rPr>
          <w:rFonts w:hint="eastAsia" w:ascii="宋体" w:hAnsi="宋体" w:eastAsia="宋体" w:cs="宋体"/>
          <w:kern w:val="0"/>
          <w:sz w:val="21"/>
          <w:szCs w:val="21"/>
          <w:lang w:val="en-US" w:eastAsia="zh-CN" w:bidi="ar-SA"/>
        </w:rPr>
        <w:t>；或室内设置钢架养殖笼，大于长2m×宽0.8m×高2m。</w:t>
      </w:r>
    </w:p>
    <w:p>
      <w:pPr>
        <w:pStyle w:val="24"/>
        <w:spacing w:before="156" w:beforeLines="50" w:after="156" w:afterLines="50"/>
        <w:rPr>
          <w:rFonts w:hint="eastAsia" w:ascii="黑体" w:cs="Times New Roman"/>
          <w:kern w:val="0"/>
          <w:lang w:val="en-US" w:eastAsia="zh-CN"/>
        </w:rPr>
      </w:pPr>
      <w:r>
        <w:rPr>
          <w:rFonts w:hint="eastAsia" w:ascii="黑体" w:cs="Times New Roman"/>
          <w:kern w:val="0"/>
          <w:lang w:val="en-US" w:eastAsia="zh-CN"/>
        </w:rPr>
        <w:t>4.3.2 运动场</w:t>
      </w:r>
    </w:p>
    <w:p>
      <w:pPr>
        <w:pStyle w:val="20"/>
        <w:keepNext w:val="0"/>
        <w:keepLines w:val="0"/>
        <w:pageBreakBefore w:val="0"/>
        <w:widowControl/>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平均每头成熊活动面积不低于20m</w:t>
      </w:r>
      <w:r>
        <w:rPr>
          <w:rFonts w:hint="eastAsia" w:ascii="宋体" w:hAnsi="宋体" w:eastAsia="宋体" w:cs="宋体"/>
          <w:kern w:val="0"/>
          <w:sz w:val="21"/>
          <w:szCs w:val="21"/>
          <w:vertAlign w:val="superscript"/>
          <w:lang w:val="en-US" w:eastAsia="zh-CN" w:bidi="ar-SA"/>
        </w:rPr>
        <w:t>2</w:t>
      </w:r>
      <w:r>
        <w:rPr>
          <w:rFonts w:hint="eastAsia" w:ascii="宋体" w:hAnsi="宋体" w:eastAsia="宋体" w:cs="宋体"/>
          <w:kern w:val="0"/>
          <w:sz w:val="21"/>
          <w:szCs w:val="21"/>
          <w:lang w:val="en-US" w:eastAsia="zh-CN" w:bidi="ar-SA"/>
        </w:rPr>
        <w:t>，单个运动场的面积不低于200 m</w:t>
      </w:r>
      <w:r>
        <w:rPr>
          <w:rFonts w:hint="eastAsia" w:ascii="宋体" w:hAnsi="宋体" w:eastAsia="宋体" w:cs="宋体"/>
          <w:kern w:val="0"/>
          <w:sz w:val="21"/>
          <w:szCs w:val="21"/>
          <w:vertAlign w:val="superscript"/>
          <w:lang w:val="en-US" w:eastAsia="zh-CN" w:bidi="ar-SA"/>
        </w:rPr>
        <w:t>2</w:t>
      </w:r>
      <w:r>
        <w:rPr>
          <w:rFonts w:hint="eastAsia" w:ascii="宋体" w:hAnsi="宋体" w:eastAsia="宋体" w:cs="宋体"/>
          <w:kern w:val="0"/>
          <w:sz w:val="21"/>
          <w:szCs w:val="21"/>
          <w:lang w:val="en-US" w:eastAsia="zh-CN" w:bidi="ar-SA"/>
        </w:rPr>
        <w:t>。运动场与熊舍相接，由拉闸门隔断。运动场为水泥地面，内设戏水池及游玩设施。</w:t>
      </w:r>
    </w:p>
    <w:p>
      <w:pPr>
        <w:pStyle w:val="24"/>
        <w:spacing w:before="156" w:beforeLines="50" w:after="156" w:afterLines="50"/>
        <w:rPr>
          <w:rFonts w:hint="eastAsia" w:ascii="黑体" w:cs="Times New Roman"/>
          <w:b w:val="0"/>
          <w:bCs w:val="0"/>
          <w:kern w:val="0"/>
          <w:lang w:val="en-US" w:eastAsia="zh-CN"/>
        </w:rPr>
      </w:pPr>
      <w:r>
        <w:rPr>
          <w:rFonts w:hint="eastAsia" w:ascii="黑体" w:cs="Times New Roman"/>
          <w:b w:val="0"/>
          <w:bCs w:val="0"/>
          <w:kern w:val="0"/>
          <w:lang w:val="en-US" w:eastAsia="zh-CN"/>
        </w:rPr>
        <w:t>4.3.3 饲料房</w:t>
      </w:r>
    </w:p>
    <w:p>
      <w:pPr>
        <w:pStyle w:val="20"/>
        <w:keepNext w:val="0"/>
        <w:keepLines w:val="0"/>
        <w:pageBreakBefore w:val="0"/>
        <w:widowControl/>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分为原料储存、粉碎搅拌、熟化间，使用膨化设备熟化饲料，置于粉碎搅拌间。</w:t>
      </w:r>
    </w:p>
    <w:p>
      <w:pPr>
        <w:pStyle w:val="24"/>
        <w:spacing w:before="156" w:beforeLines="50" w:after="156" w:afterLines="50"/>
        <w:rPr>
          <w:rFonts w:hint="eastAsia" w:ascii="黑体" w:cs="Times New Roman"/>
          <w:b w:val="0"/>
          <w:bCs w:val="0"/>
          <w:kern w:val="0"/>
          <w:lang w:val="en-US" w:eastAsia="zh-CN"/>
        </w:rPr>
      </w:pPr>
      <w:r>
        <w:rPr>
          <w:rFonts w:hint="eastAsia" w:ascii="黑体" w:cs="Times New Roman"/>
          <w:b w:val="0"/>
          <w:bCs w:val="0"/>
          <w:kern w:val="0"/>
          <w:lang w:val="en-US" w:eastAsia="zh-CN"/>
        </w:rPr>
        <w:t>4.3.4 手术治疗室</w:t>
      </w:r>
    </w:p>
    <w:p>
      <w:pPr>
        <w:pStyle w:val="20"/>
        <w:keepNext w:val="0"/>
        <w:keepLines w:val="0"/>
        <w:pageBreakBefore w:val="0"/>
        <w:widowControl/>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设置有缓冲间、更衣间、准备间、清洗间、手术间，人流、动物流分道，符合无菌环境合理布局的手术室。手术室有手术床、基本的医疗器械和药品。</w:t>
      </w:r>
    </w:p>
    <w:p>
      <w:pPr>
        <w:pStyle w:val="24"/>
        <w:spacing w:before="156" w:beforeLines="50" w:after="156" w:afterLines="50"/>
        <w:rPr>
          <w:rFonts w:hint="eastAsia" w:ascii="黑体" w:cs="Times New Roman"/>
          <w:b w:val="0"/>
          <w:bCs w:val="0"/>
          <w:kern w:val="0"/>
          <w:lang w:val="en-US" w:eastAsia="zh-CN"/>
        </w:rPr>
      </w:pPr>
      <w:r>
        <w:rPr>
          <w:rFonts w:hint="eastAsia" w:ascii="黑体" w:cs="Times New Roman"/>
          <w:b w:val="0"/>
          <w:bCs w:val="0"/>
          <w:kern w:val="0"/>
          <w:lang w:val="en-US" w:eastAsia="zh-CN"/>
        </w:rPr>
        <w:t>4.3.5 采食工具</w:t>
      </w:r>
    </w:p>
    <w:p>
      <w:pPr>
        <w:pStyle w:val="20"/>
        <w:keepNext w:val="0"/>
        <w:keepLines w:val="0"/>
        <w:pageBreakBefore w:val="0"/>
        <w:widowControl/>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食槽、饮水槽用厚的铝板或不锈钢板制成。</w:t>
      </w:r>
    </w:p>
    <w:p>
      <w:pPr>
        <w:pStyle w:val="24"/>
        <w:spacing w:before="156" w:beforeLines="50" w:after="156" w:afterLines="50"/>
        <w:rPr>
          <w:rFonts w:hint="eastAsia" w:ascii="黑体" w:cs="Times New Roman"/>
          <w:b w:val="0"/>
          <w:bCs w:val="0"/>
          <w:kern w:val="0"/>
          <w:lang w:val="en-US" w:eastAsia="zh-CN"/>
        </w:rPr>
      </w:pPr>
      <w:r>
        <w:rPr>
          <w:rFonts w:hint="eastAsia" w:ascii="黑体" w:cs="Times New Roman"/>
          <w:b w:val="0"/>
          <w:bCs w:val="0"/>
          <w:kern w:val="0"/>
          <w:lang w:val="en-US" w:eastAsia="zh-CN"/>
        </w:rPr>
        <w:t>4.3.6 引流取胆笼</w:t>
      </w:r>
    </w:p>
    <w:p>
      <w:pPr>
        <w:pStyle w:val="20"/>
        <w:keepNext w:val="0"/>
        <w:keepLines w:val="0"/>
        <w:pageBreakBefore w:val="0"/>
        <w:widowControl/>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钢架笼，框架角钢型号不小于50 mm×5 mm，笼隔圆钢直径14 mm以上，笼内大于长160 cm×宽80 cm×高170 cm，隔条圆钢间距不大于5 cm，脚高80 cm。笼子与运动场相接，以拉闸钢条门隔离。</w:t>
      </w:r>
    </w:p>
    <w:p>
      <w:pPr>
        <w:pStyle w:val="24"/>
        <w:spacing w:before="156" w:beforeLines="50" w:after="156" w:afterLines="50"/>
        <w:rPr>
          <w:rFonts w:hint="eastAsia" w:ascii="黑体" w:cs="Times New Roman"/>
          <w:b w:val="0"/>
          <w:bCs w:val="0"/>
          <w:kern w:val="0"/>
          <w:lang w:val="en-US" w:eastAsia="zh-CN"/>
        </w:rPr>
      </w:pPr>
      <w:r>
        <w:rPr>
          <w:rFonts w:hint="eastAsia" w:ascii="黑体" w:cs="Times New Roman"/>
          <w:b w:val="0"/>
          <w:bCs w:val="0"/>
          <w:kern w:val="0"/>
          <w:lang w:val="en-US" w:eastAsia="zh-CN"/>
        </w:rPr>
        <w:t>4.3.7 污物处理设施</w:t>
      </w:r>
    </w:p>
    <w:p>
      <w:pPr>
        <w:pStyle w:val="20"/>
        <w:keepNext w:val="0"/>
        <w:keepLines w:val="0"/>
        <w:pageBreakBefore w:val="0"/>
        <w:widowControl/>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沼气池或污水处理设施，处理污水；粪便堆放发酵池，处理粪便；封闭专用医疗垃圾桶，暂存医疗废物；冰柜，暂存非传染病死亡熊尸体及组织。</w:t>
      </w:r>
    </w:p>
    <w:p>
      <w:pPr>
        <w:pStyle w:val="24"/>
        <w:spacing w:before="156" w:beforeLines="50" w:after="156" w:afterLines="50"/>
        <w:rPr>
          <w:rFonts w:hint="eastAsia" w:ascii="黑体" w:cs="Times New Roman"/>
          <w:b w:val="0"/>
          <w:bCs w:val="0"/>
          <w:kern w:val="0"/>
          <w:lang w:val="en-US" w:eastAsia="zh-CN"/>
        </w:rPr>
      </w:pPr>
      <w:r>
        <w:rPr>
          <w:rFonts w:hint="eastAsia" w:ascii="黑体" w:cs="Times New Roman"/>
          <w:b w:val="0"/>
          <w:bCs w:val="0"/>
          <w:kern w:val="0"/>
          <w:lang w:val="en-US" w:eastAsia="zh-CN"/>
        </w:rPr>
        <w:t>4.3.8 监控设施</w:t>
      </w:r>
    </w:p>
    <w:p>
      <w:pPr>
        <w:pStyle w:val="20"/>
        <w:keepNext w:val="0"/>
        <w:keepLines w:val="0"/>
        <w:pageBreakBefore w:val="0"/>
        <w:widowControl/>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养殖区设置视频监控，数据自动滚动储存，保存时间20</w:t>
      </w:r>
      <w:r>
        <w:rPr>
          <w:rFonts w:hint="eastAsia" w:hAnsi="宋体" w:eastAsia="宋体" w:cs="宋体"/>
          <w:kern w:val="0"/>
          <w:sz w:val="21"/>
          <w:szCs w:val="21"/>
          <w:lang w:val="en-US" w:eastAsia="zh-CN" w:bidi="ar-SA"/>
        </w:rPr>
        <w:t>d</w:t>
      </w:r>
      <w:r>
        <w:rPr>
          <w:rFonts w:hint="eastAsia" w:ascii="宋体" w:hAnsi="宋体" w:eastAsia="宋体" w:cs="宋体"/>
          <w:kern w:val="0"/>
          <w:sz w:val="21"/>
          <w:szCs w:val="21"/>
          <w:lang w:val="en-US" w:eastAsia="zh-CN" w:bidi="ar-SA"/>
        </w:rPr>
        <w:t>以上。</w:t>
      </w:r>
    </w:p>
    <w:p>
      <w:pPr>
        <w:keepNext w:val="0"/>
        <w:keepLines w:val="0"/>
        <w:pageBreakBefore w:val="0"/>
        <w:widowControl/>
        <w:kinsoku/>
        <w:wordWrap/>
        <w:overflowPunct/>
        <w:topLinePunct w:val="0"/>
        <w:autoSpaceDE/>
        <w:autoSpaceDN/>
        <w:bidi w:val="0"/>
        <w:adjustRightInd/>
        <w:snapToGrid/>
        <w:spacing w:before="313" w:beforeLines="100" w:after="313" w:afterLines="100"/>
        <w:textAlignment w:val="auto"/>
        <w:outlineLvl w:val="0"/>
        <w:rPr>
          <w:rFonts w:hint="eastAsia" w:ascii="黑体" w:hAnsi="Times New Roman" w:eastAsia="黑体" w:cs="Times New Roman"/>
          <w:kern w:val="0"/>
          <w:sz w:val="21"/>
          <w:szCs w:val="20"/>
          <w:lang w:val="en-US" w:eastAsia="zh-CN" w:bidi="ar-SA"/>
        </w:rPr>
      </w:pPr>
      <w:bookmarkStart w:id="14" w:name="_Toc54094790"/>
      <w:r>
        <w:rPr>
          <w:rFonts w:hint="eastAsia" w:ascii="黑体" w:hAnsi="Times New Roman" w:eastAsia="黑体" w:cs="Times New Roman"/>
          <w:kern w:val="0"/>
          <w:sz w:val="21"/>
          <w:szCs w:val="20"/>
          <w:lang w:val="en-US" w:eastAsia="zh-CN" w:bidi="ar-SA"/>
        </w:rPr>
        <w:t>5 饲养投入品</w:t>
      </w:r>
      <w:bookmarkEnd w:id="14"/>
    </w:p>
    <w:p>
      <w:pPr>
        <w:pStyle w:val="24"/>
        <w:spacing w:before="156" w:beforeLines="50" w:after="156" w:afterLines="50"/>
        <w:rPr>
          <w:rFonts w:hint="eastAsia" w:ascii="黑体" w:cs="Times New Roman"/>
          <w:b w:val="0"/>
          <w:bCs w:val="0"/>
          <w:kern w:val="0"/>
          <w:lang w:val="en-US" w:eastAsia="zh-CN"/>
        </w:rPr>
      </w:pPr>
      <w:r>
        <w:rPr>
          <w:rFonts w:hint="eastAsia" w:ascii="黑体" w:cs="Times New Roman"/>
          <w:b w:val="0"/>
          <w:bCs w:val="0"/>
          <w:kern w:val="0"/>
          <w:lang w:val="en-US" w:eastAsia="zh-CN"/>
        </w:rPr>
        <w:t>5.1营养需求</w:t>
      </w:r>
    </w:p>
    <w:p>
      <w:pPr>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黑熊营养需求参见附录A中表。</w:t>
      </w:r>
    </w:p>
    <w:p>
      <w:pPr>
        <w:pStyle w:val="24"/>
        <w:spacing w:before="156" w:beforeLines="50" w:after="156" w:afterLines="50"/>
        <w:rPr>
          <w:rFonts w:hint="eastAsia" w:ascii="黑体" w:cs="Times New Roman"/>
          <w:b w:val="0"/>
          <w:bCs w:val="0"/>
          <w:kern w:val="0"/>
          <w:lang w:val="en-US" w:eastAsia="zh-CN"/>
        </w:rPr>
      </w:pPr>
      <w:r>
        <w:rPr>
          <w:rFonts w:hint="eastAsia" w:ascii="黑体" w:cs="Times New Roman"/>
          <w:b w:val="0"/>
          <w:bCs w:val="0"/>
          <w:kern w:val="0"/>
          <w:lang w:val="en-US" w:eastAsia="zh-CN"/>
        </w:rPr>
        <w:t>5.2饲料种类</w:t>
      </w:r>
    </w:p>
    <w:p>
      <w:pPr>
        <w:pStyle w:val="20"/>
        <w:keepNext w:val="0"/>
        <w:keepLines w:val="0"/>
        <w:pageBreakBefore w:val="0"/>
        <w:widowControl/>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能量饲料：玉米、小麦、大麦、大米、高粱、小米等。</w:t>
      </w:r>
    </w:p>
    <w:p>
      <w:pPr>
        <w:pStyle w:val="20"/>
        <w:keepNext w:val="0"/>
        <w:keepLines w:val="0"/>
        <w:pageBreakBefore w:val="0"/>
        <w:widowControl/>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青绿多汁饲料：莴笋、黄瓜、南瓜、胡萝卜、西红柿、红薯、西瓜、苹果等。</w:t>
      </w:r>
    </w:p>
    <w:p>
      <w:pPr>
        <w:pStyle w:val="20"/>
        <w:keepNext w:val="0"/>
        <w:keepLines w:val="0"/>
        <w:pageBreakBefore w:val="0"/>
        <w:widowControl/>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蛋白饲料：鱼粉、肉粉、肉骨粉、奶渣、奶制品、酵母、蚕蛹、黄豆、豆柏、油枯等。</w:t>
      </w:r>
    </w:p>
    <w:p>
      <w:pPr>
        <w:pStyle w:val="20"/>
        <w:keepNext w:val="0"/>
        <w:keepLines w:val="0"/>
        <w:pageBreakBefore w:val="0"/>
        <w:widowControl/>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矿物质饲料：骨粉、磷酸轻钙、贝壳粉、食盐。</w:t>
      </w:r>
    </w:p>
    <w:p>
      <w:pPr>
        <w:pStyle w:val="20"/>
        <w:keepNext w:val="0"/>
        <w:keepLines w:val="0"/>
        <w:pageBreakBefore w:val="0"/>
        <w:widowControl/>
        <w:kinsoku/>
        <w:wordWrap/>
        <w:overflowPunct/>
        <w:topLinePunct w:val="0"/>
        <w:autoSpaceDE w:val="0"/>
        <w:autoSpaceDN w:val="0"/>
        <w:bidi w:val="0"/>
        <w:adjustRightInd/>
        <w:snapToGrid/>
        <w:spacing w:line="360" w:lineRule="exact"/>
        <w:ind w:firstLine="420" w:firstLineChars="200"/>
        <w:textAlignment w:val="auto"/>
        <w:rPr>
          <w:rFonts w:ascii="Times New Roman" w:eastAsia="Songti SC" w:cs="Times New Roman"/>
        </w:rPr>
      </w:pPr>
      <w:r>
        <w:rPr>
          <w:rFonts w:hint="eastAsia" w:ascii="宋体" w:hAnsi="宋体" w:eastAsia="宋体" w:cs="宋体"/>
          <w:kern w:val="0"/>
          <w:sz w:val="21"/>
          <w:szCs w:val="21"/>
          <w:lang w:val="en-US" w:eastAsia="zh-CN" w:bidi="ar-SA"/>
        </w:rPr>
        <w:t>添加剂饲料：微量元素、维生素、氨基酸等。</w:t>
      </w:r>
    </w:p>
    <w:p>
      <w:pPr>
        <w:pStyle w:val="24"/>
        <w:spacing w:before="156" w:beforeLines="50" w:after="156" w:afterLines="50"/>
        <w:rPr>
          <w:rFonts w:hint="eastAsia" w:ascii="黑体" w:cs="Times New Roman"/>
          <w:b w:val="0"/>
          <w:bCs w:val="0"/>
          <w:kern w:val="0"/>
          <w:lang w:val="en-US" w:eastAsia="zh-CN"/>
        </w:rPr>
      </w:pPr>
      <w:r>
        <w:rPr>
          <w:rFonts w:hint="eastAsia" w:ascii="黑体" w:cs="Times New Roman"/>
          <w:b w:val="0"/>
          <w:bCs w:val="0"/>
          <w:kern w:val="0"/>
          <w:lang w:val="en-US" w:eastAsia="zh-CN"/>
        </w:rPr>
        <w:t>5.3饲料加工</w:t>
      </w:r>
    </w:p>
    <w:p>
      <w:pPr>
        <w:pStyle w:val="20"/>
        <w:keepNext w:val="0"/>
        <w:keepLines w:val="0"/>
        <w:pageBreakBefore w:val="0"/>
        <w:widowControl/>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饲料卫生应符合GB 13078</w:t>
      </w:r>
      <w:r>
        <w:rPr>
          <w:rFonts w:hint="eastAsia" w:hAnsi="宋体" w:eastAsia="宋体" w:cs="宋体"/>
          <w:kern w:val="0"/>
          <w:sz w:val="21"/>
          <w:szCs w:val="21"/>
          <w:lang w:val="en-US" w:eastAsia="zh-CN" w:bidi="ar-SA"/>
        </w:rPr>
        <w:t xml:space="preserve"> </w:t>
      </w:r>
      <w:r>
        <w:rPr>
          <w:rFonts w:hint="eastAsia" w:ascii="宋体" w:hAnsi="宋体" w:eastAsia="宋体" w:cs="宋体"/>
          <w:kern w:val="0"/>
          <w:sz w:val="21"/>
          <w:szCs w:val="21"/>
          <w:lang w:val="en-US" w:eastAsia="zh-CN" w:bidi="ar-SA"/>
        </w:rPr>
        <w:t>饲料卫生标准的相关规定。</w:t>
      </w:r>
    </w:p>
    <w:p>
      <w:pPr>
        <w:pStyle w:val="20"/>
        <w:keepNext w:val="0"/>
        <w:keepLines w:val="0"/>
        <w:pageBreakBefore w:val="0"/>
        <w:widowControl/>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青饲料无农药残留，无腐败、霉变，应符合GB 13078</w:t>
      </w:r>
      <w:r>
        <w:rPr>
          <w:rFonts w:hint="eastAsia" w:hAnsi="宋体" w:eastAsia="宋体" w:cs="宋体"/>
          <w:kern w:val="0"/>
          <w:sz w:val="21"/>
          <w:szCs w:val="21"/>
          <w:lang w:val="en-US" w:eastAsia="zh-CN" w:bidi="ar-SA"/>
        </w:rPr>
        <w:t xml:space="preserve"> </w:t>
      </w:r>
      <w:r>
        <w:rPr>
          <w:rFonts w:hint="eastAsia" w:ascii="宋体" w:hAnsi="宋体" w:eastAsia="宋体" w:cs="宋体"/>
          <w:kern w:val="0"/>
          <w:sz w:val="21"/>
          <w:szCs w:val="21"/>
          <w:lang w:val="en-US" w:eastAsia="zh-CN" w:bidi="ar-SA"/>
        </w:rPr>
        <w:t>饲料卫生标准的相关规定。</w:t>
      </w:r>
    </w:p>
    <w:p>
      <w:pPr>
        <w:pStyle w:val="20"/>
        <w:keepNext w:val="0"/>
        <w:keepLines w:val="0"/>
        <w:pageBreakBefore w:val="0"/>
        <w:widowControl/>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精饲料煮熟加工成流质状态，应符合GB 16764</w:t>
      </w:r>
      <w:r>
        <w:rPr>
          <w:rFonts w:hint="eastAsia" w:hAnsi="宋体" w:eastAsia="宋体" w:cs="宋体"/>
          <w:kern w:val="0"/>
          <w:sz w:val="21"/>
          <w:szCs w:val="21"/>
          <w:lang w:val="en-US" w:eastAsia="zh-CN" w:bidi="ar-SA"/>
        </w:rPr>
        <w:t xml:space="preserve"> </w:t>
      </w:r>
      <w:r>
        <w:rPr>
          <w:rFonts w:hint="eastAsia" w:ascii="宋体" w:hAnsi="宋体" w:eastAsia="宋体" w:cs="宋体"/>
          <w:kern w:val="0"/>
          <w:sz w:val="21"/>
          <w:szCs w:val="21"/>
          <w:lang w:val="en-US" w:eastAsia="zh-CN" w:bidi="ar-SA"/>
        </w:rPr>
        <w:t xml:space="preserve">配合饲料企业卫生规范的相关规定。 </w:t>
      </w:r>
    </w:p>
    <w:p>
      <w:pPr>
        <w:pStyle w:val="24"/>
        <w:spacing w:before="156" w:beforeLines="50" w:after="156" w:afterLines="50"/>
        <w:rPr>
          <w:rFonts w:hint="eastAsia" w:ascii="黑体" w:cs="Times New Roman"/>
          <w:b w:val="0"/>
          <w:bCs w:val="0"/>
          <w:kern w:val="0"/>
          <w:lang w:val="en-US" w:eastAsia="zh-CN"/>
        </w:rPr>
      </w:pPr>
      <w:r>
        <w:rPr>
          <w:rFonts w:hint="eastAsia" w:ascii="黑体" w:cs="Times New Roman"/>
          <w:b w:val="0"/>
          <w:bCs w:val="0"/>
          <w:kern w:val="0"/>
          <w:lang w:val="en-US" w:eastAsia="zh-CN"/>
        </w:rPr>
        <w:t>5.4饮水</w:t>
      </w:r>
      <w:r>
        <w:rPr>
          <w:rFonts w:hint="eastAsia" w:ascii="黑体" w:cs="Times New Roman"/>
          <w:b w:val="0"/>
          <w:bCs w:val="0"/>
          <w:kern w:val="0"/>
          <w:lang w:val="en-US" w:eastAsia="zh-CN"/>
        </w:rPr>
        <w:tab/>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饮用水应符合GB 5748</w:t>
      </w:r>
      <w:r>
        <w:rPr>
          <w:rFonts w:hint="eastAsia" w:ascii="宋体" w:hAnsi="宋体" w:cs="宋体"/>
          <w:kern w:val="0"/>
          <w:sz w:val="21"/>
          <w:szCs w:val="21"/>
          <w:lang w:val="en-US" w:eastAsia="zh-CN" w:bidi="ar-SA"/>
        </w:rPr>
        <w:t xml:space="preserve"> </w:t>
      </w:r>
      <w:r>
        <w:rPr>
          <w:rFonts w:hint="eastAsia" w:ascii="宋体" w:hAnsi="宋体" w:eastAsia="宋体" w:cs="宋体"/>
          <w:kern w:val="0"/>
          <w:sz w:val="21"/>
          <w:szCs w:val="21"/>
          <w:lang w:val="en-US" w:eastAsia="zh-CN" w:bidi="ar-SA"/>
        </w:rPr>
        <w:t>生活饮用水卫生标准的相关规定，非市政供给自来水，每年至少到法定部门检验1次。</w:t>
      </w:r>
    </w:p>
    <w:p>
      <w:pPr>
        <w:keepNext w:val="0"/>
        <w:keepLines w:val="0"/>
        <w:pageBreakBefore w:val="0"/>
        <w:widowControl/>
        <w:kinsoku/>
        <w:wordWrap/>
        <w:overflowPunct/>
        <w:topLinePunct w:val="0"/>
        <w:autoSpaceDE/>
        <w:autoSpaceDN/>
        <w:bidi w:val="0"/>
        <w:adjustRightInd/>
        <w:snapToGrid/>
        <w:spacing w:before="313" w:beforeLines="100" w:after="313" w:afterLines="100"/>
        <w:textAlignment w:val="auto"/>
        <w:outlineLvl w:val="0"/>
        <w:rPr>
          <w:rFonts w:hint="eastAsia" w:ascii="黑体" w:hAnsi="Times New Roman" w:eastAsia="黑体" w:cs="Times New Roman"/>
          <w:kern w:val="0"/>
          <w:sz w:val="21"/>
          <w:szCs w:val="20"/>
          <w:lang w:val="en-US" w:eastAsia="zh-CN" w:bidi="ar-SA"/>
        </w:rPr>
      </w:pPr>
      <w:bookmarkStart w:id="15" w:name="_Toc54094791"/>
      <w:r>
        <w:rPr>
          <w:rFonts w:hint="eastAsia" w:ascii="黑体" w:hAnsi="Times New Roman" w:eastAsia="黑体" w:cs="Times New Roman"/>
          <w:kern w:val="0"/>
          <w:sz w:val="21"/>
          <w:szCs w:val="20"/>
          <w:lang w:val="en-US" w:eastAsia="zh-CN" w:bidi="ar-SA"/>
        </w:rPr>
        <w:t>6 饲养管理</w:t>
      </w:r>
      <w:bookmarkEnd w:id="15"/>
    </w:p>
    <w:p>
      <w:pPr>
        <w:pStyle w:val="24"/>
        <w:spacing w:before="156" w:beforeLines="50" w:after="156" w:afterLines="50"/>
        <w:rPr>
          <w:rFonts w:hint="eastAsia" w:ascii="黑体" w:cs="Times New Roman"/>
          <w:b w:val="0"/>
          <w:bCs w:val="0"/>
          <w:kern w:val="0"/>
          <w:lang w:val="en-US" w:eastAsia="zh-CN"/>
        </w:rPr>
      </w:pPr>
      <w:r>
        <w:rPr>
          <w:rFonts w:hint="eastAsia" w:ascii="黑体" w:cs="Times New Roman"/>
          <w:b w:val="0"/>
          <w:bCs w:val="0"/>
          <w:kern w:val="0"/>
          <w:lang w:val="en-US" w:eastAsia="zh-CN"/>
        </w:rPr>
        <w:t>6.1日常管理</w:t>
      </w:r>
    </w:p>
    <w:p>
      <w:pPr>
        <w:pStyle w:val="24"/>
        <w:spacing w:before="156" w:beforeLines="50" w:after="156" w:afterLines="50"/>
        <w:rPr>
          <w:rFonts w:hint="eastAsia" w:ascii="黑体" w:cs="Times New Roman"/>
          <w:b w:val="0"/>
          <w:bCs w:val="0"/>
          <w:kern w:val="0"/>
          <w:lang w:val="en-US" w:eastAsia="zh-CN"/>
        </w:rPr>
      </w:pPr>
      <w:r>
        <w:rPr>
          <w:rFonts w:hint="eastAsia" w:ascii="黑体" w:cs="Times New Roman"/>
          <w:b w:val="0"/>
          <w:bCs w:val="0"/>
          <w:kern w:val="0"/>
          <w:lang w:val="en-US" w:eastAsia="zh-CN"/>
        </w:rPr>
        <w:t>6.1.1 观察</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饲养员每天进入工作区前巡查外围墙，进入圈舍前通过窥视孔查看有无熊跑出，进入圈舍后检查笼舍是否存在安全隐患，发现问题按规程上报并及时处理。观察黑熊的精神状态、采食、饮水、粪便等情况。</w:t>
      </w:r>
    </w:p>
    <w:p>
      <w:pPr>
        <w:pStyle w:val="24"/>
        <w:spacing w:before="156" w:beforeLines="50" w:after="156" w:afterLines="50"/>
        <w:rPr>
          <w:rFonts w:hint="eastAsia" w:ascii="黑体" w:cs="Times New Roman"/>
          <w:b w:val="0"/>
          <w:bCs w:val="0"/>
          <w:kern w:val="0"/>
          <w:lang w:val="en-US" w:eastAsia="zh-CN"/>
        </w:rPr>
      </w:pPr>
      <w:r>
        <w:rPr>
          <w:rFonts w:hint="eastAsia" w:ascii="黑体" w:cs="Times New Roman"/>
          <w:b w:val="0"/>
          <w:bCs w:val="0"/>
          <w:kern w:val="0"/>
          <w:lang w:val="en-US" w:eastAsia="zh-CN"/>
        </w:rPr>
        <w:t>6.1.2 清洁</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每天清洁圈舍、食具。取胆汁引流管，用后及时清洗并置入消毒液内浸泡消毒。</w:t>
      </w:r>
    </w:p>
    <w:p>
      <w:pPr>
        <w:pStyle w:val="24"/>
        <w:spacing w:before="156" w:beforeLines="50" w:after="156" w:afterLines="50"/>
        <w:rPr>
          <w:rFonts w:hint="eastAsia" w:ascii="黑体" w:cs="Times New Roman"/>
          <w:b w:val="0"/>
          <w:bCs w:val="0"/>
          <w:kern w:val="0"/>
          <w:lang w:val="en-US" w:eastAsia="zh-CN"/>
        </w:rPr>
      </w:pPr>
      <w:r>
        <w:rPr>
          <w:rFonts w:hint="eastAsia" w:ascii="黑体" w:cs="Times New Roman"/>
          <w:b w:val="0"/>
          <w:bCs w:val="0"/>
          <w:kern w:val="0"/>
          <w:lang w:val="en-US" w:eastAsia="zh-CN"/>
        </w:rPr>
        <w:t>6.1.3 投食</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eastAsia="Songti SC" w:cs="Times New Roman"/>
        </w:rPr>
      </w:pPr>
      <w:r>
        <w:rPr>
          <w:rFonts w:hint="eastAsia" w:ascii="宋体" w:hAnsi="宋体" w:eastAsia="宋体" w:cs="宋体"/>
          <w:kern w:val="0"/>
          <w:sz w:val="21"/>
          <w:szCs w:val="21"/>
          <w:lang w:val="en-US" w:eastAsia="zh-CN" w:bidi="ar-SA"/>
        </w:rPr>
        <w:t>每日2次，上下午各1次。每次均应投入熟制的精料（配合饲料）、多汁饲料和饮水。</w:t>
      </w:r>
    </w:p>
    <w:p>
      <w:pPr>
        <w:pStyle w:val="24"/>
        <w:spacing w:before="156" w:beforeLines="50" w:after="156" w:afterLines="50"/>
        <w:rPr>
          <w:rFonts w:hint="eastAsia" w:ascii="黑体" w:cs="Times New Roman"/>
          <w:b w:val="0"/>
          <w:bCs w:val="0"/>
          <w:kern w:val="0"/>
          <w:lang w:val="en-US" w:eastAsia="zh-CN"/>
        </w:rPr>
      </w:pPr>
      <w:r>
        <w:rPr>
          <w:rFonts w:hint="eastAsia" w:ascii="黑体" w:cs="Times New Roman"/>
          <w:b w:val="0"/>
          <w:bCs w:val="0"/>
          <w:kern w:val="0"/>
          <w:lang w:val="en-US" w:eastAsia="zh-CN"/>
        </w:rPr>
        <w:t>6.1.4 引流取胆汁</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每日每头引流取胆汁不超过2次，用食物引诱成取胆姿势，严禁用任何不良方式方法强迫熊成取胆姿势。取胆使用大小适度软质的硅胶导尿管，一熊一换</w:t>
      </w:r>
      <w:r>
        <w:rPr>
          <w:rFonts w:hint="eastAsia" w:ascii="宋体" w:hAnsi="宋体" w:cs="宋体"/>
          <w:kern w:val="0"/>
          <w:sz w:val="21"/>
          <w:szCs w:val="21"/>
          <w:lang w:val="en-US" w:eastAsia="zh-CN" w:bidi="ar-SA"/>
        </w:rPr>
        <w:t>，使用后清洗消毒</w:t>
      </w:r>
      <w:r>
        <w:rPr>
          <w:rFonts w:hint="eastAsia" w:ascii="宋体" w:hAnsi="宋体" w:eastAsia="宋体" w:cs="宋体"/>
          <w:kern w:val="0"/>
          <w:sz w:val="21"/>
          <w:szCs w:val="21"/>
          <w:lang w:val="en-US" w:eastAsia="zh-CN" w:bidi="ar-SA"/>
        </w:rPr>
        <w:t>。患病及用药中的黑熊不能进行引流取胆。</w:t>
      </w:r>
    </w:p>
    <w:p>
      <w:pPr>
        <w:pStyle w:val="24"/>
        <w:spacing w:before="156" w:beforeLines="50" w:after="156" w:afterLines="50"/>
        <w:rPr>
          <w:rFonts w:hint="eastAsia" w:ascii="黑体" w:cs="Times New Roman"/>
          <w:b w:val="0"/>
          <w:bCs w:val="0"/>
          <w:kern w:val="0"/>
          <w:lang w:val="en-US" w:eastAsia="zh-CN"/>
        </w:rPr>
      </w:pPr>
      <w:r>
        <w:rPr>
          <w:rFonts w:hint="eastAsia" w:ascii="黑体" w:cs="Times New Roman"/>
          <w:b w:val="0"/>
          <w:bCs w:val="0"/>
          <w:kern w:val="0"/>
          <w:lang w:val="en-US" w:eastAsia="zh-CN"/>
        </w:rPr>
        <w:t>6.1.5 记录</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eastAsia="Songti SC" w:cs="Times New Roman"/>
        </w:rPr>
      </w:pPr>
      <w:r>
        <w:rPr>
          <w:rFonts w:hint="eastAsia" w:ascii="宋体" w:hAnsi="宋体" w:eastAsia="宋体" w:cs="宋体"/>
          <w:kern w:val="0"/>
          <w:sz w:val="21"/>
          <w:szCs w:val="21"/>
          <w:lang w:val="en-US" w:eastAsia="zh-CN" w:bidi="ar-SA"/>
        </w:rPr>
        <w:t>将每次观察、操作、胆汁引流等情况完整记录。</w:t>
      </w:r>
    </w:p>
    <w:p>
      <w:pPr>
        <w:pStyle w:val="24"/>
        <w:spacing w:before="156" w:beforeLines="50" w:after="156" w:afterLines="50"/>
        <w:rPr>
          <w:rFonts w:hint="eastAsia" w:ascii="黑体" w:cs="Times New Roman"/>
          <w:b w:val="0"/>
          <w:bCs w:val="0"/>
          <w:kern w:val="0"/>
          <w:lang w:val="en-US" w:eastAsia="zh-CN"/>
        </w:rPr>
      </w:pPr>
      <w:r>
        <w:rPr>
          <w:rFonts w:hint="eastAsia" w:ascii="黑体" w:cs="Times New Roman"/>
          <w:b w:val="0"/>
          <w:bCs w:val="0"/>
          <w:kern w:val="0"/>
          <w:lang w:val="en-US" w:eastAsia="zh-CN"/>
        </w:rPr>
        <w:t>6.1.6 应急处理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动物异常，疫情发生、熊逃逸等突发事件，及时针对性处理，并报上级主管部门。</w:t>
      </w:r>
    </w:p>
    <w:p>
      <w:pPr>
        <w:pStyle w:val="24"/>
        <w:spacing w:before="156" w:beforeLines="50" w:after="156" w:afterLines="50"/>
        <w:rPr>
          <w:rFonts w:hint="eastAsia" w:ascii="黑体" w:cs="Times New Roman"/>
          <w:b w:val="0"/>
          <w:bCs w:val="0"/>
          <w:kern w:val="0"/>
          <w:lang w:val="en-US" w:eastAsia="zh-CN"/>
        </w:rPr>
      </w:pPr>
      <w:r>
        <w:rPr>
          <w:rFonts w:hint="eastAsia" w:ascii="黑体" w:cs="Times New Roman"/>
          <w:b w:val="0"/>
          <w:bCs w:val="0"/>
          <w:kern w:val="0"/>
          <w:lang w:val="en-US" w:eastAsia="zh-CN"/>
        </w:rPr>
        <w:t>6.2 幼熊</w:t>
      </w:r>
    </w:p>
    <w:p>
      <w:pPr>
        <w:pStyle w:val="24"/>
        <w:keepNext w:val="0"/>
        <w:keepLines w:val="0"/>
        <w:pageBreakBefore w:val="0"/>
        <w:widowControl/>
        <w:kinsoku/>
        <w:wordWrap/>
        <w:overflowPunct/>
        <w:topLinePunct w:val="0"/>
        <w:autoSpaceDE/>
        <w:autoSpaceDN/>
        <w:bidi w:val="0"/>
        <w:adjustRightInd/>
        <w:snapToGrid/>
        <w:spacing w:before="156" w:beforeLines="50" w:after="156" w:afterLines="50"/>
        <w:textAlignment w:val="auto"/>
        <w:rPr>
          <w:rFonts w:hint="eastAsia" w:ascii="宋体" w:hAnsi="宋体" w:eastAsia="宋体" w:cs="宋体"/>
          <w:b w:val="0"/>
          <w:bCs w:val="0"/>
          <w:kern w:val="0"/>
          <w:lang w:val="en-US" w:eastAsia="zh-CN"/>
        </w:rPr>
      </w:pPr>
      <w:r>
        <w:rPr>
          <w:rFonts w:hint="eastAsia" w:ascii="宋体" w:hAnsi="宋体" w:eastAsia="宋体" w:cs="宋体"/>
          <w:b w:val="0"/>
          <w:bCs w:val="0"/>
          <w:kern w:val="0"/>
          <w:lang w:val="en-US" w:eastAsia="zh-CN"/>
        </w:rPr>
        <w:t>6.2.1 断乳前的幼熊，若无特殊情况，跟随母熊生活，由母熊自行管理。</w:t>
      </w:r>
    </w:p>
    <w:p>
      <w:pPr>
        <w:pStyle w:val="24"/>
        <w:keepNext w:val="0"/>
        <w:keepLines w:val="0"/>
        <w:pageBreakBefore w:val="0"/>
        <w:widowControl/>
        <w:kinsoku/>
        <w:wordWrap/>
        <w:overflowPunct/>
        <w:topLinePunct w:val="0"/>
        <w:autoSpaceDE/>
        <w:autoSpaceDN/>
        <w:bidi w:val="0"/>
        <w:adjustRightInd/>
        <w:snapToGrid/>
        <w:spacing w:before="156" w:beforeLines="50" w:after="156" w:afterLines="50"/>
        <w:textAlignment w:val="auto"/>
        <w:rPr>
          <w:rFonts w:hint="eastAsia" w:ascii="宋体" w:hAnsi="宋体" w:eastAsia="宋体" w:cs="宋体"/>
          <w:b w:val="0"/>
          <w:bCs w:val="0"/>
          <w:kern w:val="0"/>
          <w:lang w:val="en-US" w:eastAsia="zh-CN"/>
        </w:rPr>
      </w:pPr>
      <w:r>
        <w:rPr>
          <w:rFonts w:hint="eastAsia" w:ascii="宋体" w:hAnsi="宋体" w:eastAsia="宋体" w:cs="宋体"/>
          <w:b w:val="0"/>
          <w:bCs w:val="0"/>
          <w:kern w:val="0"/>
          <w:lang w:val="en-US" w:eastAsia="zh-CN"/>
        </w:rPr>
        <w:t>6.2.2 断乳后</w:t>
      </w:r>
    </w:p>
    <w:p>
      <w:pPr>
        <w:pStyle w:val="24"/>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（1）环境。环境温度保持16℃～22 ℃，通风良好，笼内群养。（2）饲料。初期供给一段婴儿用奶粉，以后逐渐改为二段、三段奶粉，并加入适量幼熊饲料。（3）饲喂。喂食次数，初期每日5次，以后次数逐渐减少至每日3次。投食时尽可能做到一熊一食槽。体形过小和过弱者应单独饲养。（4）采食驯化。断乳后，正常采食供给饲料后，逐渐投喂水果等其他多汁饲料。</w:t>
      </w:r>
    </w:p>
    <w:p>
      <w:pPr>
        <w:pStyle w:val="24"/>
        <w:spacing w:before="156" w:beforeLines="50" w:after="156" w:afterLines="50"/>
        <w:rPr>
          <w:rFonts w:hint="eastAsia" w:ascii="黑体" w:cs="Times New Roman"/>
          <w:b w:val="0"/>
          <w:bCs w:val="0"/>
          <w:kern w:val="0"/>
          <w:lang w:val="en-US" w:eastAsia="zh-CN"/>
        </w:rPr>
      </w:pPr>
      <w:r>
        <w:rPr>
          <w:rFonts w:hint="eastAsia" w:ascii="黑体" w:cs="Times New Roman"/>
          <w:b w:val="0"/>
          <w:bCs w:val="0"/>
          <w:kern w:val="0"/>
          <w:lang w:val="en-US" w:eastAsia="zh-CN"/>
        </w:rPr>
        <w:t>6.3 育成熊</w:t>
      </w:r>
    </w:p>
    <w:p>
      <w:pPr>
        <w:pStyle w:val="24"/>
        <w:spacing w:before="156" w:beforeLines="50" w:after="156" w:afterLines="50"/>
        <w:rPr>
          <w:rFonts w:hint="eastAsia" w:ascii="宋体" w:hAnsi="宋体" w:eastAsia="宋体" w:cs="宋体"/>
          <w:b w:val="0"/>
          <w:bCs w:val="0"/>
          <w:kern w:val="0"/>
          <w:lang w:val="en-US" w:eastAsia="zh-CN"/>
        </w:rPr>
      </w:pPr>
      <w:r>
        <w:rPr>
          <w:rFonts w:hint="eastAsia" w:ascii="宋体" w:hAnsi="宋体" w:eastAsia="宋体" w:cs="宋体"/>
          <w:b w:val="0"/>
          <w:bCs w:val="0"/>
          <w:kern w:val="0"/>
          <w:lang w:val="en-US" w:eastAsia="zh-CN"/>
        </w:rPr>
        <w:t>6.3.1 环境：放入有运动场的圈舍群养。</w:t>
      </w:r>
    </w:p>
    <w:p>
      <w:pPr>
        <w:pStyle w:val="24"/>
        <w:spacing w:before="156" w:beforeLines="50" w:after="156" w:afterLines="50"/>
        <w:rPr>
          <w:rFonts w:hint="eastAsia" w:ascii="宋体" w:hAnsi="宋体" w:eastAsia="宋体" w:cs="宋体"/>
          <w:b w:val="0"/>
          <w:bCs w:val="0"/>
          <w:kern w:val="0"/>
          <w:lang w:val="en-US" w:eastAsia="zh-CN"/>
        </w:rPr>
      </w:pPr>
      <w:r>
        <w:rPr>
          <w:rFonts w:hint="eastAsia" w:ascii="宋体" w:hAnsi="宋体" w:eastAsia="宋体" w:cs="宋体"/>
          <w:b w:val="0"/>
          <w:bCs w:val="0"/>
          <w:kern w:val="0"/>
          <w:lang w:val="en-US" w:eastAsia="zh-CN"/>
        </w:rPr>
        <w:t>6.3.2 分群饲养：不同年龄、不同性别分群饲养，体况较差的单独饲养。</w:t>
      </w:r>
    </w:p>
    <w:p>
      <w:pPr>
        <w:pStyle w:val="24"/>
        <w:spacing w:before="156" w:beforeLines="50" w:after="156" w:afterLines="50"/>
        <w:rPr>
          <w:rFonts w:hint="eastAsia" w:ascii="宋体" w:hAnsi="宋体" w:eastAsia="宋体" w:cs="宋体"/>
          <w:b w:val="0"/>
          <w:bCs w:val="0"/>
          <w:kern w:val="0"/>
          <w:lang w:val="en-US" w:eastAsia="zh-CN"/>
        </w:rPr>
      </w:pPr>
      <w:r>
        <w:rPr>
          <w:rFonts w:hint="eastAsia" w:ascii="宋体" w:hAnsi="宋体" w:eastAsia="宋体" w:cs="宋体"/>
          <w:b w:val="0"/>
          <w:bCs w:val="0"/>
          <w:kern w:val="0"/>
          <w:lang w:val="en-US" w:eastAsia="zh-CN"/>
        </w:rPr>
        <w:t>6.3.3 饲料、饮水：供给易消化利用、营养丰富的精料和充足的青饲料，供给充足饮水。</w:t>
      </w:r>
    </w:p>
    <w:p>
      <w:pPr>
        <w:pStyle w:val="24"/>
        <w:spacing w:before="156" w:beforeLines="50" w:after="156" w:afterLines="50"/>
        <w:rPr>
          <w:rFonts w:hint="eastAsia" w:ascii="黑体" w:cs="Times New Roman"/>
          <w:b w:val="0"/>
          <w:bCs w:val="0"/>
          <w:kern w:val="0"/>
          <w:lang w:val="en-US" w:eastAsia="zh-CN"/>
        </w:rPr>
      </w:pPr>
      <w:r>
        <w:rPr>
          <w:rFonts w:hint="eastAsia" w:ascii="黑体" w:cs="Times New Roman"/>
          <w:b w:val="0"/>
          <w:bCs w:val="0"/>
          <w:kern w:val="0"/>
          <w:lang w:val="en-US" w:eastAsia="zh-CN"/>
        </w:rPr>
        <w:t>6.4 成年熊</w:t>
      </w:r>
    </w:p>
    <w:p>
      <w:pPr>
        <w:pStyle w:val="24"/>
        <w:spacing w:before="156" w:beforeLines="50" w:after="156" w:afterLines="50"/>
        <w:rPr>
          <w:rFonts w:hint="eastAsia" w:ascii="宋体" w:hAnsi="宋体" w:eastAsia="宋体" w:cs="宋体"/>
          <w:b w:val="0"/>
          <w:bCs w:val="0"/>
          <w:kern w:val="0"/>
          <w:lang w:val="en-US" w:eastAsia="zh-CN"/>
        </w:rPr>
      </w:pPr>
      <w:r>
        <w:rPr>
          <w:rFonts w:hint="eastAsia" w:ascii="宋体" w:hAnsi="宋体" w:eastAsia="宋体" w:cs="宋体"/>
          <w:b w:val="0"/>
          <w:bCs w:val="0"/>
          <w:kern w:val="0"/>
          <w:lang w:val="en-US" w:eastAsia="zh-CN"/>
        </w:rPr>
        <w:t>6.4.1 环境：单笼饲喂。</w:t>
      </w:r>
    </w:p>
    <w:p>
      <w:pPr>
        <w:pStyle w:val="24"/>
        <w:spacing w:before="156" w:beforeLines="50" w:after="156" w:afterLines="50"/>
        <w:rPr>
          <w:rFonts w:hint="eastAsia" w:ascii="宋体" w:hAnsi="宋体" w:eastAsia="宋体" w:cs="宋体"/>
          <w:b w:val="0"/>
          <w:bCs w:val="0"/>
          <w:kern w:val="0"/>
          <w:lang w:val="en-US" w:eastAsia="zh-CN"/>
        </w:rPr>
      </w:pPr>
      <w:r>
        <w:rPr>
          <w:rFonts w:hint="eastAsia" w:ascii="宋体" w:hAnsi="宋体" w:eastAsia="宋体" w:cs="宋体"/>
          <w:b w:val="0"/>
          <w:bCs w:val="0"/>
          <w:kern w:val="0"/>
          <w:lang w:val="en-US" w:eastAsia="zh-CN"/>
        </w:rPr>
        <w:t>6.4.2 饲料、饮水：供给易消化利用、营养丰富的精料，充足饮水。</w:t>
      </w:r>
    </w:p>
    <w:p>
      <w:pPr>
        <w:pStyle w:val="24"/>
        <w:spacing w:before="156" w:beforeLines="50" w:after="156" w:afterLines="50"/>
        <w:rPr>
          <w:rFonts w:hint="eastAsia" w:ascii="宋体" w:hAnsi="宋体" w:eastAsia="宋体" w:cs="宋体"/>
          <w:b w:val="0"/>
          <w:bCs w:val="0"/>
          <w:kern w:val="0"/>
          <w:lang w:val="en-US" w:eastAsia="zh-CN"/>
        </w:rPr>
      </w:pPr>
      <w:r>
        <w:rPr>
          <w:rFonts w:hint="eastAsia" w:ascii="宋体" w:hAnsi="宋体" w:eastAsia="宋体" w:cs="宋体"/>
          <w:b w:val="0"/>
          <w:bCs w:val="0"/>
          <w:kern w:val="0"/>
          <w:lang w:val="en-US" w:eastAsia="zh-CN"/>
        </w:rPr>
        <w:t>6.4.3 卫生：每日冲洗圈舍，保持圈舍干净，空气流通，无异味。</w:t>
      </w:r>
    </w:p>
    <w:p>
      <w:pPr>
        <w:pStyle w:val="24"/>
        <w:spacing w:before="156" w:beforeLines="50" w:after="156" w:afterLines="50"/>
        <w:rPr>
          <w:rFonts w:hint="eastAsia" w:ascii="黑体" w:cs="Times New Roman"/>
          <w:b w:val="0"/>
          <w:bCs w:val="0"/>
          <w:kern w:val="0"/>
          <w:lang w:val="en-US" w:eastAsia="zh-CN"/>
        </w:rPr>
      </w:pPr>
      <w:r>
        <w:rPr>
          <w:rFonts w:hint="eastAsia" w:ascii="黑体" w:cs="Times New Roman"/>
          <w:b w:val="0"/>
          <w:bCs w:val="0"/>
          <w:kern w:val="0"/>
          <w:lang w:val="en-US" w:eastAsia="zh-CN"/>
        </w:rPr>
        <w:t>6.5 繁殖熊</w:t>
      </w:r>
    </w:p>
    <w:p>
      <w:pPr>
        <w:pStyle w:val="24"/>
        <w:spacing w:before="156" w:beforeLines="50" w:after="156" w:afterLines="50"/>
        <w:rPr>
          <w:rFonts w:hint="eastAsia" w:ascii="黑体" w:hAnsi="Times New Roman" w:eastAsia="黑体" w:cs="Times New Roman"/>
          <w:b w:val="0"/>
          <w:bCs w:val="0"/>
          <w:kern w:val="0"/>
          <w:sz w:val="21"/>
          <w:szCs w:val="21"/>
          <w:lang w:val="en-US" w:eastAsia="zh-CN" w:bidi="ar-SA"/>
        </w:rPr>
      </w:pPr>
      <w:r>
        <w:rPr>
          <w:rFonts w:hint="eastAsia" w:ascii="黑体" w:hAnsi="Times New Roman" w:eastAsia="黑体" w:cs="Times New Roman"/>
          <w:b w:val="0"/>
          <w:bCs w:val="0"/>
          <w:kern w:val="0"/>
          <w:sz w:val="21"/>
          <w:szCs w:val="21"/>
          <w:lang w:val="en-US" w:eastAsia="zh-CN" w:bidi="ar-SA"/>
        </w:rPr>
        <w:t>6.5.1 种的选择</w:t>
      </w:r>
    </w:p>
    <w:p>
      <w:pPr>
        <w:pStyle w:val="24"/>
        <w:spacing w:before="156" w:beforeLines="50" w:after="156" w:afterLines="50"/>
        <w:rPr>
          <w:rFonts w:hint="eastAsia" w:ascii="黑体" w:hAnsi="Times New Roman" w:eastAsia="黑体" w:cs="Times New Roman"/>
          <w:b w:val="0"/>
          <w:bCs w:val="0"/>
          <w:kern w:val="0"/>
          <w:sz w:val="21"/>
          <w:szCs w:val="21"/>
          <w:lang w:val="en-US" w:eastAsia="zh-CN" w:bidi="ar-SA"/>
        </w:rPr>
      </w:pPr>
      <w:r>
        <w:rPr>
          <w:rFonts w:hint="eastAsia" w:ascii="黑体" w:hAnsi="Times New Roman" w:eastAsia="黑体" w:cs="Times New Roman"/>
          <w:b w:val="0"/>
          <w:bCs w:val="0"/>
          <w:kern w:val="0"/>
          <w:sz w:val="21"/>
          <w:szCs w:val="21"/>
          <w:lang w:val="en-US" w:eastAsia="zh-CN" w:bidi="ar-SA"/>
        </w:rPr>
        <w:t>6.5.1</w:t>
      </w:r>
      <w:r>
        <w:rPr>
          <w:rFonts w:hint="eastAsia" w:ascii="黑体" w:cs="Times New Roman"/>
          <w:b w:val="0"/>
          <w:bCs w:val="0"/>
          <w:kern w:val="0"/>
          <w:sz w:val="21"/>
          <w:szCs w:val="21"/>
          <w:lang w:val="en-US" w:eastAsia="zh-CN" w:bidi="ar-SA"/>
        </w:rPr>
        <w:t>.1</w:t>
      </w:r>
      <w:r>
        <w:rPr>
          <w:rFonts w:hint="eastAsia" w:ascii="黑体" w:hAnsi="Times New Roman" w:eastAsia="黑体" w:cs="Times New Roman"/>
          <w:b w:val="0"/>
          <w:bCs w:val="0"/>
          <w:kern w:val="0"/>
          <w:sz w:val="21"/>
          <w:szCs w:val="21"/>
          <w:lang w:val="en-US" w:eastAsia="zh-CN" w:bidi="ar-SA"/>
        </w:rPr>
        <w:t xml:space="preserve"> 种公熊</w:t>
      </w:r>
    </w:p>
    <w:p>
      <w:pPr>
        <w:pStyle w:val="24"/>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来源清楚，生殖器官发育正常、性欲旺盛、精液品质优良，后肢粗壮，5周岁～9周岁，无失明、隐睾、肢残等生理缺陷。</w:t>
      </w:r>
    </w:p>
    <w:p>
      <w:pPr>
        <w:pStyle w:val="24"/>
        <w:spacing w:before="156" w:beforeLines="50" w:after="156" w:afterLines="50"/>
        <w:rPr>
          <w:rFonts w:hint="eastAsia" w:ascii="黑体" w:hAnsi="Times New Roman" w:eastAsia="黑体" w:cs="Times New Roman"/>
          <w:b w:val="0"/>
          <w:bCs w:val="0"/>
          <w:kern w:val="0"/>
          <w:sz w:val="21"/>
          <w:szCs w:val="21"/>
          <w:lang w:val="en-US" w:eastAsia="zh-CN" w:bidi="ar-SA"/>
        </w:rPr>
      </w:pPr>
      <w:r>
        <w:rPr>
          <w:rFonts w:hint="eastAsia" w:ascii="黑体" w:hAnsi="Times New Roman" w:eastAsia="黑体" w:cs="Times New Roman"/>
          <w:b w:val="0"/>
          <w:bCs w:val="0"/>
          <w:kern w:val="0"/>
          <w:sz w:val="21"/>
          <w:szCs w:val="21"/>
          <w:lang w:val="en-US" w:eastAsia="zh-CN" w:bidi="ar-SA"/>
        </w:rPr>
        <w:t>6.5.1</w:t>
      </w:r>
      <w:r>
        <w:rPr>
          <w:rFonts w:hint="eastAsia" w:ascii="黑体" w:cs="Times New Roman"/>
          <w:b w:val="0"/>
          <w:bCs w:val="0"/>
          <w:kern w:val="0"/>
          <w:sz w:val="21"/>
          <w:szCs w:val="21"/>
          <w:lang w:val="en-US" w:eastAsia="zh-CN" w:bidi="ar-SA"/>
        </w:rPr>
        <w:t>.2</w:t>
      </w:r>
      <w:r>
        <w:rPr>
          <w:rFonts w:hint="eastAsia" w:ascii="黑体" w:hAnsi="Times New Roman" w:eastAsia="黑体" w:cs="Times New Roman"/>
          <w:b w:val="0"/>
          <w:bCs w:val="0"/>
          <w:kern w:val="0"/>
          <w:sz w:val="21"/>
          <w:szCs w:val="21"/>
          <w:lang w:val="en-US" w:eastAsia="zh-CN" w:bidi="ar-SA"/>
        </w:rPr>
        <w:t xml:space="preserve"> 种</w:t>
      </w:r>
      <w:r>
        <w:rPr>
          <w:rFonts w:hint="eastAsia" w:ascii="黑体" w:cs="Times New Roman"/>
          <w:b w:val="0"/>
          <w:bCs w:val="0"/>
          <w:kern w:val="0"/>
          <w:sz w:val="21"/>
          <w:szCs w:val="21"/>
          <w:lang w:val="en-US" w:eastAsia="zh-CN" w:bidi="ar-SA"/>
        </w:rPr>
        <w:t>母</w:t>
      </w:r>
      <w:r>
        <w:rPr>
          <w:rFonts w:hint="eastAsia" w:ascii="黑体" w:hAnsi="Times New Roman" w:eastAsia="黑体" w:cs="Times New Roman"/>
          <w:b w:val="0"/>
          <w:bCs w:val="0"/>
          <w:kern w:val="0"/>
          <w:sz w:val="21"/>
          <w:szCs w:val="21"/>
          <w:lang w:val="en-US" w:eastAsia="zh-CN" w:bidi="ar-SA"/>
        </w:rPr>
        <w:t>熊</w:t>
      </w:r>
    </w:p>
    <w:p>
      <w:pPr>
        <w:pStyle w:val="24"/>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来源清楚，身体发育均匀，乳头发育正常，温顺，母性强，无失明、肢残等生理缺陷。</w:t>
      </w:r>
    </w:p>
    <w:p>
      <w:pPr>
        <w:pStyle w:val="24"/>
        <w:spacing w:before="156" w:beforeLines="50" w:after="156" w:afterLines="50"/>
        <w:rPr>
          <w:rFonts w:hint="eastAsia" w:ascii="黑体" w:hAnsi="Times New Roman" w:eastAsia="黑体" w:cs="Times New Roman"/>
          <w:b w:val="0"/>
          <w:bCs w:val="0"/>
          <w:kern w:val="0"/>
          <w:sz w:val="21"/>
          <w:szCs w:val="21"/>
          <w:lang w:val="en-US" w:eastAsia="zh-CN" w:bidi="ar-SA"/>
        </w:rPr>
      </w:pPr>
      <w:r>
        <w:rPr>
          <w:rFonts w:hint="eastAsia" w:ascii="黑体" w:hAnsi="Times New Roman" w:eastAsia="黑体" w:cs="Times New Roman"/>
          <w:b w:val="0"/>
          <w:bCs w:val="0"/>
          <w:kern w:val="0"/>
          <w:sz w:val="21"/>
          <w:szCs w:val="21"/>
          <w:lang w:val="en-US" w:eastAsia="zh-CN" w:bidi="ar-SA"/>
        </w:rPr>
        <w:t>6.5.2 配种期管理</w:t>
      </w:r>
    </w:p>
    <w:p>
      <w:pPr>
        <w:pStyle w:val="24"/>
        <w:spacing w:before="156" w:beforeLines="50" w:after="156" w:afterLines="50"/>
        <w:rPr>
          <w:rFonts w:hint="eastAsia" w:ascii="黑体" w:hAnsi="Times New Roman" w:eastAsia="黑体" w:cs="Times New Roman"/>
          <w:b w:val="0"/>
          <w:bCs w:val="0"/>
          <w:kern w:val="0"/>
          <w:sz w:val="21"/>
          <w:szCs w:val="21"/>
          <w:lang w:val="en-US" w:eastAsia="zh-CN" w:bidi="ar-SA"/>
        </w:rPr>
      </w:pPr>
      <w:r>
        <w:rPr>
          <w:rFonts w:hint="eastAsia" w:ascii="黑体" w:hAnsi="Times New Roman" w:eastAsia="黑体" w:cs="Times New Roman"/>
          <w:b w:val="0"/>
          <w:bCs w:val="0"/>
          <w:kern w:val="0"/>
          <w:sz w:val="21"/>
          <w:szCs w:val="21"/>
          <w:lang w:val="en-US" w:eastAsia="zh-CN" w:bidi="ar-SA"/>
        </w:rPr>
        <w:t>6.5.2.1时间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熊的发情配种为5月～8月。</w:t>
      </w:r>
    </w:p>
    <w:p>
      <w:pPr>
        <w:spacing w:before="157" w:beforeLines="50" w:after="157" w:afterLines="50"/>
        <w:rPr>
          <w:rFonts w:hint="eastAsia" w:ascii="黑体" w:eastAsia="黑体" w:cs="Times New Roman"/>
          <w:kern w:val="0"/>
        </w:rPr>
      </w:pPr>
      <w:r>
        <w:rPr>
          <w:rFonts w:hint="eastAsia" w:ascii="黑体" w:hAnsi="Times New Roman" w:eastAsia="黑体" w:cs="Times New Roman"/>
          <w:b w:val="0"/>
          <w:bCs w:val="0"/>
          <w:kern w:val="0"/>
          <w:sz w:val="21"/>
          <w:szCs w:val="21"/>
          <w:lang w:val="en-US" w:eastAsia="zh-CN" w:bidi="ar-SA"/>
        </w:rPr>
        <w:t>6.5.2.</w:t>
      </w:r>
      <w:r>
        <w:rPr>
          <w:rFonts w:hint="eastAsia" w:ascii="黑体" w:eastAsia="黑体" w:cs="Times New Roman"/>
          <w:b w:val="0"/>
          <w:bCs w:val="0"/>
          <w:kern w:val="0"/>
          <w:sz w:val="21"/>
          <w:szCs w:val="21"/>
          <w:lang w:val="en-US" w:eastAsia="zh-CN" w:bidi="ar-SA"/>
        </w:rPr>
        <w:t>2</w:t>
      </w:r>
      <w:r>
        <w:rPr>
          <w:rFonts w:hint="eastAsia" w:ascii="黑体" w:eastAsia="黑体" w:cs="Times New Roman"/>
          <w:kern w:val="0"/>
        </w:rPr>
        <w:t>配种方式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建立存栏熊谱系，合理调1对，避免近缘繁殖。单公群母，公母比例为1：2～6。</w:t>
      </w:r>
    </w:p>
    <w:p>
      <w:pPr>
        <w:pStyle w:val="24"/>
        <w:spacing w:before="156" w:beforeLines="50" w:after="156" w:afterLines="50"/>
        <w:rPr>
          <w:rFonts w:hint="eastAsia" w:ascii="黑体" w:hAnsi="Times New Roman" w:eastAsia="黑体" w:cs="Times New Roman"/>
          <w:b w:val="0"/>
          <w:bCs w:val="0"/>
          <w:kern w:val="0"/>
          <w:sz w:val="21"/>
          <w:szCs w:val="21"/>
          <w:lang w:val="en-US" w:eastAsia="zh-CN" w:bidi="ar-SA"/>
        </w:rPr>
      </w:pPr>
      <w:r>
        <w:rPr>
          <w:rFonts w:hint="eastAsia" w:ascii="黑体" w:hAnsi="Times New Roman" w:eastAsia="黑体" w:cs="Times New Roman"/>
          <w:b w:val="0"/>
          <w:bCs w:val="0"/>
          <w:kern w:val="0"/>
          <w:sz w:val="21"/>
          <w:szCs w:val="21"/>
          <w:lang w:val="en-US" w:eastAsia="zh-CN" w:bidi="ar-SA"/>
        </w:rPr>
        <w:t>6.5.2.3种熊合群</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eastAsia="Songti SC" w:cs="Times New Roman"/>
        </w:rPr>
      </w:pPr>
      <w:r>
        <w:rPr>
          <w:rFonts w:hint="eastAsia" w:ascii="宋体" w:hAnsi="宋体" w:eastAsia="宋体" w:cs="宋体"/>
        </w:rPr>
        <w:t>合群前检查体况，无疾病、外伤者方可合群。合群时，先将母熊放入配种圈舍合群适应一周，再放入种公熊。严密观察，发现公母之间、母母之间有恶性打斗者及时调出。</w:t>
      </w:r>
    </w:p>
    <w:p>
      <w:pPr>
        <w:spacing w:before="157" w:beforeLines="50" w:after="157" w:afterLines="50"/>
        <w:rPr>
          <w:rFonts w:hint="eastAsia" w:ascii="黑体" w:eastAsia="黑体" w:cs="Times New Roman"/>
          <w:b w:val="0"/>
          <w:bCs w:val="0"/>
          <w:kern w:val="0"/>
        </w:rPr>
      </w:pPr>
      <w:r>
        <w:rPr>
          <w:rFonts w:hint="eastAsia" w:ascii="黑体" w:hAnsi="Times New Roman" w:eastAsia="黑体" w:cs="Times New Roman"/>
          <w:b w:val="0"/>
          <w:bCs w:val="0"/>
          <w:kern w:val="0"/>
          <w:sz w:val="21"/>
          <w:szCs w:val="21"/>
          <w:lang w:val="en-US" w:eastAsia="zh-CN" w:bidi="ar-SA"/>
        </w:rPr>
        <w:t>6.5.2.</w:t>
      </w:r>
      <w:r>
        <w:rPr>
          <w:rFonts w:hint="eastAsia" w:ascii="黑体" w:eastAsia="黑体" w:cs="Times New Roman"/>
          <w:b w:val="0"/>
          <w:bCs w:val="0"/>
          <w:kern w:val="0"/>
          <w:sz w:val="21"/>
          <w:szCs w:val="21"/>
          <w:lang w:val="en-US" w:eastAsia="zh-CN" w:bidi="ar-SA"/>
        </w:rPr>
        <w:t>4</w:t>
      </w:r>
      <w:r>
        <w:rPr>
          <w:rFonts w:hint="eastAsia" w:ascii="黑体" w:eastAsia="黑体" w:cs="Times New Roman"/>
          <w:b w:val="0"/>
          <w:bCs w:val="0"/>
          <w:kern w:val="0"/>
        </w:rPr>
        <w:t>供食</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一天饲喂2次，供给适口性强、易消化的蛋白质饲料，保证充足饮水，供给蜂蜜水、水果（西瓜、苹果）和瓜果类青绿多汁饲料。</w:t>
      </w:r>
    </w:p>
    <w:p>
      <w:pPr>
        <w:pStyle w:val="24"/>
        <w:spacing w:before="156" w:beforeLines="50" w:after="156" w:afterLines="50"/>
        <w:rPr>
          <w:rFonts w:hint="eastAsia" w:ascii="黑体" w:hAnsi="Times New Roman" w:eastAsia="黑体" w:cs="Times New Roman"/>
          <w:b w:val="0"/>
          <w:bCs w:val="0"/>
          <w:kern w:val="0"/>
          <w:sz w:val="21"/>
          <w:szCs w:val="21"/>
          <w:lang w:val="en-US" w:eastAsia="zh-CN" w:bidi="ar-SA"/>
        </w:rPr>
      </w:pPr>
      <w:r>
        <w:rPr>
          <w:rFonts w:hint="eastAsia" w:ascii="黑体" w:hAnsi="Times New Roman" w:eastAsia="黑体" w:cs="Times New Roman"/>
          <w:b w:val="0"/>
          <w:bCs w:val="0"/>
          <w:kern w:val="0"/>
          <w:sz w:val="21"/>
          <w:szCs w:val="21"/>
          <w:lang w:val="en-US" w:eastAsia="zh-CN" w:bidi="ar-SA"/>
        </w:rPr>
        <w:t>6.5.2.5安全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此时期的熊凶猛、急躁、攻击行为强，一是接近的饲养管理人员尽可能远离；二是检查圈舍设施，防止熊逃逸。</w:t>
      </w:r>
    </w:p>
    <w:p>
      <w:pPr>
        <w:pStyle w:val="24"/>
        <w:spacing w:before="156" w:beforeLines="50" w:after="156" w:afterLines="50"/>
        <w:rPr>
          <w:rFonts w:hint="eastAsia" w:ascii="黑体" w:hAnsi="Times New Roman" w:eastAsia="黑体" w:cs="Times New Roman"/>
          <w:b w:val="0"/>
          <w:bCs w:val="0"/>
          <w:kern w:val="0"/>
          <w:sz w:val="21"/>
          <w:szCs w:val="21"/>
          <w:lang w:val="en-US" w:eastAsia="zh-CN" w:bidi="ar-SA"/>
        </w:rPr>
      </w:pPr>
      <w:bookmarkStart w:id="16" w:name="_Toc12285271"/>
      <w:bookmarkStart w:id="17" w:name="_Toc41146353"/>
      <w:bookmarkStart w:id="18" w:name="_Toc8832698"/>
      <w:bookmarkStart w:id="19" w:name="_Toc54094792"/>
      <w:bookmarkStart w:id="20" w:name="_Toc12292502"/>
      <w:bookmarkStart w:id="21" w:name="_Toc12288832"/>
      <w:bookmarkStart w:id="22" w:name="_Toc41157800"/>
      <w:r>
        <w:rPr>
          <w:rFonts w:hint="eastAsia" w:ascii="黑体" w:hAnsi="Times New Roman" w:eastAsia="黑体" w:cs="Times New Roman"/>
          <w:b w:val="0"/>
          <w:bCs w:val="0"/>
          <w:kern w:val="0"/>
          <w:sz w:val="21"/>
          <w:szCs w:val="21"/>
          <w:lang w:val="en-US" w:eastAsia="zh-CN" w:bidi="ar-SA"/>
        </w:rPr>
        <w:t>6.5.3 妊娠母熊</w:t>
      </w:r>
      <w:bookmarkEnd w:id="16"/>
      <w:bookmarkEnd w:id="17"/>
      <w:bookmarkEnd w:id="18"/>
      <w:bookmarkEnd w:id="19"/>
      <w:bookmarkEnd w:id="20"/>
      <w:bookmarkEnd w:id="21"/>
      <w:bookmarkEnd w:id="22"/>
      <w:bookmarkStart w:id="23" w:name="_Toc12292503"/>
      <w:bookmarkStart w:id="24" w:name="_Toc41157801"/>
      <w:bookmarkStart w:id="25" w:name="_Toc12288833"/>
      <w:bookmarkStart w:id="26" w:name="_Toc12285272"/>
      <w:bookmarkStart w:id="27" w:name="_Toc41146354"/>
      <w:bookmarkStart w:id="28" w:name="_Toc54094793"/>
    </w:p>
    <w:p>
      <w:pPr>
        <w:pStyle w:val="24"/>
        <w:spacing w:before="156" w:beforeLines="50" w:after="156" w:afterLines="50"/>
        <w:rPr>
          <w:rFonts w:hint="eastAsia" w:ascii="黑体" w:hAnsi="Times New Roman" w:eastAsia="黑体" w:cs="Times New Roman"/>
          <w:b w:val="0"/>
          <w:bCs w:val="0"/>
          <w:kern w:val="0"/>
          <w:sz w:val="21"/>
          <w:szCs w:val="21"/>
          <w:lang w:val="en-US" w:eastAsia="zh-CN" w:bidi="ar-SA"/>
        </w:rPr>
      </w:pPr>
      <w:r>
        <w:rPr>
          <w:rFonts w:hint="eastAsia" w:ascii="黑体" w:hAnsi="Times New Roman" w:eastAsia="黑体" w:cs="Times New Roman"/>
          <w:b w:val="0"/>
          <w:bCs w:val="0"/>
          <w:kern w:val="0"/>
          <w:sz w:val="21"/>
          <w:szCs w:val="21"/>
          <w:lang w:val="en-US" w:eastAsia="zh-CN" w:bidi="ar-SA"/>
        </w:rPr>
        <w:t>6.5.3.1妊娠前期</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妊娠前期的母熊不需要特殊管理，合群饲养，一天喂食两次，供给青绿多汁饲料，保证充足饮水。</w:t>
      </w:r>
      <w:bookmarkEnd w:id="23"/>
      <w:bookmarkEnd w:id="24"/>
      <w:bookmarkEnd w:id="25"/>
      <w:bookmarkEnd w:id="26"/>
      <w:bookmarkEnd w:id="27"/>
      <w:bookmarkEnd w:id="28"/>
    </w:p>
    <w:p>
      <w:pPr>
        <w:pStyle w:val="24"/>
        <w:spacing w:before="156" w:beforeLines="50" w:after="156" w:afterLines="50"/>
        <w:rPr>
          <w:rFonts w:hint="eastAsia" w:ascii="黑体" w:hAnsi="Times New Roman" w:eastAsia="黑体" w:cs="Times New Roman"/>
          <w:b w:val="0"/>
          <w:bCs w:val="0"/>
          <w:kern w:val="0"/>
          <w:sz w:val="21"/>
          <w:szCs w:val="21"/>
          <w:lang w:val="en-US" w:eastAsia="zh-CN" w:bidi="ar-SA"/>
        </w:rPr>
      </w:pPr>
      <w:r>
        <w:rPr>
          <w:rFonts w:hint="eastAsia" w:ascii="黑体" w:hAnsi="Times New Roman" w:eastAsia="黑体" w:cs="Times New Roman"/>
          <w:b w:val="0"/>
          <w:bCs w:val="0"/>
          <w:kern w:val="0"/>
          <w:sz w:val="21"/>
          <w:szCs w:val="21"/>
          <w:lang w:val="en-US" w:eastAsia="zh-CN" w:bidi="ar-SA"/>
        </w:rPr>
        <w:t>6.5.3.2妊娠后期</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受精卵着床后发育很快，供给优质饲料和逐渐增加微量元素添加剂，严禁投喂霉变饲料。一天饲喂2次，供给清洁充足的青饲料，保证充足饮水。</w:t>
      </w:r>
    </w:p>
    <w:p>
      <w:pPr>
        <w:pStyle w:val="24"/>
        <w:spacing w:before="156" w:beforeLines="50" w:after="156" w:afterLines="50"/>
        <w:rPr>
          <w:rFonts w:hint="eastAsia" w:ascii="黑体" w:hAnsi="Times New Roman" w:eastAsia="黑体" w:cs="Times New Roman"/>
          <w:b w:val="0"/>
          <w:bCs w:val="0"/>
          <w:kern w:val="0"/>
          <w:sz w:val="21"/>
          <w:szCs w:val="21"/>
          <w:lang w:val="en-US" w:eastAsia="zh-CN" w:bidi="ar-SA"/>
        </w:rPr>
      </w:pPr>
      <w:bookmarkStart w:id="29" w:name="_Toc12288834"/>
      <w:bookmarkStart w:id="30" w:name="_Toc54094794"/>
      <w:bookmarkStart w:id="31" w:name="_Toc41146355"/>
      <w:bookmarkStart w:id="32" w:name="_Toc8832699"/>
      <w:bookmarkStart w:id="33" w:name="_Toc12292504"/>
      <w:bookmarkStart w:id="34" w:name="_Toc41157802"/>
      <w:bookmarkStart w:id="35" w:name="_Toc12285273"/>
      <w:r>
        <w:rPr>
          <w:rFonts w:hint="eastAsia" w:ascii="黑体" w:hAnsi="Times New Roman" w:eastAsia="黑体" w:cs="Times New Roman"/>
          <w:b w:val="0"/>
          <w:bCs w:val="0"/>
          <w:kern w:val="0"/>
          <w:sz w:val="21"/>
          <w:szCs w:val="21"/>
          <w:lang w:val="en-US" w:eastAsia="zh-CN" w:bidi="ar-SA"/>
        </w:rPr>
        <w:t>6.5.4 产仔哺乳熊</w:t>
      </w:r>
      <w:bookmarkEnd w:id="29"/>
      <w:bookmarkEnd w:id="30"/>
      <w:bookmarkEnd w:id="31"/>
      <w:bookmarkEnd w:id="32"/>
      <w:bookmarkEnd w:id="33"/>
      <w:bookmarkEnd w:id="34"/>
      <w:bookmarkEnd w:id="35"/>
    </w:p>
    <w:p>
      <w:pPr>
        <w:pStyle w:val="24"/>
        <w:spacing w:before="156" w:beforeLines="50" w:after="156" w:afterLines="50"/>
        <w:rPr>
          <w:rFonts w:hint="eastAsia" w:ascii="黑体" w:hAnsi="Times New Roman" w:eastAsia="黑体" w:cs="Times New Roman"/>
          <w:b w:val="0"/>
          <w:bCs w:val="0"/>
          <w:kern w:val="0"/>
          <w:sz w:val="21"/>
          <w:szCs w:val="21"/>
          <w:lang w:val="en-US" w:eastAsia="zh-CN" w:bidi="ar-SA"/>
        </w:rPr>
      </w:pPr>
      <w:r>
        <w:rPr>
          <w:rFonts w:hint="eastAsia" w:ascii="黑体" w:hAnsi="Times New Roman" w:eastAsia="黑体" w:cs="Times New Roman"/>
          <w:b w:val="0"/>
          <w:bCs w:val="0"/>
          <w:kern w:val="0"/>
          <w:sz w:val="21"/>
          <w:szCs w:val="21"/>
          <w:lang w:val="en-US" w:eastAsia="zh-CN" w:bidi="ar-SA"/>
        </w:rPr>
        <w:t>6.5.4.1时间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12月底～2月底，1月为产子旺季，哺乳期3个月～4个月。</w:t>
      </w:r>
    </w:p>
    <w:p>
      <w:pPr>
        <w:pStyle w:val="24"/>
        <w:spacing w:before="156" w:beforeLines="50" w:after="156" w:afterLines="50"/>
        <w:rPr>
          <w:rFonts w:hint="eastAsia" w:ascii="黑体" w:hAnsi="Times New Roman" w:eastAsia="黑体" w:cs="Times New Roman"/>
          <w:b w:val="0"/>
          <w:bCs w:val="0"/>
          <w:kern w:val="0"/>
          <w:sz w:val="21"/>
          <w:szCs w:val="21"/>
          <w:lang w:val="en-US" w:eastAsia="zh-CN" w:bidi="ar-SA"/>
        </w:rPr>
      </w:pPr>
      <w:r>
        <w:rPr>
          <w:rFonts w:hint="eastAsia" w:ascii="黑体" w:hAnsi="Times New Roman" w:eastAsia="黑体" w:cs="Times New Roman"/>
          <w:b w:val="0"/>
          <w:bCs w:val="0"/>
          <w:kern w:val="0"/>
          <w:sz w:val="21"/>
          <w:szCs w:val="21"/>
          <w:lang w:val="en-US" w:eastAsia="zh-CN" w:bidi="ar-SA"/>
        </w:rPr>
        <w:t>6.5.4.</w:t>
      </w:r>
      <w:r>
        <w:rPr>
          <w:rFonts w:hint="eastAsia" w:ascii="黑体" w:cs="Times New Roman"/>
          <w:b w:val="0"/>
          <w:bCs w:val="0"/>
          <w:kern w:val="0"/>
          <w:sz w:val="21"/>
          <w:szCs w:val="21"/>
          <w:lang w:val="en-US" w:eastAsia="zh-CN" w:bidi="ar-SA"/>
        </w:rPr>
        <w:t>2</w:t>
      </w:r>
      <w:r>
        <w:rPr>
          <w:rFonts w:hint="eastAsia" w:ascii="黑体" w:hAnsi="Times New Roman" w:eastAsia="黑体" w:cs="Times New Roman"/>
          <w:b w:val="0"/>
          <w:bCs w:val="0"/>
          <w:kern w:val="0"/>
          <w:sz w:val="21"/>
          <w:szCs w:val="21"/>
          <w:lang w:val="en-US" w:eastAsia="zh-CN" w:bidi="ar-SA"/>
        </w:rPr>
        <w:t>产仔管理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产子时保持环境安静，拒绝燃放鞭炮，圈舍遮光、防风保温，投食的食具尽量靠近母熊，谢绝外来参观。</w:t>
      </w:r>
    </w:p>
    <w:p>
      <w:pPr>
        <w:pStyle w:val="24"/>
        <w:spacing w:before="156" w:beforeLines="50" w:after="156" w:afterLines="50"/>
        <w:rPr>
          <w:rFonts w:hint="eastAsia" w:ascii="黑体" w:hAnsi="Times New Roman" w:eastAsia="黑体" w:cs="Times New Roman"/>
          <w:b w:val="0"/>
          <w:bCs w:val="0"/>
          <w:kern w:val="0"/>
          <w:sz w:val="21"/>
          <w:szCs w:val="21"/>
          <w:lang w:val="en-US" w:eastAsia="zh-CN" w:bidi="ar-SA"/>
        </w:rPr>
      </w:pPr>
      <w:r>
        <w:rPr>
          <w:rFonts w:hint="eastAsia" w:ascii="黑体" w:hAnsi="Times New Roman" w:eastAsia="黑体" w:cs="Times New Roman"/>
          <w:b w:val="0"/>
          <w:bCs w:val="0"/>
          <w:kern w:val="0"/>
          <w:sz w:val="21"/>
          <w:szCs w:val="21"/>
          <w:lang w:val="en-US" w:eastAsia="zh-CN" w:bidi="ar-SA"/>
        </w:rPr>
        <w:t>6.5.4.</w:t>
      </w:r>
      <w:r>
        <w:rPr>
          <w:rFonts w:hint="eastAsia" w:ascii="黑体" w:cs="Times New Roman"/>
          <w:b w:val="0"/>
          <w:bCs w:val="0"/>
          <w:kern w:val="0"/>
          <w:sz w:val="21"/>
          <w:szCs w:val="21"/>
          <w:lang w:val="en-US" w:eastAsia="zh-CN" w:bidi="ar-SA"/>
        </w:rPr>
        <w:t>3</w:t>
      </w:r>
      <w:r>
        <w:rPr>
          <w:rFonts w:hint="eastAsia" w:ascii="黑体" w:hAnsi="Times New Roman" w:eastAsia="黑体" w:cs="Times New Roman"/>
          <w:b w:val="0"/>
          <w:bCs w:val="0"/>
          <w:kern w:val="0"/>
          <w:sz w:val="21"/>
          <w:szCs w:val="21"/>
          <w:lang w:val="en-US" w:eastAsia="zh-CN" w:bidi="ar-SA"/>
        </w:rPr>
        <w:t>供食</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供给适口性强的优质蛋白饲料，供给牛奶、鸡蛋，避免因异味（香水、香皂等）带入而造成母熊弃仔、食仔现象。</w:t>
      </w:r>
    </w:p>
    <w:p>
      <w:pPr>
        <w:pStyle w:val="24"/>
        <w:spacing w:before="156" w:beforeLines="50" w:after="156" w:afterLines="50"/>
        <w:rPr>
          <w:rFonts w:hint="eastAsia" w:ascii="黑体" w:hAnsi="Times New Roman" w:eastAsia="黑体" w:cs="Times New Roman"/>
          <w:b w:val="0"/>
          <w:bCs w:val="0"/>
          <w:kern w:val="0"/>
          <w:sz w:val="21"/>
          <w:szCs w:val="21"/>
          <w:lang w:val="en-US" w:eastAsia="zh-CN" w:bidi="ar-SA"/>
        </w:rPr>
      </w:pPr>
      <w:r>
        <w:rPr>
          <w:rFonts w:hint="eastAsia" w:ascii="黑体" w:hAnsi="Times New Roman" w:eastAsia="黑体" w:cs="Times New Roman"/>
          <w:b w:val="0"/>
          <w:bCs w:val="0"/>
          <w:kern w:val="0"/>
          <w:sz w:val="21"/>
          <w:szCs w:val="21"/>
          <w:lang w:val="en-US" w:eastAsia="zh-CN" w:bidi="ar-SA"/>
        </w:rPr>
        <w:t>6.5.5 断乳育幼</w:t>
      </w:r>
    </w:p>
    <w:p>
      <w:pPr>
        <w:pStyle w:val="24"/>
        <w:spacing w:before="156" w:beforeLines="50" w:after="156" w:afterLines="50"/>
        <w:rPr>
          <w:rFonts w:hint="eastAsia" w:ascii="黑体" w:hAnsi="Times New Roman" w:eastAsia="黑体" w:cs="Times New Roman"/>
          <w:b w:val="0"/>
          <w:bCs w:val="0"/>
          <w:kern w:val="0"/>
          <w:sz w:val="21"/>
          <w:szCs w:val="21"/>
          <w:lang w:val="en-US" w:eastAsia="zh-CN" w:bidi="ar-SA"/>
        </w:rPr>
      </w:pPr>
      <w:r>
        <w:rPr>
          <w:rFonts w:hint="eastAsia" w:ascii="黑体" w:hAnsi="Times New Roman" w:eastAsia="黑体" w:cs="Times New Roman"/>
          <w:b w:val="0"/>
          <w:bCs w:val="0"/>
          <w:kern w:val="0"/>
          <w:sz w:val="21"/>
          <w:szCs w:val="21"/>
          <w:lang w:val="en-US" w:eastAsia="zh-CN" w:bidi="ar-SA"/>
        </w:rPr>
        <w:t>6.5.5.1断乳时间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幼熊90日龄～120日龄断乳。</w:t>
      </w:r>
    </w:p>
    <w:p>
      <w:pPr>
        <w:pStyle w:val="24"/>
        <w:spacing w:before="156" w:beforeLines="50" w:after="156" w:afterLines="50"/>
        <w:rPr>
          <w:rFonts w:hint="eastAsia" w:ascii="黑体" w:hAnsi="Times New Roman" w:eastAsia="黑体" w:cs="Times New Roman"/>
          <w:b w:val="0"/>
          <w:bCs w:val="0"/>
          <w:kern w:val="0"/>
          <w:sz w:val="21"/>
          <w:szCs w:val="21"/>
          <w:lang w:val="en-US" w:eastAsia="zh-CN" w:bidi="ar-SA"/>
        </w:rPr>
      </w:pPr>
      <w:r>
        <w:rPr>
          <w:rFonts w:hint="eastAsia" w:ascii="黑体" w:hAnsi="Times New Roman" w:eastAsia="黑体" w:cs="Times New Roman"/>
          <w:b w:val="0"/>
          <w:bCs w:val="0"/>
          <w:kern w:val="0"/>
          <w:sz w:val="21"/>
          <w:szCs w:val="21"/>
          <w:lang w:val="en-US" w:eastAsia="zh-CN" w:bidi="ar-SA"/>
        </w:rPr>
        <w:t>6.5.5.2方式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隔离母熊，从产房中抓出幼熊，或从产房投食孔诱出幼熊方式将母子分开。</w:t>
      </w:r>
    </w:p>
    <w:p>
      <w:pPr>
        <w:pStyle w:val="24"/>
        <w:spacing w:before="156" w:beforeLines="50" w:after="156" w:afterLines="50"/>
        <w:rPr>
          <w:rFonts w:hint="eastAsia" w:ascii="黑体" w:hAnsi="Times New Roman" w:eastAsia="黑体" w:cs="Times New Roman"/>
          <w:b w:val="0"/>
          <w:bCs w:val="0"/>
          <w:kern w:val="0"/>
          <w:sz w:val="21"/>
          <w:szCs w:val="21"/>
          <w:lang w:val="en-US" w:eastAsia="zh-CN" w:bidi="ar-SA"/>
        </w:rPr>
      </w:pPr>
      <w:r>
        <w:rPr>
          <w:rFonts w:hint="eastAsia" w:ascii="黑体" w:hAnsi="Times New Roman" w:eastAsia="黑体" w:cs="Times New Roman"/>
          <w:b w:val="0"/>
          <w:bCs w:val="0"/>
          <w:kern w:val="0"/>
          <w:sz w:val="21"/>
          <w:szCs w:val="21"/>
          <w:lang w:val="en-US" w:eastAsia="zh-CN" w:bidi="ar-SA"/>
        </w:rPr>
        <w:t>6.5.5.3育幼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eastAsia="Songti SC" w:cs="Times New Roman"/>
        </w:rPr>
      </w:pPr>
      <w:r>
        <w:rPr>
          <w:rFonts w:hint="eastAsia" w:ascii="宋体" w:hAnsi="宋体" w:eastAsia="宋体" w:cs="宋体"/>
        </w:rPr>
        <w:t>隔离出的幼熊，标记、称重、记录，放入育幼室集中群养。环境温度保持在16℃～18℃。前期供给一段婴儿奶粉，每日3次～5次，以后逐渐改用二段、三段婴儿奶粉，逐渐增加幼熊饲料至正常采食。</w:t>
      </w:r>
      <w:bookmarkStart w:id="36" w:name="_Toc8832700"/>
    </w:p>
    <w:p>
      <w:pPr>
        <w:pStyle w:val="24"/>
        <w:spacing w:before="156" w:beforeLines="50" w:after="156" w:afterLines="50"/>
        <w:rPr>
          <w:rFonts w:hint="eastAsia" w:ascii="黑体" w:hAnsi="Times New Roman" w:eastAsia="黑体" w:cs="Times New Roman"/>
          <w:b w:val="0"/>
          <w:bCs w:val="0"/>
          <w:kern w:val="0"/>
          <w:sz w:val="21"/>
          <w:szCs w:val="21"/>
          <w:lang w:val="en-US" w:eastAsia="zh-CN" w:bidi="ar-SA"/>
        </w:rPr>
      </w:pPr>
      <w:r>
        <w:rPr>
          <w:rFonts w:hint="eastAsia" w:ascii="黑体" w:hAnsi="Times New Roman" w:eastAsia="黑体" w:cs="Times New Roman"/>
          <w:b w:val="0"/>
          <w:bCs w:val="0"/>
          <w:kern w:val="0"/>
          <w:sz w:val="21"/>
          <w:szCs w:val="21"/>
          <w:lang w:val="en-US" w:eastAsia="zh-CN" w:bidi="ar-SA"/>
        </w:rPr>
        <w:t>6.6 取胆熊</w:t>
      </w:r>
      <w:bookmarkEnd w:id="36"/>
    </w:p>
    <w:p>
      <w:pPr>
        <w:pStyle w:val="24"/>
        <w:spacing w:before="156" w:beforeLines="50" w:after="156" w:afterLines="50"/>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6.6.1 引流取胆汁次数与数量。</w:t>
      </w:r>
    </w:p>
    <w:p>
      <w:pPr>
        <w:pStyle w:val="24"/>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kern w:val="2"/>
          <w:sz w:val="21"/>
          <w:szCs w:val="21"/>
          <w:lang w:val="en-US" w:eastAsia="zh-CN" w:bidi="ar-SA"/>
        </w:rPr>
        <w:t>取胆不得超出2次，日均取胆汁量不得超出150 ml。</w:t>
      </w:r>
    </w:p>
    <w:p>
      <w:pPr>
        <w:pStyle w:val="24"/>
        <w:spacing w:before="156" w:beforeLines="50" w:after="156" w:afterLines="50"/>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6.6.2 供给优质精饲料、多汁饲料，供给充足饮水。</w:t>
      </w:r>
    </w:p>
    <w:p>
      <w:pPr>
        <w:pStyle w:val="24"/>
        <w:spacing w:before="156" w:beforeLines="50" w:after="156" w:afterLines="50"/>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6.6.3 供给足够的微矿物资、氨基酸、维生素。</w:t>
      </w:r>
    </w:p>
    <w:p>
      <w:pPr>
        <w:pStyle w:val="24"/>
        <w:spacing w:before="156" w:beforeLines="50" w:after="156" w:afterLines="50"/>
        <w:rPr>
          <w:rFonts w:hint="eastAsia" w:ascii="黑体" w:hAnsi="Times New Roman" w:eastAsia="黑体" w:cs="Times New Roman"/>
          <w:b w:val="0"/>
          <w:bCs w:val="0"/>
          <w:kern w:val="0"/>
          <w:sz w:val="21"/>
          <w:szCs w:val="21"/>
          <w:lang w:val="en-US" w:eastAsia="zh-CN" w:bidi="ar-SA"/>
        </w:rPr>
      </w:pPr>
      <w:r>
        <w:rPr>
          <w:rFonts w:hint="eastAsia" w:ascii="黑体" w:hAnsi="Times New Roman" w:eastAsia="黑体" w:cs="Times New Roman"/>
          <w:b w:val="0"/>
          <w:bCs w:val="0"/>
          <w:kern w:val="0"/>
          <w:sz w:val="21"/>
          <w:szCs w:val="21"/>
          <w:lang w:val="en-US" w:eastAsia="zh-CN" w:bidi="ar-SA"/>
        </w:rPr>
        <w:t>6.7 养老熊</w:t>
      </w:r>
    </w:p>
    <w:p>
      <w:pPr>
        <w:pStyle w:val="24"/>
        <w:spacing w:before="156" w:beforeLines="50" w:after="156" w:afterLines="50"/>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6.7.1 养殖环境为圈养，群养，体质弱的单独笼养。</w:t>
      </w:r>
    </w:p>
    <w:p>
      <w:pPr>
        <w:pStyle w:val="24"/>
        <w:spacing w:before="156" w:beforeLines="50" w:after="156" w:afterLines="50"/>
        <w:rPr>
          <w:rFonts w:hint="eastAsia" w:ascii="宋体" w:hAnsi="宋体" w:eastAsia="宋体" w:cs="宋体"/>
          <w:b w:val="0"/>
          <w:bCs w:val="0"/>
          <w:kern w:val="0"/>
          <w:sz w:val="21"/>
          <w:szCs w:val="21"/>
          <w:lang w:val="zh-CN" w:eastAsia="zh-CN" w:bidi="ar-SA"/>
        </w:rPr>
      </w:pPr>
      <w:r>
        <w:rPr>
          <w:rFonts w:hint="eastAsia" w:ascii="宋体" w:hAnsi="宋体" w:eastAsia="宋体" w:cs="宋体"/>
          <w:b w:val="0"/>
          <w:bCs w:val="0"/>
          <w:kern w:val="0"/>
          <w:sz w:val="21"/>
          <w:szCs w:val="21"/>
          <w:lang w:val="en-US" w:eastAsia="zh-CN" w:bidi="ar-SA"/>
        </w:rPr>
        <w:t>6.7.2 投食、卫生等管理，同其它成年熊。</w:t>
      </w:r>
    </w:p>
    <w:p>
      <w:pPr>
        <w:pStyle w:val="24"/>
        <w:keepNext w:val="0"/>
        <w:keepLines w:val="0"/>
        <w:pageBreakBefore w:val="0"/>
        <w:widowControl/>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b w:val="0"/>
          <w:bCs w:val="0"/>
          <w:kern w:val="0"/>
          <w:sz w:val="21"/>
          <w:szCs w:val="21"/>
          <w:lang w:val="en-US" w:eastAsia="zh-CN" w:bidi="ar-SA"/>
        </w:rPr>
      </w:pPr>
      <w:bookmarkStart w:id="37" w:name="_Toc54094795"/>
      <w:r>
        <w:rPr>
          <w:rFonts w:hint="eastAsia" w:ascii="黑体" w:hAnsi="Times New Roman" w:eastAsia="黑体" w:cs="Times New Roman"/>
          <w:b w:val="0"/>
          <w:bCs w:val="0"/>
          <w:kern w:val="0"/>
          <w:sz w:val="21"/>
          <w:szCs w:val="21"/>
          <w:lang w:val="en-US" w:eastAsia="zh-CN" w:bidi="ar-SA"/>
        </w:rPr>
        <w:t>7 人员要求</w:t>
      </w:r>
      <w:bookmarkEnd w:id="37"/>
    </w:p>
    <w:p>
      <w:pPr>
        <w:pStyle w:val="24"/>
        <w:spacing w:before="156" w:beforeLines="50" w:after="156" w:afterLines="50"/>
        <w:rPr>
          <w:rFonts w:hint="eastAsia" w:ascii="黑体" w:hAnsi="Times New Roman" w:eastAsia="黑体" w:cs="Times New Roman"/>
          <w:b w:val="0"/>
          <w:bCs w:val="0"/>
          <w:kern w:val="0"/>
          <w:sz w:val="21"/>
          <w:szCs w:val="21"/>
          <w:lang w:val="en-US" w:eastAsia="zh-CN" w:bidi="ar-SA"/>
        </w:rPr>
      </w:pPr>
      <w:r>
        <w:rPr>
          <w:rFonts w:hint="eastAsia" w:ascii="黑体" w:hAnsi="Times New Roman" w:eastAsia="黑体" w:cs="Times New Roman"/>
          <w:b w:val="0"/>
          <w:bCs w:val="0"/>
          <w:kern w:val="0"/>
          <w:sz w:val="21"/>
          <w:szCs w:val="21"/>
          <w:lang w:val="en-US" w:eastAsia="zh-CN" w:bidi="ar-SA"/>
        </w:rPr>
        <w:t>7.1 兽医</w:t>
      </w:r>
    </w:p>
    <w:p>
      <w:pPr>
        <w:pStyle w:val="24"/>
        <w:spacing w:before="156" w:beforeLines="50" w:after="156" w:afterLines="50"/>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7.1.1</w:t>
      </w:r>
      <w:r>
        <w:rPr>
          <w:rFonts w:hint="eastAsia" w:ascii="黑体" w:hAnsi="Times New Roman" w:eastAsia="黑体" w:cs="Times New Roman"/>
          <w:b w:val="0"/>
          <w:bCs w:val="0"/>
          <w:kern w:val="0"/>
          <w:sz w:val="21"/>
          <w:szCs w:val="21"/>
          <w:lang w:val="en-US" w:eastAsia="zh-CN" w:bidi="ar-SA"/>
        </w:rPr>
        <w:t xml:space="preserve"> </w:t>
      </w:r>
      <w:r>
        <w:rPr>
          <w:rFonts w:hint="eastAsia" w:ascii="黑体" w:hAnsi="Times New Roman" w:eastAsia="黑体" w:cs="Times New Roman"/>
          <w:b w:val="0"/>
          <w:bCs w:val="0"/>
          <w:kern w:val="0"/>
          <w:sz w:val="21"/>
          <w:szCs w:val="21"/>
          <w:lang w:val="zh-CN" w:eastAsia="zh-CN" w:bidi="ar-SA"/>
        </w:rPr>
        <w:t>职业要求</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2"/>
          <w:sz w:val="21"/>
          <w:szCs w:val="21"/>
          <w:lang w:val="zh-CN" w:eastAsia="zh-CN" w:bidi="ar-SA"/>
        </w:rPr>
      </w:pPr>
      <w:r>
        <w:rPr>
          <w:rFonts w:hint="eastAsia" w:ascii="宋体" w:hAnsi="宋体" w:eastAsia="宋体" w:cs="宋体"/>
          <w:kern w:val="2"/>
          <w:sz w:val="21"/>
          <w:szCs w:val="21"/>
          <w:lang w:val="zh-CN" w:eastAsia="zh-CN" w:bidi="ar-SA"/>
        </w:rPr>
        <w:t>具备职业兽医资格，或相似资质，了解掌握黑熊</w:t>
      </w:r>
      <w:r>
        <w:rPr>
          <w:rFonts w:hint="eastAsia" w:ascii="宋体" w:hAnsi="宋体" w:eastAsia="宋体" w:cs="宋体"/>
          <w:kern w:val="2"/>
          <w:sz w:val="21"/>
          <w:szCs w:val="21"/>
          <w:lang w:val="en-US" w:eastAsia="zh-CN" w:bidi="ar-SA"/>
        </w:rPr>
        <w:t>自然习性</w:t>
      </w:r>
      <w:r>
        <w:rPr>
          <w:rFonts w:hint="eastAsia" w:ascii="宋体" w:hAnsi="宋体" w:eastAsia="宋体" w:cs="宋体"/>
          <w:kern w:val="2"/>
          <w:sz w:val="21"/>
          <w:szCs w:val="21"/>
          <w:lang w:val="zh-CN" w:eastAsia="zh-CN" w:bidi="ar-SA"/>
        </w:rPr>
        <w:t>，了解行业背景、国家法律法规，具有熊的疾病诊断、防疫的相关专业知识，认真负责的态度和热爱熊的爱心，具有三年以上养熊技术履历的专业技术人员。</w:t>
      </w:r>
    </w:p>
    <w:p>
      <w:pPr>
        <w:pStyle w:val="24"/>
        <w:spacing w:before="156" w:beforeLines="50" w:after="156" w:afterLines="50"/>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7.1.2 岗位职责</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eastAsia="Songti SC" w:cs="Times New Roman"/>
          <w:lang w:val="zh-CN"/>
        </w:rPr>
      </w:pPr>
      <w:r>
        <w:rPr>
          <w:rFonts w:hint="eastAsia" w:ascii="宋体" w:hAnsi="宋体" w:eastAsia="宋体" w:cs="宋体"/>
          <w:kern w:val="2"/>
          <w:sz w:val="21"/>
          <w:szCs w:val="21"/>
          <w:lang w:val="zh-CN" w:eastAsia="zh-CN" w:bidi="ar-SA"/>
        </w:rPr>
        <w:t>维护熊的健康、保证饲养管理或生产安全。指导熊疾病防控与熊胆汁引流生产、保障熊胆粉生产安全。制定并执行防疫计划，控制人畜共患病等传染性疾病。</w:t>
      </w:r>
    </w:p>
    <w:p>
      <w:pPr>
        <w:pStyle w:val="24"/>
        <w:spacing w:before="156" w:beforeLines="50" w:after="156" w:afterLines="50"/>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7.2 技术人员</w:t>
      </w:r>
    </w:p>
    <w:p>
      <w:pPr>
        <w:pStyle w:val="24"/>
        <w:spacing w:before="156" w:beforeLines="50" w:after="156" w:afterLines="50"/>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7.2.1 职业要求</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eastAsia="Songti SC" w:cs="Times New Roman"/>
          <w:lang w:val="zh-CN"/>
        </w:rPr>
      </w:pPr>
      <w:r>
        <w:rPr>
          <w:rFonts w:hint="eastAsia" w:ascii="宋体" w:hAnsi="宋体" w:eastAsia="宋体" w:cs="宋体"/>
          <w:kern w:val="2"/>
          <w:sz w:val="21"/>
          <w:szCs w:val="21"/>
          <w:lang w:val="zh-CN" w:eastAsia="zh-CN" w:bidi="ar-SA"/>
        </w:rPr>
        <w:t>专科及以上动物医学或相关专业，</w:t>
      </w:r>
      <w:r>
        <w:rPr>
          <w:rFonts w:hint="eastAsia" w:ascii="宋体" w:hAnsi="宋体" w:cs="宋体"/>
          <w:kern w:val="2"/>
          <w:sz w:val="21"/>
          <w:szCs w:val="21"/>
          <w:lang w:val="zh-CN" w:eastAsia="zh-CN" w:bidi="ar-SA"/>
        </w:rPr>
        <w:t>三</w:t>
      </w:r>
      <w:r>
        <w:rPr>
          <w:rFonts w:hint="eastAsia" w:ascii="宋体" w:hAnsi="宋体" w:eastAsia="宋体" w:cs="宋体"/>
          <w:kern w:val="2"/>
          <w:sz w:val="21"/>
          <w:szCs w:val="21"/>
          <w:lang w:val="zh-CN" w:eastAsia="zh-CN" w:bidi="ar-SA"/>
        </w:rPr>
        <w:t>年以上实际工作经验，或人工养熊专业培训，有一定的临床动手能力，应熟悉药理、病理知识，能够下处方。</w:t>
      </w:r>
      <w:r>
        <w:rPr>
          <w:rFonts w:eastAsia="Songti SC" w:cs="Times New Roman"/>
          <w:lang w:val="zh-CN"/>
        </w:rPr>
        <w:t xml:space="preserve"> </w:t>
      </w:r>
    </w:p>
    <w:p>
      <w:pPr>
        <w:pStyle w:val="24"/>
        <w:spacing w:before="156" w:beforeLines="50" w:after="156" w:afterLines="50"/>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7.2.2 岗位职责</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2"/>
          <w:sz w:val="21"/>
          <w:szCs w:val="21"/>
          <w:lang w:val="zh-CN" w:eastAsia="zh-CN" w:bidi="ar-SA"/>
        </w:rPr>
      </w:pPr>
      <w:r>
        <w:rPr>
          <w:rFonts w:hint="eastAsia" w:ascii="宋体" w:hAnsi="宋体" w:eastAsia="宋体" w:cs="宋体"/>
          <w:kern w:val="2"/>
          <w:sz w:val="21"/>
          <w:szCs w:val="21"/>
          <w:lang w:val="zh-CN" w:eastAsia="zh-CN" w:bidi="ar-SA"/>
        </w:rPr>
        <w:t>负责场内饲养员日常工作的监管，场内养殖熊的疾病预防及治疗的实施，负责场内熊的繁殖、饲养工作的组织、监管与执行。</w:t>
      </w:r>
    </w:p>
    <w:p>
      <w:pPr>
        <w:pStyle w:val="24"/>
        <w:spacing w:before="156" w:beforeLines="50" w:after="156" w:afterLines="50"/>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7.3饲养员</w:t>
      </w:r>
    </w:p>
    <w:p>
      <w:pPr>
        <w:pStyle w:val="24"/>
        <w:spacing w:before="156" w:beforeLines="50" w:after="156" w:afterLines="50"/>
        <w:rPr>
          <w:rFonts w:hint="eastAsia" w:ascii="宋体" w:hAnsi="宋体" w:eastAsia="宋体" w:cs="宋体"/>
          <w:b w:val="0"/>
          <w:bCs w:val="0"/>
          <w:kern w:val="0"/>
          <w:sz w:val="21"/>
          <w:szCs w:val="21"/>
          <w:lang w:val="zh-CN" w:eastAsia="zh-CN" w:bidi="ar-SA"/>
        </w:rPr>
      </w:pPr>
      <w:r>
        <w:rPr>
          <w:rFonts w:hint="eastAsia" w:ascii="宋体" w:hAnsi="宋体" w:eastAsia="宋体" w:cs="宋体"/>
          <w:b w:val="0"/>
          <w:bCs w:val="0"/>
          <w:kern w:val="0"/>
          <w:sz w:val="21"/>
          <w:szCs w:val="21"/>
          <w:lang w:val="zh-CN" w:eastAsia="zh-CN" w:bidi="ar-SA"/>
        </w:rPr>
        <w:t>7.3.1 职业要求：初中以上文化，身体健康，具备全劳动力。</w:t>
      </w:r>
    </w:p>
    <w:p>
      <w:pPr>
        <w:pStyle w:val="24"/>
        <w:spacing w:before="156" w:beforeLines="50" w:after="156" w:afterLines="50"/>
        <w:rPr>
          <w:rFonts w:hint="eastAsia" w:ascii="宋体" w:hAnsi="宋体" w:eastAsia="宋体" w:cs="宋体"/>
          <w:b w:val="0"/>
          <w:bCs w:val="0"/>
          <w:kern w:val="0"/>
          <w:sz w:val="21"/>
          <w:szCs w:val="21"/>
          <w:lang w:val="zh-CN" w:eastAsia="zh-CN" w:bidi="ar-SA"/>
        </w:rPr>
      </w:pPr>
      <w:r>
        <w:rPr>
          <w:rFonts w:hint="eastAsia" w:ascii="宋体" w:hAnsi="宋体" w:eastAsia="宋体" w:cs="宋体"/>
          <w:b w:val="0"/>
          <w:bCs w:val="0"/>
          <w:kern w:val="0"/>
          <w:sz w:val="21"/>
          <w:szCs w:val="21"/>
          <w:lang w:val="zh-CN" w:eastAsia="zh-CN" w:bidi="ar-SA"/>
        </w:rPr>
        <w:t>7.3.2 岗位职责：负责圈舍卫生，熊的饲养、驯化、日常观察及记录。</w:t>
      </w:r>
    </w:p>
    <w:p>
      <w:pPr>
        <w:pStyle w:val="24"/>
        <w:spacing w:before="156" w:beforeLines="50" w:after="156" w:afterLines="50"/>
        <w:rPr>
          <w:rFonts w:hint="eastAsia" w:ascii="宋体" w:hAnsi="宋体" w:eastAsia="宋体" w:cs="宋体"/>
          <w:b w:val="0"/>
          <w:bCs w:val="0"/>
          <w:kern w:val="0"/>
          <w:sz w:val="21"/>
          <w:szCs w:val="21"/>
          <w:lang w:val="zh-CN" w:eastAsia="zh-CN" w:bidi="ar-SA"/>
        </w:rPr>
      </w:pPr>
      <w:r>
        <w:rPr>
          <w:rFonts w:hint="eastAsia" w:ascii="宋体" w:hAnsi="宋体" w:eastAsia="宋体" w:cs="宋体"/>
          <w:b w:val="0"/>
          <w:bCs w:val="0"/>
          <w:kern w:val="0"/>
          <w:sz w:val="21"/>
          <w:szCs w:val="21"/>
          <w:lang w:val="zh-CN" w:eastAsia="zh-CN" w:bidi="ar-SA"/>
        </w:rPr>
        <w:t>7.3.3 担任取胆工作的饲养员，具备取胆操作技能。</w:t>
      </w:r>
    </w:p>
    <w:p>
      <w:pPr>
        <w:pStyle w:val="24"/>
        <w:spacing w:before="156" w:beforeLines="50" w:after="156" w:afterLines="50"/>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7.4 着装</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2"/>
          <w:sz w:val="21"/>
          <w:szCs w:val="21"/>
          <w:lang w:val="zh-CN" w:eastAsia="zh-CN" w:bidi="ar-SA"/>
        </w:rPr>
      </w:pPr>
      <w:r>
        <w:rPr>
          <w:rFonts w:hint="eastAsia" w:ascii="宋体" w:hAnsi="宋体" w:eastAsia="宋体" w:cs="宋体"/>
          <w:kern w:val="2"/>
          <w:sz w:val="21"/>
          <w:szCs w:val="21"/>
          <w:lang w:val="zh-CN" w:eastAsia="zh-CN" w:bidi="ar-SA"/>
        </w:rPr>
        <w:t>兽医、技术员、饲养员，在饲养区内分别着不同颜色的工作装。兽医着白色或其他颜色的大褂，技术员、饲养员着衣裤单（分）列式的工作服。</w:t>
      </w:r>
    </w:p>
    <w:p>
      <w:pPr>
        <w:pStyle w:val="24"/>
        <w:spacing w:before="156" w:beforeLines="50" w:after="156" w:afterLines="50"/>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7.5健康检查</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2"/>
          <w:sz w:val="21"/>
          <w:szCs w:val="21"/>
          <w:lang w:val="zh-CN" w:eastAsia="zh-CN" w:bidi="ar-SA"/>
        </w:rPr>
      </w:pPr>
      <w:r>
        <w:rPr>
          <w:rFonts w:hint="eastAsia" w:ascii="宋体" w:hAnsi="宋体" w:eastAsia="宋体" w:cs="宋体"/>
          <w:kern w:val="2"/>
          <w:sz w:val="21"/>
          <w:szCs w:val="21"/>
          <w:lang w:val="zh-CN" w:eastAsia="zh-CN" w:bidi="ar-SA"/>
        </w:rPr>
        <w:t>养殖及管理接触熊的兽医、技术员、饲养员，为健康体检合格者，健康体检每年进行一次。</w:t>
      </w:r>
    </w:p>
    <w:p>
      <w:pPr>
        <w:pStyle w:val="24"/>
        <w:keepNext w:val="0"/>
        <w:keepLines w:val="0"/>
        <w:pageBreakBefore w:val="0"/>
        <w:widowControl/>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b w:val="0"/>
          <w:bCs w:val="0"/>
          <w:kern w:val="0"/>
          <w:sz w:val="21"/>
          <w:szCs w:val="21"/>
          <w:lang w:val="zh-CN" w:eastAsia="zh-CN" w:bidi="ar-SA"/>
        </w:rPr>
      </w:pPr>
      <w:bookmarkStart w:id="38" w:name="_Toc54094796"/>
      <w:r>
        <w:rPr>
          <w:rFonts w:hint="eastAsia" w:ascii="黑体" w:hAnsi="Times New Roman" w:eastAsia="黑体" w:cs="Times New Roman"/>
          <w:b w:val="0"/>
          <w:bCs w:val="0"/>
          <w:kern w:val="0"/>
          <w:sz w:val="21"/>
          <w:szCs w:val="21"/>
          <w:lang w:val="zh-CN" w:eastAsia="zh-CN" w:bidi="ar-SA"/>
        </w:rPr>
        <w:t>8 安全管理</w:t>
      </w:r>
      <w:bookmarkEnd w:id="38"/>
      <w:r>
        <w:rPr>
          <w:rFonts w:hint="eastAsia" w:ascii="黑体" w:hAnsi="Times New Roman" w:eastAsia="黑体" w:cs="Times New Roman"/>
          <w:b w:val="0"/>
          <w:bCs w:val="0"/>
          <w:kern w:val="0"/>
          <w:sz w:val="21"/>
          <w:szCs w:val="21"/>
          <w:lang w:val="zh-CN" w:eastAsia="zh-CN" w:bidi="ar-SA"/>
        </w:rPr>
        <w:t xml:space="preserve"> </w:t>
      </w:r>
    </w:p>
    <w:p>
      <w:pPr>
        <w:pStyle w:val="24"/>
        <w:spacing w:before="156" w:beforeLines="50" w:after="156" w:afterLines="50"/>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8.1人员安全</w:t>
      </w:r>
    </w:p>
    <w:p>
      <w:pPr>
        <w:pStyle w:val="24"/>
        <w:spacing w:before="156" w:beforeLines="50" w:after="156" w:afterLines="50"/>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8.1.1 防疫安全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2"/>
          <w:sz w:val="21"/>
          <w:szCs w:val="21"/>
          <w:lang w:val="zh-CN" w:eastAsia="zh-CN" w:bidi="ar-SA"/>
        </w:rPr>
      </w:pPr>
      <w:r>
        <w:rPr>
          <w:rFonts w:hint="eastAsia" w:ascii="宋体" w:hAnsi="宋体" w:eastAsia="宋体" w:cs="宋体"/>
          <w:kern w:val="2"/>
          <w:sz w:val="21"/>
          <w:szCs w:val="21"/>
          <w:lang w:val="zh-CN" w:eastAsia="zh-CN" w:bidi="ar-SA"/>
        </w:rPr>
        <w:t>直接接触动物的人员穿工作装、戴医用手套，手套一次一换。接触后充分洗手、消毒。</w:t>
      </w:r>
    </w:p>
    <w:p>
      <w:pPr>
        <w:pStyle w:val="24"/>
        <w:spacing w:before="156" w:beforeLines="50" w:after="156" w:afterLines="50"/>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8.1.2 外伤防护</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2"/>
          <w:sz w:val="21"/>
          <w:szCs w:val="21"/>
          <w:lang w:val="zh-CN" w:eastAsia="zh-CN" w:bidi="ar-SA"/>
        </w:rPr>
      </w:pPr>
      <w:r>
        <w:rPr>
          <w:rFonts w:hint="eastAsia" w:ascii="宋体" w:hAnsi="宋体" w:eastAsia="宋体" w:cs="宋体"/>
          <w:kern w:val="2"/>
          <w:sz w:val="21"/>
          <w:szCs w:val="21"/>
          <w:lang w:val="zh-CN" w:eastAsia="zh-CN" w:bidi="ar-SA"/>
        </w:rPr>
        <w:t>防止被黑熊咬伤或抓伤，引流取胆时，应先利用食物引诱黑熊卧倒，方便胆汁引流。黑熊疾病处理或其他应急情况下应首先对黑熊进行麻醉。取胆时，饲养人员要时刻保持警惕，严格按相关操作规程操作。</w:t>
      </w:r>
    </w:p>
    <w:p>
      <w:pPr>
        <w:pStyle w:val="24"/>
        <w:spacing w:before="156" w:beforeLines="50" w:after="156" w:afterLines="50"/>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8.1.3 饲养人员、技术人员、兽医等，不得酒后上岗。</w:t>
      </w:r>
    </w:p>
    <w:p>
      <w:pPr>
        <w:pStyle w:val="24"/>
        <w:spacing w:before="156" w:beforeLines="50" w:after="156" w:afterLines="50"/>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8.2 动物安全</w:t>
      </w:r>
    </w:p>
    <w:p>
      <w:pPr>
        <w:pStyle w:val="24"/>
        <w:keepNext w:val="0"/>
        <w:keepLines w:val="0"/>
        <w:pageBreakBefore w:val="0"/>
        <w:widowControl/>
        <w:kinsoku/>
        <w:wordWrap/>
        <w:overflowPunct/>
        <w:topLinePunct w:val="0"/>
        <w:autoSpaceDE/>
        <w:autoSpaceDN/>
        <w:bidi w:val="0"/>
        <w:adjustRightInd/>
        <w:snapToGrid/>
        <w:spacing w:before="156" w:beforeLines="50" w:after="156" w:afterLines="50"/>
        <w:textAlignment w:val="auto"/>
        <w:rPr>
          <w:rFonts w:hint="eastAsia" w:ascii="宋体" w:hAnsi="宋体" w:eastAsia="宋体" w:cs="宋体"/>
          <w:b w:val="0"/>
          <w:bCs w:val="0"/>
          <w:kern w:val="0"/>
          <w:sz w:val="21"/>
          <w:szCs w:val="21"/>
          <w:lang w:val="zh-CN" w:eastAsia="zh-CN" w:bidi="ar-SA"/>
        </w:rPr>
      </w:pPr>
      <w:r>
        <w:rPr>
          <w:rFonts w:hint="eastAsia" w:ascii="宋体" w:hAnsi="宋体" w:eastAsia="宋体" w:cs="宋体"/>
          <w:b w:val="0"/>
          <w:bCs w:val="0"/>
          <w:kern w:val="0"/>
          <w:sz w:val="21"/>
          <w:szCs w:val="21"/>
          <w:lang w:val="zh-CN" w:eastAsia="zh-CN" w:bidi="ar-SA"/>
        </w:rPr>
        <w:t>8.2.1 养熊场制定人身安全重于一切的防熊逃逸管理预案。黑熊逃逸以食物诱导、围堵、麻醉等方式，阻止逃出养熊场。</w:t>
      </w:r>
    </w:p>
    <w:p>
      <w:pPr>
        <w:pStyle w:val="24"/>
        <w:keepNext w:val="0"/>
        <w:keepLines w:val="0"/>
        <w:pageBreakBefore w:val="0"/>
        <w:widowControl/>
        <w:kinsoku/>
        <w:wordWrap/>
        <w:overflowPunct/>
        <w:topLinePunct w:val="0"/>
        <w:autoSpaceDE/>
        <w:autoSpaceDN/>
        <w:bidi w:val="0"/>
        <w:adjustRightInd/>
        <w:snapToGrid/>
        <w:spacing w:before="156" w:beforeLines="50" w:after="156" w:afterLines="50"/>
        <w:textAlignment w:val="auto"/>
        <w:rPr>
          <w:rFonts w:hint="eastAsia" w:ascii="宋体" w:hAnsi="宋体" w:eastAsia="宋体" w:cs="宋体"/>
          <w:b w:val="0"/>
          <w:bCs w:val="0"/>
          <w:kern w:val="0"/>
          <w:sz w:val="21"/>
          <w:szCs w:val="21"/>
          <w:lang w:val="zh-CN" w:eastAsia="zh-CN" w:bidi="ar-SA"/>
        </w:rPr>
      </w:pPr>
      <w:r>
        <w:rPr>
          <w:rFonts w:hint="eastAsia" w:ascii="宋体" w:hAnsi="宋体" w:eastAsia="宋体" w:cs="宋体"/>
          <w:b w:val="0"/>
          <w:bCs w:val="0"/>
          <w:kern w:val="0"/>
          <w:sz w:val="21"/>
          <w:szCs w:val="21"/>
          <w:lang w:val="zh-CN" w:eastAsia="zh-CN" w:bidi="ar-SA"/>
        </w:rPr>
        <w:t>8.2.2 饲养员、技术人员及兽医，每日应仔细检查笼舍的设施、设备是否有损坏，如有损坏，及时修复。</w:t>
      </w:r>
    </w:p>
    <w:p>
      <w:pPr>
        <w:pStyle w:val="24"/>
        <w:keepNext w:val="0"/>
        <w:keepLines w:val="0"/>
        <w:pageBreakBefore w:val="0"/>
        <w:widowControl/>
        <w:kinsoku/>
        <w:wordWrap/>
        <w:overflowPunct/>
        <w:topLinePunct w:val="0"/>
        <w:autoSpaceDE/>
        <w:autoSpaceDN/>
        <w:bidi w:val="0"/>
        <w:adjustRightInd/>
        <w:snapToGrid/>
        <w:spacing w:before="156" w:beforeLines="50" w:after="156" w:afterLines="50"/>
        <w:textAlignment w:val="auto"/>
        <w:rPr>
          <w:rFonts w:hint="eastAsia" w:ascii="宋体" w:hAnsi="宋体" w:eastAsia="宋体" w:cs="宋体"/>
          <w:b w:val="0"/>
          <w:bCs w:val="0"/>
          <w:kern w:val="0"/>
          <w:sz w:val="21"/>
          <w:szCs w:val="21"/>
          <w:lang w:val="zh-CN" w:eastAsia="zh-CN" w:bidi="ar-SA"/>
        </w:rPr>
      </w:pPr>
      <w:r>
        <w:rPr>
          <w:rFonts w:hint="eastAsia" w:ascii="宋体" w:hAnsi="宋体" w:eastAsia="宋体" w:cs="宋体"/>
          <w:b w:val="0"/>
          <w:bCs w:val="0"/>
          <w:kern w:val="0"/>
          <w:sz w:val="21"/>
          <w:szCs w:val="21"/>
          <w:lang w:val="zh-CN" w:eastAsia="zh-CN" w:bidi="ar-SA"/>
        </w:rPr>
        <w:t>8.2.3 饲养员日常操作不得大声喧哗，不得恐吓、粗暴对待黑熊，保证动物福利。</w:t>
      </w:r>
    </w:p>
    <w:p>
      <w:pPr>
        <w:pStyle w:val="24"/>
        <w:keepNext w:val="0"/>
        <w:keepLines w:val="0"/>
        <w:pageBreakBefore w:val="0"/>
        <w:widowControl/>
        <w:kinsoku/>
        <w:wordWrap/>
        <w:overflowPunct/>
        <w:topLinePunct w:val="0"/>
        <w:autoSpaceDE/>
        <w:autoSpaceDN/>
        <w:bidi w:val="0"/>
        <w:adjustRightInd/>
        <w:snapToGrid/>
        <w:spacing w:before="156" w:beforeLines="50" w:after="156" w:afterLines="50"/>
        <w:textAlignment w:val="auto"/>
        <w:rPr>
          <w:rFonts w:hint="eastAsia" w:ascii="宋体" w:hAnsi="宋体" w:eastAsia="宋体" w:cs="宋体"/>
          <w:b w:val="0"/>
          <w:bCs w:val="0"/>
          <w:kern w:val="0"/>
          <w:sz w:val="21"/>
          <w:szCs w:val="21"/>
          <w:lang w:val="zh-CN" w:eastAsia="zh-CN" w:bidi="ar-SA"/>
        </w:rPr>
      </w:pPr>
      <w:r>
        <w:rPr>
          <w:rFonts w:hint="eastAsia" w:ascii="宋体" w:hAnsi="宋体" w:eastAsia="宋体" w:cs="宋体"/>
          <w:b w:val="0"/>
          <w:bCs w:val="0"/>
          <w:kern w:val="0"/>
          <w:sz w:val="21"/>
          <w:szCs w:val="21"/>
          <w:lang w:val="zh-CN" w:eastAsia="zh-CN" w:bidi="ar-SA"/>
        </w:rPr>
        <w:t>8.2.4养殖生产区必须设有网络视频实时监控系统，网络视频实时监控系统安装应符合GB 50385《视频安防监控系统工程设计规范》的相关规定，监控数据保留20</w:t>
      </w:r>
      <w:r>
        <w:rPr>
          <w:rFonts w:hint="eastAsia" w:ascii="宋体" w:hAnsi="宋体" w:eastAsia="宋体" w:cs="宋体"/>
          <w:b w:val="0"/>
          <w:bCs w:val="0"/>
          <w:kern w:val="0"/>
          <w:sz w:val="21"/>
          <w:szCs w:val="21"/>
          <w:lang w:val="en-US" w:eastAsia="zh-CN" w:bidi="ar-SA"/>
        </w:rPr>
        <w:t>d</w:t>
      </w:r>
      <w:r>
        <w:rPr>
          <w:rFonts w:hint="eastAsia" w:ascii="宋体" w:hAnsi="宋体" w:eastAsia="宋体" w:cs="宋体"/>
          <w:b w:val="0"/>
          <w:bCs w:val="0"/>
          <w:kern w:val="0"/>
          <w:sz w:val="21"/>
          <w:szCs w:val="21"/>
          <w:lang w:val="zh-CN" w:eastAsia="zh-CN" w:bidi="ar-SA"/>
        </w:rPr>
        <w:t>以上。</w:t>
      </w:r>
    </w:p>
    <w:p>
      <w:pPr>
        <w:keepNext w:val="0"/>
        <w:keepLines w:val="0"/>
        <w:pageBreakBefore w:val="0"/>
        <w:widowControl/>
        <w:kinsoku/>
        <w:wordWrap/>
        <w:overflowPunct/>
        <w:topLinePunct w:val="0"/>
        <w:autoSpaceDE/>
        <w:autoSpaceDN/>
        <w:bidi w:val="0"/>
        <w:adjustRightInd/>
        <w:snapToGrid/>
        <w:spacing w:before="313" w:beforeLines="100" w:after="313" w:afterLines="100"/>
        <w:textAlignment w:val="auto"/>
        <w:outlineLvl w:val="0"/>
        <w:rPr>
          <w:rFonts w:hint="eastAsia" w:ascii="黑体" w:hAnsi="Times New Roman" w:eastAsia="黑体" w:cs="Times New Roman"/>
          <w:b w:val="0"/>
          <w:bCs w:val="0"/>
          <w:kern w:val="0"/>
          <w:sz w:val="21"/>
          <w:szCs w:val="21"/>
          <w:lang w:val="zh-CN" w:eastAsia="zh-CN" w:bidi="ar-SA"/>
        </w:rPr>
      </w:pPr>
      <w:bookmarkStart w:id="39" w:name="_Toc54094797"/>
      <w:r>
        <w:rPr>
          <w:rFonts w:hint="eastAsia" w:ascii="黑体" w:hAnsi="Times New Roman" w:eastAsia="黑体" w:cs="Times New Roman"/>
          <w:b w:val="0"/>
          <w:bCs w:val="0"/>
          <w:kern w:val="0"/>
          <w:sz w:val="21"/>
          <w:szCs w:val="21"/>
          <w:lang w:val="zh-CN" w:eastAsia="zh-CN" w:bidi="ar-SA"/>
        </w:rPr>
        <w:t>9 卫生防疫</w:t>
      </w:r>
      <w:bookmarkEnd w:id="39"/>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9.1卫生要求</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9.1.1 圈舍、食具卫生</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2"/>
          <w:sz w:val="21"/>
          <w:szCs w:val="21"/>
          <w:lang w:val="zh-CN" w:eastAsia="zh-CN" w:bidi="ar-SA"/>
        </w:rPr>
      </w:pPr>
      <w:r>
        <w:rPr>
          <w:rFonts w:hint="eastAsia" w:ascii="宋体" w:hAnsi="宋体" w:eastAsia="宋体" w:cs="宋体"/>
          <w:kern w:val="2"/>
          <w:sz w:val="21"/>
          <w:szCs w:val="21"/>
          <w:lang w:val="zh-CN" w:eastAsia="zh-CN" w:bidi="ar-SA"/>
        </w:rPr>
        <w:t>每日清洁圈舍2次，喂食后及时清洁食具，并放于不易污染处。清扫的粪便、回收剩余饲料移至指定地点堆放。</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9.1.2 工作人员卫生</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eastAsia="Songti SC" w:cs="Times New Roman"/>
        </w:rPr>
      </w:pPr>
      <w:r>
        <w:rPr>
          <w:rFonts w:hint="eastAsia" w:ascii="宋体" w:hAnsi="宋体" w:eastAsia="宋体" w:cs="宋体"/>
          <w:kern w:val="2"/>
          <w:sz w:val="21"/>
          <w:szCs w:val="21"/>
          <w:lang w:val="zh-CN" w:eastAsia="zh-CN" w:bidi="ar-SA"/>
        </w:rPr>
        <w:t>进出工作区更换鞋、工作服。接触黑熊前、后，清洁手，取胆操作时戴乳胶手套。保持工作装清洁。</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9.1.3 清洁工具</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2"/>
          <w:sz w:val="21"/>
          <w:szCs w:val="21"/>
          <w:lang w:val="zh-CN" w:eastAsia="zh-CN" w:bidi="ar-SA"/>
        </w:rPr>
      </w:pPr>
      <w:r>
        <w:rPr>
          <w:rFonts w:hint="eastAsia" w:ascii="宋体" w:hAnsi="宋体" w:eastAsia="宋体" w:cs="宋体"/>
          <w:kern w:val="2"/>
          <w:sz w:val="21"/>
          <w:szCs w:val="21"/>
          <w:lang w:val="zh-CN" w:eastAsia="zh-CN" w:bidi="ar-SA"/>
        </w:rPr>
        <w:t>用后清洗干净，定点存放。</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9.1.4 空气</w:t>
      </w:r>
    </w:p>
    <w:p>
      <w:pPr>
        <w:pStyle w:val="20"/>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kern w:val="2"/>
          <w:sz w:val="21"/>
          <w:szCs w:val="21"/>
          <w:lang w:val="zh-CN" w:eastAsia="zh-CN" w:bidi="ar-SA"/>
        </w:rPr>
      </w:pPr>
      <w:r>
        <w:rPr>
          <w:rFonts w:hint="eastAsia" w:ascii="宋体" w:hAnsi="宋体" w:eastAsia="宋体" w:cs="宋体"/>
          <w:kern w:val="2"/>
          <w:sz w:val="21"/>
          <w:szCs w:val="21"/>
          <w:lang w:val="zh-CN" w:eastAsia="zh-CN" w:bidi="ar-SA"/>
        </w:rPr>
        <w:t>室内圈舍通风（或换气）良好，保持圈舍空气清新，应符合GB 3095-2012《环境空气质量标准》的相关规定。</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9.2 防疫</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9.2.1 消毒</w:t>
      </w:r>
    </w:p>
    <w:p>
      <w:pPr>
        <w:pStyle w:val="20"/>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kern w:val="2"/>
          <w:sz w:val="21"/>
          <w:szCs w:val="21"/>
          <w:lang w:val="zh-CN" w:eastAsia="zh-CN" w:bidi="ar-SA"/>
        </w:rPr>
      </w:pPr>
      <w:r>
        <w:rPr>
          <w:rFonts w:hint="eastAsia" w:ascii="宋体" w:hAnsi="宋体" w:eastAsia="宋体" w:cs="宋体"/>
          <w:kern w:val="2"/>
          <w:sz w:val="21"/>
          <w:szCs w:val="21"/>
          <w:lang w:val="zh-CN" w:eastAsia="zh-CN" w:bidi="ar-SA"/>
        </w:rPr>
        <w:t>场区，每月消毒1次；圈舍及笼舍，每周消毒1次；食具，每周消毒2次；死亡动物的圈舍（笼舍），及时消毒—清洗—再消毒；手术器械高压灭菌消毒备用；引流管置于消毒液浸泡消毒，一周高压灭菌消毒1次。</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9.2.2 驱虫</w:t>
      </w:r>
    </w:p>
    <w:p>
      <w:pPr>
        <w:pStyle w:val="20"/>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kern w:val="2"/>
          <w:sz w:val="21"/>
          <w:szCs w:val="21"/>
          <w:lang w:val="zh-CN" w:eastAsia="zh-CN" w:bidi="ar-SA"/>
        </w:rPr>
      </w:pPr>
      <w:r>
        <w:rPr>
          <w:rFonts w:hint="eastAsia" w:ascii="宋体" w:hAnsi="宋体" w:eastAsia="宋体" w:cs="宋体"/>
          <w:kern w:val="2"/>
          <w:sz w:val="21"/>
          <w:szCs w:val="21"/>
          <w:lang w:val="zh-CN" w:eastAsia="zh-CN" w:bidi="ar-SA"/>
        </w:rPr>
        <w:t>成熊、育成熊每年驱虫2次，春、秋两季各进行1次。幼熊在秋季驱虫1次。</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9.2.3 防鼠</w:t>
      </w:r>
    </w:p>
    <w:p>
      <w:pPr>
        <w:ind w:firstLine="420" w:firstLineChars="200"/>
        <w:rPr>
          <w:rFonts w:hint="eastAsia" w:ascii="宋体" w:hAnsi="宋体" w:eastAsia="宋体" w:cs="宋体"/>
          <w:kern w:val="2"/>
          <w:sz w:val="21"/>
          <w:szCs w:val="21"/>
          <w:lang w:val="zh-CN" w:eastAsia="zh-CN" w:bidi="ar-SA"/>
        </w:rPr>
      </w:pPr>
      <w:r>
        <w:rPr>
          <w:rFonts w:hint="eastAsia" w:ascii="宋体" w:hAnsi="宋体" w:eastAsia="宋体" w:cs="宋体"/>
          <w:kern w:val="2"/>
          <w:sz w:val="21"/>
          <w:szCs w:val="21"/>
          <w:lang w:val="zh-CN" w:eastAsia="zh-CN" w:bidi="ar-SA"/>
        </w:rPr>
        <w:t>饲养区、饲料加工储存区域，防止鼠类侵入。</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9.2.4 重大疫病（情）管理</w:t>
      </w:r>
    </w:p>
    <w:p>
      <w:pPr>
        <w:ind w:firstLine="420" w:firstLineChars="200"/>
        <w:rPr>
          <w:rFonts w:hint="eastAsia" w:ascii="宋体" w:hAnsi="宋体" w:eastAsia="宋体" w:cs="宋体"/>
        </w:rPr>
      </w:pPr>
      <w:r>
        <w:rPr>
          <w:rFonts w:hint="eastAsia" w:ascii="宋体" w:hAnsi="宋体" w:eastAsia="宋体" w:cs="宋体"/>
        </w:rPr>
        <w:t>发生重大疫病（情）时，按照《中华人民共和国传染病防治法》规定上报和处置。</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9.3 死亡个体处理</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rPr>
      </w:pPr>
      <w:r>
        <w:rPr>
          <w:rFonts w:hint="eastAsia" w:ascii="宋体" w:hAnsi="宋体" w:eastAsia="宋体" w:cs="宋体"/>
          <w:b w:val="0"/>
          <w:bCs w:val="0"/>
          <w:kern w:val="0"/>
          <w:sz w:val="21"/>
          <w:szCs w:val="21"/>
          <w:lang w:val="zh-CN" w:eastAsia="zh-CN" w:bidi="ar-SA"/>
        </w:rPr>
        <w:t>9.3.1 及时封闭死亡动物活动区域。</w:t>
      </w:r>
      <w:r>
        <w:rPr>
          <w:rFonts w:hint="eastAsia" w:ascii="宋体" w:hAnsi="宋体" w:eastAsia="宋体" w:cs="宋体"/>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val="0"/>
          <w:bCs w:val="0"/>
          <w:kern w:val="0"/>
          <w:sz w:val="21"/>
          <w:szCs w:val="21"/>
          <w:lang w:val="zh-CN" w:eastAsia="zh-CN" w:bidi="ar-SA"/>
        </w:rPr>
      </w:pPr>
      <w:r>
        <w:rPr>
          <w:rFonts w:hint="eastAsia" w:ascii="宋体" w:hAnsi="宋体" w:eastAsia="宋体" w:cs="宋体"/>
          <w:b w:val="0"/>
          <w:bCs w:val="0"/>
          <w:kern w:val="0"/>
          <w:sz w:val="21"/>
          <w:szCs w:val="21"/>
          <w:lang w:val="zh-CN" w:eastAsia="zh-CN" w:bidi="ar-SA"/>
        </w:rPr>
        <w:t>9.3.2 将死亡动物移出圈舍至解剖处理处。</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val="0"/>
          <w:bCs w:val="0"/>
          <w:kern w:val="0"/>
          <w:sz w:val="21"/>
          <w:szCs w:val="21"/>
          <w:lang w:val="zh-CN" w:eastAsia="zh-CN" w:bidi="ar-SA"/>
        </w:rPr>
      </w:pPr>
      <w:r>
        <w:rPr>
          <w:rFonts w:hint="eastAsia" w:ascii="宋体" w:hAnsi="宋体" w:eastAsia="宋体" w:cs="宋体"/>
          <w:b w:val="0"/>
          <w:bCs w:val="0"/>
          <w:kern w:val="0"/>
          <w:sz w:val="21"/>
          <w:szCs w:val="21"/>
          <w:lang w:val="zh-CN" w:eastAsia="zh-CN" w:bidi="ar-SA"/>
        </w:rPr>
        <w:t>9.3.3 解剖、记录。</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val="0"/>
          <w:bCs w:val="0"/>
          <w:kern w:val="0"/>
          <w:sz w:val="21"/>
          <w:szCs w:val="21"/>
          <w:lang w:val="zh-CN" w:eastAsia="zh-CN" w:bidi="ar-SA"/>
        </w:rPr>
      </w:pPr>
      <w:r>
        <w:rPr>
          <w:rFonts w:hint="eastAsia" w:ascii="宋体" w:hAnsi="宋体" w:eastAsia="宋体" w:cs="宋体"/>
          <w:b w:val="0"/>
          <w:bCs w:val="0"/>
          <w:kern w:val="0"/>
          <w:sz w:val="21"/>
          <w:szCs w:val="21"/>
          <w:lang w:val="zh-CN" w:eastAsia="zh-CN" w:bidi="ar-SA"/>
        </w:rPr>
        <w:t>9.3.4 收集解剖组织、血液，装袋存入废物暂存冰柜，集中交由专业处理公司处理。建立台账。</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9.4粪尿、污水和垃圾处理</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val="0"/>
          <w:bCs w:val="0"/>
          <w:kern w:val="0"/>
          <w:sz w:val="21"/>
          <w:szCs w:val="21"/>
          <w:lang w:val="zh-CN" w:eastAsia="zh-CN" w:bidi="ar-SA"/>
        </w:rPr>
      </w:pPr>
      <w:r>
        <w:rPr>
          <w:rFonts w:hint="eastAsia" w:ascii="宋体" w:hAnsi="宋体" w:eastAsia="宋体" w:cs="宋体"/>
          <w:b w:val="0"/>
          <w:bCs w:val="0"/>
          <w:kern w:val="0"/>
          <w:sz w:val="21"/>
          <w:szCs w:val="21"/>
          <w:lang w:val="zh-CN" w:eastAsia="zh-CN" w:bidi="ar-SA"/>
        </w:rPr>
        <w:t>9.4.1废弃尸体处置应符合GB 16548病害动物和病害动物产品生物安全处理规程的相关规定，并建立台账。</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val="0"/>
          <w:bCs w:val="0"/>
          <w:kern w:val="0"/>
          <w:sz w:val="21"/>
          <w:szCs w:val="21"/>
          <w:lang w:val="zh-CN" w:eastAsia="zh-CN" w:bidi="ar-SA"/>
        </w:rPr>
      </w:pPr>
      <w:r>
        <w:rPr>
          <w:rFonts w:hint="eastAsia" w:ascii="宋体" w:hAnsi="宋体" w:eastAsia="宋体" w:cs="宋体"/>
          <w:b w:val="0"/>
          <w:bCs w:val="0"/>
          <w:kern w:val="0"/>
          <w:sz w:val="21"/>
          <w:szCs w:val="21"/>
          <w:lang w:val="zh-CN" w:eastAsia="zh-CN" w:bidi="ar-SA"/>
        </w:rPr>
        <w:t>9.4.2在手术、疾病治疗等过程中产生的医疗垃圾，消毒处理后分类装入医疗垃圾周转箱暂存，集中交由专业处理公司处理。</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val="0"/>
          <w:bCs w:val="0"/>
          <w:kern w:val="0"/>
          <w:sz w:val="21"/>
          <w:szCs w:val="21"/>
          <w:lang w:val="zh-CN" w:eastAsia="zh-CN" w:bidi="ar-SA"/>
        </w:rPr>
      </w:pPr>
      <w:r>
        <w:rPr>
          <w:rFonts w:hint="eastAsia" w:ascii="宋体" w:hAnsi="宋体" w:eastAsia="宋体" w:cs="宋体"/>
          <w:b w:val="0"/>
          <w:bCs w:val="0"/>
          <w:kern w:val="0"/>
          <w:sz w:val="21"/>
          <w:szCs w:val="21"/>
          <w:lang w:val="zh-CN" w:eastAsia="zh-CN" w:bidi="ar-SA"/>
        </w:rPr>
        <w:t>9.4.3粪便、污水处理应符合GB 18586畜禽养殖业污染防治技术规范的相关规定。</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b w:val="0"/>
          <w:bCs w:val="0"/>
          <w:kern w:val="0"/>
          <w:sz w:val="21"/>
          <w:szCs w:val="21"/>
          <w:lang w:val="zh-CN" w:eastAsia="zh-CN" w:bidi="ar-SA"/>
        </w:rPr>
      </w:pPr>
      <w:bookmarkStart w:id="40" w:name="_Toc54094798"/>
      <w:r>
        <w:rPr>
          <w:rFonts w:hint="eastAsia" w:ascii="黑体" w:hAnsi="Times New Roman" w:eastAsia="黑体" w:cs="Times New Roman"/>
          <w:b w:val="0"/>
          <w:bCs w:val="0"/>
          <w:kern w:val="0"/>
          <w:sz w:val="21"/>
          <w:szCs w:val="21"/>
          <w:lang w:val="zh-CN" w:eastAsia="zh-CN" w:bidi="ar-SA"/>
        </w:rPr>
        <w:t>10 熊胆汁的采收</w:t>
      </w:r>
      <w:bookmarkEnd w:id="40"/>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b w:val="0"/>
          <w:bCs w:val="0"/>
          <w:kern w:val="0"/>
          <w:sz w:val="21"/>
          <w:szCs w:val="21"/>
          <w:lang w:val="zh-CN" w:eastAsia="zh-CN" w:bidi="ar-SA"/>
        </w:rPr>
      </w:pPr>
      <w:bookmarkStart w:id="41" w:name="_Toc41146360"/>
      <w:bookmarkStart w:id="42" w:name="_Toc54094799"/>
      <w:bookmarkStart w:id="43" w:name="_Toc41157807"/>
      <w:r>
        <w:rPr>
          <w:rFonts w:hint="eastAsia" w:ascii="黑体" w:hAnsi="Times New Roman" w:eastAsia="黑体" w:cs="Times New Roman"/>
          <w:b w:val="0"/>
          <w:bCs w:val="0"/>
          <w:kern w:val="0"/>
          <w:sz w:val="21"/>
          <w:szCs w:val="21"/>
          <w:lang w:val="zh-CN" w:eastAsia="zh-CN" w:bidi="ar-SA"/>
        </w:rPr>
        <w:t>10.1 活体取胆熊的条件</w:t>
      </w:r>
      <w:bookmarkEnd w:id="41"/>
      <w:bookmarkEnd w:id="42"/>
      <w:bookmarkEnd w:id="43"/>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eastAsia="Songti SC" w:cs="Times New Roman"/>
          <w:b/>
        </w:rPr>
      </w:pPr>
      <w:bookmarkStart w:id="44" w:name="_Toc54094800"/>
      <w:bookmarkStart w:id="45" w:name="_Toc41146361"/>
      <w:bookmarkStart w:id="46" w:name="_Toc41157808"/>
      <w:r>
        <w:rPr>
          <w:rFonts w:hint="eastAsia" w:ascii="宋体" w:hAnsi="宋体" w:eastAsia="宋体" w:cs="宋体"/>
        </w:rPr>
        <w:t>体重应在90kg以上、健康，无病患、无残疾、3周岁以上的个体。若为母熊，则应为非妊娠、哺乳期的个体。无其它不适应引流胆汁的个体。</w:t>
      </w:r>
      <w:bookmarkEnd w:id="44"/>
      <w:bookmarkEnd w:id="45"/>
      <w:bookmarkEnd w:id="46"/>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b w:val="0"/>
          <w:bCs w:val="0"/>
          <w:kern w:val="0"/>
          <w:sz w:val="21"/>
          <w:szCs w:val="21"/>
          <w:lang w:val="zh-CN" w:eastAsia="zh-CN" w:bidi="ar-SA"/>
        </w:rPr>
      </w:pPr>
      <w:bookmarkStart w:id="47" w:name="_Toc12288840"/>
      <w:bookmarkStart w:id="48" w:name="_Toc12292510"/>
      <w:bookmarkStart w:id="49" w:name="_Toc12285278"/>
      <w:bookmarkStart w:id="50" w:name="_Toc12292511"/>
      <w:r>
        <w:rPr>
          <w:rFonts w:hint="eastAsia" w:ascii="黑体" w:hAnsi="Times New Roman" w:eastAsia="黑体" w:cs="Times New Roman"/>
          <w:b w:val="0"/>
          <w:bCs w:val="0"/>
          <w:kern w:val="0"/>
          <w:sz w:val="21"/>
          <w:szCs w:val="21"/>
          <w:lang w:val="zh-CN" w:eastAsia="zh-CN" w:bidi="ar-SA"/>
        </w:rPr>
        <w:t>10.2手术</w:t>
      </w:r>
      <w:bookmarkEnd w:id="47"/>
      <w:bookmarkEnd w:id="48"/>
      <w:bookmarkEnd w:id="49"/>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10.2.1 要求</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eastAsia="Songti SC" w:cs="Times New Roman"/>
        </w:rPr>
      </w:pPr>
      <w:r>
        <w:rPr>
          <w:rFonts w:hint="eastAsia" w:ascii="宋体" w:hAnsi="宋体" w:eastAsia="宋体" w:cs="宋体"/>
        </w:rPr>
        <w:t>由专业的有手术操作技能的兽医或具备相应资格人员进行胆道造瘘手术，手术应在无菌的环境下进行。</w:t>
      </w:r>
      <w:r>
        <w:rPr>
          <w:rFonts w:eastAsia="Songti SC" w:cs="Times New Roman"/>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10.2.2 手术</w:t>
      </w:r>
      <w:r>
        <w:rPr>
          <w:rFonts w:hint="eastAsia" w:ascii="黑体" w:eastAsia="黑体" w:cs="Times New Roman"/>
          <w:b w:val="0"/>
          <w:bCs w:val="0"/>
          <w:kern w:val="0"/>
          <w:sz w:val="21"/>
          <w:szCs w:val="21"/>
          <w:lang w:val="zh-CN" w:eastAsia="zh-CN" w:bidi="ar-SA"/>
        </w:rPr>
        <w:t>过程</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术前禁食12h以上，肌注镇静剂、麻醉剂，建立静脉输液通道，术部消毒、手术，送入护理区笼舍，麻醉复苏。</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10.2.3 术后护理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术前术后应精心看护被手术动物。术后恢复时间1个月。减少对熊的惊吓干扰，每天2次供给优质精饲料和多汁饲料，保证充足饮水。</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10.2.4 驯化</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手术熊在术后恢复阶段，以熊喜食食物为诱惑物，进行俯卧采食驯化。</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10.3 禁忌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（1）不得给术后的熊穿“铁背心”挂置引流取胆袋；</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（2）不得在笼内加置压板、压条限制熊的活动；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（3）不得以禁食、武力方式驯化熊。</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10.4 胆汁引流</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10.4.1 用具</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引流管、止血钳、消毒棉球、洗手消毒桶、盛胆汁容器、取胆操作车。</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10.4.2 流程</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用具准备—操作者双手清洗消毒—辅助者食诱熊至俯卧位—消毒引流瘘道口及周边组织—将引流导管自瘘道口伸入胆囊—引流胆汁至盛胆容器—引流完毕后拔出引流管。</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10.4.3 要求</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引流管为消毒软质管，一熊一管。全过程应</w:t>
      </w:r>
      <w:r>
        <w:rPr>
          <w:rFonts w:hint="eastAsia" w:ascii="宋体" w:hAnsi="宋体" w:cs="宋体"/>
          <w:lang w:eastAsia="zh-CN"/>
        </w:rPr>
        <w:t>规范</w:t>
      </w:r>
      <w:r>
        <w:rPr>
          <w:rFonts w:hint="eastAsia" w:ascii="宋体" w:hAnsi="宋体" w:eastAsia="宋体" w:cs="宋体"/>
        </w:rPr>
        <w:t>操作。不得有虐待熊的行为。</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10.4.4 严密观察</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观察熊精神状态，发现异常立刻暂停取胆汁，探明原因，及时调理。观察引流瘘道口和引流胆汁，出现异常应立即停止取胆，并及时处理与治疗。</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Times New Roman" w:eastAsia="黑体" w:cs="Times New Roman"/>
          <w:b w:val="0"/>
          <w:bCs w:val="0"/>
          <w:kern w:val="0"/>
          <w:sz w:val="21"/>
          <w:szCs w:val="21"/>
          <w:lang w:val="zh-CN" w:eastAsia="zh-CN" w:bidi="ar-SA"/>
        </w:rPr>
      </w:pPr>
      <w:bookmarkStart w:id="51" w:name="_Toc54094801"/>
      <w:r>
        <w:rPr>
          <w:rFonts w:hint="eastAsia" w:ascii="黑体" w:hAnsi="Times New Roman" w:eastAsia="黑体" w:cs="Times New Roman"/>
          <w:b w:val="0"/>
          <w:bCs w:val="0"/>
          <w:kern w:val="0"/>
          <w:sz w:val="21"/>
          <w:szCs w:val="21"/>
          <w:lang w:val="zh-CN" w:eastAsia="zh-CN" w:bidi="ar-SA"/>
        </w:rPr>
        <w:t>11 熊胆产地加工</w:t>
      </w:r>
      <w:bookmarkEnd w:id="50"/>
      <w:bookmarkEnd w:id="51"/>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b w:val="0"/>
          <w:bCs w:val="0"/>
          <w:kern w:val="0"/>
          <w:sz w:val="21"/>
          <w:szCs w:val="21"/>
          <w:lang w:val="zh-CN" w:eastAsia="zh-CN" w:bidi="ar-SA"/>
        </w:rPr>
      </w:pPr>
      <w:bookmarkStart w:id="52" w:name="_Toc12285280"/>
      <w:r>
        <w:rPr>
          <w:rFonts w:hint="eastAsia" w:ascii="黑体" w:hAnsi="Times New Roman" w:eastAsia="黑体" w:cs="Times New Roman"/>
          <w:b w:val="0"/>
          <w:bCs w:val="0"/>
          <w:kern w:val="0"/>
          <w:sz w:val="21"/>
          <w:szCs w:val="21"/>
          <w:lang w:val="zh-CN" w:eastAsia="zh-CN" w:bidi="ar-SA"/>
        </w:rPr>
        <w:t>11.1 熊胆的加工</w:t>
      </w:r>
      <w:bookmarkEnd w:id="52"/>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bookmarkStart w:id="53" w:name="_Toc12285281"/>
      <w:r>
        <w:rPr>
          <w:rFonts w:hint="eastAsia" w:ascii="宋体" w:hAnsi="宋体" w:eastAsia="宋体" w:cs="宋体"/>
        </w:rPr>
        <w:t>熊胆加工条件应符合SB/T11183-2017</w:t>
      </w:r>
      <w:r>
        <w:rPr>
          <w:rFonts w:hint="eastAsia" w:ascii="宋体" w:hAnsi="宋体" w:cs="宋体"/>
          <w:lang w:val="en-US" w:eastAsia="zh-CN"/>
        </w:rPr>
        <w:t xml:space="preserve"> </w:t>
      </w:r>
      <w:r>
        <w:rPr>
          <w:rFonts w:hint="eastAsia" w:ascii="宋体" w:hAnsi="宋体" w:eastAsia="宋体" w:cs="宋体"/>
        </w:rPr>
        <w:t>中药材产地加工技术规范的要求。采集的胆囊胆，扎紧胆囊颈部末端，置于阴凉通风处自然干燥。</w:t>
      </w:r>
      <w:bookmarkEnd w:id="53"/>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b w:val="0"/>
          <w:bCs w:val="0"/>
          <w:kern w:val="0"/>
          <w:sz w:val="21"/>
          <w:szCs w:val="21"/>
          <w:lang w:val="zh-CN" w:eastAsia="zh-CN" w:bidi="ar-SA"/>
        </w:rPr>
      </w:pPr>
      <w:bookmarkStart w:id="54" w:name="_Toc12285282"/>
      <w:bookmarkStart w:id="55" w:name="_Toc8832709"/>
      <w:r>
        <w:rPr>
          <w:rFonts w:hint="eastAsia" w:ascii="黑体" w:hAnsi="Times New Roman" w:eastAsia="黑体" w:cs="Times New Roman"/>
          <w:b w:val="0"/>
          <w:bCs w:val="0"/>
          <w:kern w:val="0"/>
          <w:sz w:val="21"/>
          <w:szCs w:val="21"/>
          <w:lang w:val="zh-CN" w:eastAsia="zh-CN" w:bidi="ar-SA"/>
        </w:rPr>
        <w:t>11.2 熊胆粉的加工</w:t>
      </w:r>
      <w:bookmarkEnd w:id="54"/>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b w:val="0"/>
          <w:bCs w:val="0"/>
          <w:kern w:val="0"/>
          <w:sz w:val="21"/>
          <w:szCs w:val="21"/>
          <w:lang w:val="zh-CN" w:eastAsia="zh-CN" w:bidi="ar-SA"/>
        </w:rPr>
      </w:pPr>
      <w:bookmarkStart w:id="56" w:name="_Toc12285283"/>
      <w:r>
        <w:rPr>
          <w:rFonts w:hint="eastAsia" w:ascii="黑体" w:hAnsi="Times New Roman" w:eastAsia="黑体" w:cs="Times New Roman"/>
          <w:b w:val="0"/>
          <w:bCs w:val="0"/>
          <w:kern w:val="0"/>
          <w:sz w:val="21"/>
          <w:szCs w:val="21"/>
          <w:lang w:val="zh-CN" w:eastAsia="zh-CN" w:bidi="ar-SA"/>
        </w:rPr>
        <w:t>11.2.1 设施设备</w:t>
      </w:r>
      <w:bookmarkEnd w:id="55"/>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熊胆粉为国家中药一类新药，熊胆粉加工许执行GMP。所需厂房设施：胆汁过滤、离心、烘干、包装的洁净车间和库房，生产和质量检验的设备均需符合GMP的要求。</w:t>
      </w:r>
      <w:bookmarkEnd w:id="56"/>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b w:val="0"/>
          <w:bCs w:val="0"/>
          <w:kern w:val="0"/>
          <w:sz w:val="21"/>
          <w:szCs w:val="21"/>
          <w:lang w:val="zh-CN" w:eastAsia="zh-CN" w:bidi="ar-SA"/>
        </w:rPr>
      </w:pPr>
      <w:r>
        <w:rPr>
          <w:rFonts w:hint="eastAsia" w:ascii="黑体" w:hAnsi="Times New Roman" w:eastAsia="黑体" w:cs="Times New Roman"/>
          <w:b w:val="0"/>
          <w:bCs w:val="0"/>
          <w:kern w:val="0"/>
          <w:sz w:val="21"/>
          <w:szCs w:val="21"/>
          <w:lang w:val="zh-CN" w:eastAsia="zh-CN" w:bidi="ar-SA"/>
        </w:rPr>
        <w:t>11.2.2 加工流程</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引流胆汁—暂存（分装后冷冻、冷藏或低温保存）—离心（3000转，15 min）—过滤（400目）—装入盛胆盘（约1cm厚）—鼓风干燥柜（箱）（80℃,10h～16 h）—取出盛胆盘—剥离熊胆片—计量、包装—入库。</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黑体" w:eastAsia="黑体" w:cs="黑体"/>
        </w:rPr>
      </w:pPr>
      <w:r>
        <w:rPr>
          <w:rFonts w:hint="eastAsia" w:ascii="黑体" w:hAnsi="黑体" w:eastAsia="黑体" w:cs="黑体"/>
        </w:rPr>
        <w:t xml:space="preserve">11.2.3 质量检验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lang w:eastAsia="zh-CN"/>
        </w:rPr>
      </w:pPr>
      <w:r>
        <w:rPr>
          <w:rFonts w:hint="eastAsia" w:ascii="宋体" w:hAnsi="宋体" w:eastAsia="宋体" w:cs="宋体"/>
        </w:rPr>
        <w:t>检验项目及操作，执行WS</w:t>
      </w:r>
      <w:r>
        <w:rPr>
          <w:rFonts w:hint="eastAsia" w:ascii="宋体" w:hAnsi="宋体" w:eastAsia="宋体" w:cs="宋体"/>
          <w:vertAlign w:val="subscript"/>
        </w:rPr>
        <w:t>3</w:t>
      </w:r>
      <w:r>
        <w:rPr>
          <w:rFonts w:hint="eastAsia" w:ascii="宋体" w:hAnsi="宋体" w:eastAsia="宋体" w:cs="宋体"/>
        </w:rPr>
        <w:t>-09（B-09）-96（Z）</w:t>
      </w:r>
      <w:r>
        <w:rPr>
          <w:rFonts w:hint="eastAsia" w:ascii="宋体" w:hAnsi="宋体" w:cs="宋体"/>
          <w:lang w:val="en-US" w:eastAsia="zh-CN"/>
        </w:rPr>
        <w:t xml:space="preserve"> </w:t>
      </w:r>
      <w:r>
        <w:rPr>
          <w:rFonts w:hint="eastAsia" w:ascii="宋体" w:hAnsi="宋体" w:eastAsia="宋体" w:cs="宋体"/>
        </w:rPr>
        <w:t>中华人民共和国卫生部部颁标准</w:t>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rPr>
      </w:pPr>
      <w:bookmarkStart w:id="57" w:name="_Toc12292512"/>
      <w:bookmarkStart w:id="58" w:name="_Toc54094802"/>
      <w:r>
        <w:rPr>
          <w:rFonts w:hint="eastAsia" w:ascii="黑体" w:hAnsi="黑体" w:eastAsia="黑体" w:cs="黑体"/>
        </w:rPr>
        <w:t>12 包装、标识、贮藏和运输</w:t>
      </w:r>
      <w:bookmarkEnd w:id="57"/>
      <w:bookmarkEnd w:id="58"/>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黑体" w:eastAsia="黑体" w:cs="黑体"/>
        </w:rPr>
      </w:pPr>
      <w:r>
        <w:rPr>
          <w:rFonts w:hint="eastAsia" w:ascii="黑体" w:hAnsi="黑体" w:eastAsia="黑体" w:cs="黑体"/>
        </w:rPr>
        <w:t>12.1 包装</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黑体" w:eastAsia="黑体" w:cs="黑体"/>
        </w:rPr>
      </w:pPr>
      <w:r>
        <w:rPr>
          <w:rFonts w:hint="eastAsia" w:ascii="黑体" w:hAnsi="黑体" w:eastAsia="黑体" w:cs="黑体"/>
        </w:rPr>
        <w:t>12.1.1 内包材</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接触熊胆粉的包材，符合药品管理要求。推荐茶色玻璃瓶、铝塑膜包装袋和聚乙烯包装袋。</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黑体" w:eastAsia="黑体" w:cs="黑体"/>
        </w:rPr>
      </w:pPr>
      <w:r>
        <w:rPr>
          <w:rFonts w:hint="eastAsia" w:ascii="黑体" w:hAnsi="黑体" w:eastAsia="黑体" w:cs="黑体"/>
        </w:rPr>
        <w:t>12.1.2 规格</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按照企业向国家药品监督管理主管部门申报的规格包装。</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黑体" w:eastAsia="黑体" w:cs="黑体"/>
        </w:rPr>
      </w:pPr>
      <w:r>
        <w:rPr>
          <w:rFonts w:hint="eastAsia" w:ascii="黑体" w:hAnsi="黑体" w:eastAsia="黑体" w:cs="黑体"/>
        </w:rPr>
        <w:t>12.2 标识</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黑体" w:eastAsia="黑体" w:cs="黑体"/>
        </w:rPr>
      </w:pPr>
      <w:r>
        <w:rPr>
          <w:rFonts w:hint="eastAsia" w:ascii="黑体" w:hAnsi="黑体" w:eastAsia="黑体" w:cs="黑体"/>
        </w:rPr>
        <w:t>12.2.1 药品标识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按照国家药品监督管理部门规定的内容印制药品标签。</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黑体" w:eastAsia="黑体" w:cs="黑体"/>
        </w:rPr>
      </w:pPr>
      <w:r>
        <w:rPr>
          <w:rFonts w:hint="eastAsia" w:ascii="黑体" w:hAnsi="黑体" w:eastAsia="黑体" w:cs="黑体"/>
        </w:rPr>
        <w:t>12.2.2 野生动物保护与利用标识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张贴野生动物保护行政主管部门发放的标识。</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黑体" w:eastAsia="黑体" w:cs="黑体"/>
        </w:rPr>
      </w:pPr>
      <w:r>
        <w:rPr>
          <w:rFonts w:hint="eastAsia" w:ascii="黑体" w:hAnsi="黑体" w:eastAsia="黑体" w:cs="黑体"/>
        </w:rPr>
        <w:t>12.3 储藏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熊胆粉储藏，执行WS</w:t>
      </w:r>
      <w:r>
        <w:rPr>
          <w:rFonts w:hint="eastAsia" w:ascii="宋体" w:hAnsi="宋体" w:eastAsia="宋体" w:cs="宋体"/>
          <w:vertAlign w:val="subscript"/>
        </w:rPr>
        <w:t>3</w:t>
      </w:r>
      <w:r>
        <w:rPr>
          <w:rFonts w:hint="eastAsia" w:ascii="宋体" w:hAnsi="宋体" w:eastAsia="宋体" w:cs="宋体"/>
        </w:rPr>
        <w:t>-09（B-09）-96（Z）</w:t>
      </w:r>
      <w:r>
        <w:rPr>
          <w:rFonts w:hint="eastAsia" w:ascii="宋体" w:hAnsi="宋体" w:cs="宋体"/>
          <w:lang w:val="en-US" w:eastAsia="zh-CN"/>
        </w:rPr>
        <w:t xml:space="preserve"> </w:t>
      </w:r>
      <w:r>
        <w:rPr>
          <w:rFonts w:hint="eastAsia" w:ascii="宋体" w:hAnsi="宋体" w:eastAsia="宋体" w:cs="宋体"/>
        </w:rPr>
        <w:t>中华人民共和国卫生部部颁标准的相关标准，密封，遮光，置阴凉干燥处。熊胆（干燥）密封包装后，置于冷藏保存。</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黑体" w:eastAsia="黑体" w:cs="黑体"/>
        </w:rPr>
      </w:pPr>
      <w:r>
        <w:rPr>
          <w:rFonts w:hint="eastAsia" w:ascii="黑体" w:hAnsi="黑体" w:eastAsia="黑体" w:cs="黑体"/>
        </w:rPr>
        <w:t>12.4 运输</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常温下、防潮运输，持有国家规定需要的资料。</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rPr>
      </w:pPr>
      <w:bookmarkStart w:id="59" w:name="_Toc12292513"/>
      <w:bookmarkStart w:id="60" w:name="_Toc54094803"/>
      <w:r>
        <w:rPr>
          <w:rFonts w:hint="eastAsia" w:ascii="黑体" w:hAnsi="黑体" w:eastAsia="黑体" w:cs="黑体"/>
        </w:rPr>
        <w:t>13 档案管理</w:t>
      </w:r>
      <w:bookmarkEnd w:id="59"/>
      <w:bookmarkEnd w:id="60"/>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黑体" w:eastAsia="黑体" w:cs="黑体"/>
        </w:rPr>
      </w:pPr>
      <w:r>
        <w:rPr>
          <w:rFonts w:hint="eastAsia" w:ascii="黑体" w:hAnsi="黑体" w:eastAsia="黑体" w:cs="黑体"/>
        </w:rPr>
        <w:t>13.1 档案种类</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养熊场建场档案、驯养繁殖许可证、种源引进许可批件。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生产管理档案包括种源来源、性别、年龄、配种记录，产仔记录、生长记录、产胆记录、饲料加工记录、采食记录、病历、解剖记录、尸体处理记录、医疗垃圾和废物处理记录、污水处理记录、防疫记录、动物调入调出记录、物资管理记录、人员健康记录、人事档案以及销售管理档案。</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黑体" w:eastAsia="黑体" w:cs="黑体"/>
        </w:rPr>
      </w:pPr>
      <w:r>
        <w:rPr>
          <w:rFonts w:hint="eastAsia" w:ascii="黑体" w:hAnsi="黑体" w:eastAsia="黑体" w:cs="黑体"/>
        </w:rPr>
        <w:t>13.2 档案管理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按内容、按时填写清楚，分类、专人管理。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br w:type="page"/>
      </w:r>
    </w:p>
    <w:p>
      <w:pPr>
        <w:widowControl/>
        <w:spacing w:before="156" w:beforeLines="50" w:after="156" w:afterLines="50"/>
        <w:jc w:val="center"/>
        <w:outlineLvl w:val="0"/>
        <w:rPr>
          <w:rFonts w:ascii="黑体" w:eastAsia="黑体" w:cs="Times New Roman"/>
          <w:kern w:val="0"/>
          <w:szCs w:val="20"/>
        </w:rPr>
      </w:pPr>
      <w:bookmarkStart w:id="61" w:name="_Toc54094804"/>
      <w:r>
        <w:rPr>
          <w:rFonts w:ascii="黑体" w:eastAsia="黑体" w:cs="Times New Roman"/>
          <w:kern w:val="0"/>
          <w:szCs w:val="20"/>
        </w:rPr>
        <w:t>附录A</w:t>
      </w:r>
      <w:bookmarkEnd w:id="61"/>
    </w:p>
    <w:p>
      <w:pPr>
        <w:widowControl/>
        <w:spacing w:before="156" w:beforeLines="50" w:after="156" w:afterLines="50"/>
        <w:jc w:val="center"/>
        <w:outlineLvl w:val="0"/>
        <w:rPr>
          <w:rFonts w:ascii="黑体" w:eastAsia="黑体" w:cs="Times New Roman"/>
          <w:kern w:val="0"/>
          <w:szCs w:val="20"/>
        </w:rPr>
      </w:pPr>
      <w:bookmarkStart w:id="62" w:name="_Toc54094805"/>
      <w:r>
        <w:rPr>
          <w:rFonts w:ascii="黑体" w:eastAsia="黑体" w:cs="Times New Roman"/>
          <w:kern w:val="0"/>
          <w:szCs w:val="20"/>
        </w:rPr>
        <w:t>（资料性附录）</w:t>
      </w:r>
      <w:bookmarkEnd w:id="62"/>
    </w:p>
    <w:p>
      <w:pPr>
        <w:widowControl/>
        <w:spacing w:before="156" w:beforeLines="50" w:after="156" w:afterLines="50"/>
        <w:jc w:val="center"/>
        <w:outlineLvl w:val="0"/>
        <w:rPr>
          <w:rFonts w:ascii="黑体" w:eastAsia="黑体" w:cs="Times New Roman"/>
          <w:kern w:val="0"/>
          <w:szCs w:val="20"/>
        </w:rPr>
      </w:pPr>
      <w:bookmarkStart w:id="63" w:name="_Toc54094806"/>
      <w:r>
        <w:rPr>
          <w:rFonts w:ascii="黑体" w:eastAsia="黑体" w:cs="Times New Roman"/>
          <w:kern w:val="0"/>
          <w:szCs w:val="20"/>
        </w:rPr>
        <w:t>黑熊</w:t>
      </w:r>
      <w:r>
        <w:rPr>
          <w:rFonts w:hint="eastAsia" w:ascii="黑体" w:eastAsia="黑体" w:cs="Times New Roman"/>
          <w:kern w:val="0"/>
          <w:szCs w:val="20"/>
        </w:rPr>
        <w:t>营养</w:t>
      </w:r>
      <w:r>
        <w:rPr>
          <w:rFonts w:ascii="黑体" w:eastAsia="黑体" w:cs="Times New Roman"/>
          <w:kern w:val="0"/>
          <w:szCs w:val="20"/>
        </w:rPr>
        <w:t>需求</w:t>
      </w:r>
      <w:bookmarkEnd w:id="63"/>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rPr>
                <w:rFonts w:ascii="宋体" w:hAnsi="宋体" w:cs="Times New Roman"/>
                <w:sz w:val="18"/>
                <w:szCs w:val="18"/>
              </w:rPr>
            </w:pPr>
          </w:p>
        </w:tc>
        <w:tc>
          <w:tcPr>
            <w:tcW w:w="1420" w:type="dxa"/>
          </w:tcPr>
          <w:p>
            <w:pPr>
              <w:tabs>
                <w:tab w:val="left" w:pos="1005"/>
              </w:tabs>
              <w:rPr>
                <w:rFonts w:ascii="宋体" w:hAnsi="宋体" w:cs="Times New Roman"/>
                <w:sz w:val="18"/>
                <w:szCs w:val="18"/>
              </w:rPr>
            </w:pPr>
            <w:r>
              <w:rPr>
                <w:rFonts w:ascii="宋体" w:hAnsi="宋体" w:cs="Times New Roman"/>
                <w:sz w:val="18"/>
                <w:szCs w:val="18"/>
              </w:rPr>
              <w:t xml:space="preserve">种熊   </w:t>
            </w:r>
          </w:p>
        </w:tc>
        <w:tc>
          <w:tcPr>
            <w:tcW w:w="1420" w:type="dxa"/>
          </w:tcPr>
          <w:p>
            <w:pPr>
              <w:rPr>
                <w:rFonts w:ascii="宋体" w:hAnsi="宋体" w:cs="Times New Roman"/>
                <w:sz w:val="18"/>
                <w:szCs w:val="18"/>
              </w:rPr>
            </w:pPr>
            <w:r>
              <w:rPr>
                <w:rFonts w:ascii="宋体" w:hAnsi="宋体" w:cs="Times New Roman"/>
                <w:sz w:val="18"/>
                <w:szCs w:val="18"/>
              </w:rPr>
              <w:t>哺乳母熊</w:t>
            </w:r>
          </w:p>
        </w:tc>
        <w:tc>
          <w:tcPr>
            <w:tcW w:w="1420" w:type="dxa"/>
          </w:tcPr>
          <w:p>
            <w:pPr>
              <w:rPr>
                <w:rFonts w:ascii="宋体" w:hAnsi="宋体" w:cs="Times New Roman"/>
                <w:sz w:val="18"/>
                <w:szCs w:val="18"/>
              </w:rPr>
            </w:pPr>
            <w:r>
              <w:rPr>
                <w:rFonts w:ascii="宋体" w:hAnsi="宋体" w:cs="Times New Roman"/>
                <w:sz w:val="18"/>
                <w:szCs w:val="18"/>
              </w:rPr>
              <w:t>育成熊</w:t>
            </w:r>
          </w:p>
        </w:tc>
        <w:tc>
          <w:tcPr>
            <w:tcW w:w="1421" w:type="dxa"/>
          </w:tcPr>
          <w:p>
            <w:pPr>
              <w:rPr>
                <w:rFonts w:ascii="宋体" w:hAnsi="宋体" w:cs="Times New Roman"/>
                <w:sz w:val="18"/>
                <w:szCs w:val="18"/>
              </w:rPr>
            </w:pPr>
            <w:r>
              <w:rPr>
                <w:rFonts w:ascii="宋体" w:hAnsi="宋体" w:cs="Times New Roman"/>
                <w:sz w:val="18"/>
                <w:szCs w:val="18"/>
              </w:rPr>
              <w:t>仔熊</w:t>
            </w:r>
          </w:p>
        </w:tc>
        <w:tc>
          <w:tcPr>
            <w:tcW w:w="1421" w:type="dxa"/>
          </w:tcPr>
          <w:p>
            <w:pPr>
              <w:rPr>
                <w:rFonts w:ascii="宋体" w:hAnsi="宋体" w:cs="Times New Roman"/>
                <w:sz w:val="18"/>
                <w:szCs w:val="18"/>
              </w:rPr>
            </w:pPr>
            <w:r>
              <w:rPr>
                <w:rFonts w:ascii="宋体" w:hAnsi="宋体" w:cs="Times New Roman"/>
                <w:sz w:val="18"/>
                <w:szCs w:val="18"/>
              </w:rPr>
              <w:t>引流取胆熊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rPr>
                <w:rFonts w:hint="eastAsia" w:ascii="宋体" w:hAnsi="宋体" w:eastAsia="宋体" w:cs="Times New Roman"/>
                <w:sz w:val="18"/>
                <w:szCs w:val="18"/>
                <w:lang w:val="en-US" w:eastAsia="zh-CN"/>
              </w:rPr>
            </w:pPr>
            <w:r>
              <w:rPr>
                <w:rFonts w:ascii="宋体" w:hAnsi="宋体" w:cs="Times New Roman"/>
                <w:sz w:val="18"/>
                <w:szCs w:val="18"/>
              </w:rPr>
              <w:t>粗蛋白</w:t>
            </w:r>
            <w:r>
              <w:rPr>
                <w:rFonts w:hint="eastAsia" w:ascii="宋体" w:hAnsi="宋体" w:cs="Times New Roman"/>
                <w:sz w:val="18"/>
                <w:szCs w:val="18"/>
                <w:lang w:val="en-US" w:eastAsia="zh-CN"/>
              </w:rPr>
              <w:t>%</w:t>
            </w:r>
          </w:p>
        </w:tc>
        <w:tc>
          <w:tcPr>
            <w:tcW w:w="1420" w:type="dxa"/>
          </w:tcPr>
          <w:p>
            <w:pPr>
              <w:rPr>
                <w:rFonts w:ascii="宋体" w:hAnsi="宋体" w:cs="Times New Roman"/>
                <w:sz w:val="18"/>
                <w:szCs w:val="18"/>
              </w:rPr>
            </w:pPr>
            <w:r>
              <w:rPr>
                <w:rFonts w:ascii="宋体" w:hAnsi="宋体" w:cs="Times New Roman"/>
                <w:sz w:val="18"/>
                <w:szCs w:val="18"/>
              </w:rPr>
              <w:t>18---20</w:t>
            </w:r>
          </w:p>
        </w:tc>
        <w:tc>
          <w:tcPr>
            <w:tcW w:w="1420" w:type="dxa"/>
          </w:tcPr>
          <w:p>
            <w:pPr>
              <w:rPr>
                <w:rFonts w:ascii="宋体" w:hAnsi="宋体" w:cs="Times New Roman"/>
                <w:sz w:val="18"/>
                <w:szCs w:val="18"/>
              </w:rPr>
            </w:pPr>
            <w:r>
              <w:rPr>
                <w:rFonts w:ascii="宋体" w:hAnsi="宋体" w:cs="Times New Roman"/>
                <w:sz w:val="18"/>
                <w:szCs w:val="18"/>
              </w:rPr>
              <w:t>22---25</w:t>
            </w:r>
          </w:p>
        </w:tc>
        <w:tc>
          <w:tcPr>
            <w:tcW w:w="1420" w:type="dxa"/>
          </w:tcPr>
          <w:p>
            <w:pPr>
              <w:rPr>
                <w:rFonts w:ascii="宋体" w:hAnsi="宋体" w:cs="Times New Roman"/>
                <w:sz w:val="18"/>
                <w:szCs w:val="18"/>
              </w:rPr>
            </w:pPr>
            <w:r>
              <w:rPr>
                <w:rFonts w:ascii="宋体" w:hAnsi="宋体" w:cs="Times New Roman"/>
                <w:sz w:val="18"/>
                <w:szCs w:val="18"/>
              </w:rPr>
              <w:t>16---18</w:t>
            </w:r>
          </w:p>
        </w:tc>
        <w:tc>
          <w:tcPr>
            <w:tcW w:w="1421" w:type="dxa"/>
          </w:tcPr>
          <w:p>
            <w:pPr>
              <w:rPr>
                <w:rFonts w:ascii="宋体" w:hAnsi="宋体" w:cs="Times New Roman"/>
                <w:sz w:val="18"/>
                <w:szCs w:val="18"/>
              </w:rPr>
            </w:pPr>
            <w:r>
              <w:rPr>
                <w:rFonts w:ascii="宋体" w:hAnsi="宋体" w:cs="Times New Roman"/>
                <w:sz w:val="18"/>
                <w:szCs w:val="18"/>
              </w:rPr>
              <w:t>24---26</w:t>
            </w:r>
          </w:p>
        </w:tc>
        <w:tc>
          <w:tcPr>
            <w:tcW w:w="1421" w:type="dxa"/>
          </w:tcPr>
          <w:p>
            <w:pPr>
              <w:rPr>
                <w:rFonts w:ascii="宋体" w:hAnsi="宋体" w:cs="Times New Roman"/>
                <w:sz w:val="18"/>
                <w:szCs w:val="18"/>
              </w:rPr>
            </w:pPr>
            <w:r>
              <w:rPr>
                <w:rFonts w:ascii="宋体" w:hAnsi="宋体" w:cs="Times New Roman"/>
                <w:sz w:val="18"/>
                <w:szCs w:val="18"/>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rPr>
                <w:rFonts w:hint="eastAsia" w:ascii="宋体" w:hAnsi="宋体" w:eastAsia="宋体" w:cs="Times New Roman"/>
                <w:sz w:val="18"/>
                <w:szCs w:val="18"/>
                <w:lang w:val="en-US" w:eastAsia="zh-CN"/>
              </w:rPr>
            </w:pPr>
            <w:r>
              <w:rPr>
                <w:rFonts w:ascii="宋体" w:hAnsi="宋体" w:cs="Times New Roman"/>
                <w:sz w:val="18"/>
                <w:szCs w:val="18"/>
              </w:rPr>
              <w:t>粗脂肪</w:t>
            </w:r>
            <w:r>
              <w:rPr>
                <w:rFonts w:hint="eastAsia" w:ascii="宋体" w:hAnsi="宋体" w:cs="Times New Roman"/>
                <w:sz w:val="18"/>
                <w:szCs w:val="18"/>
                <w:lang w:val="en-US" w:eastAsia="zh-CN"/>
              </w:rPr>
              <w:t>%</w:t>
            </w:r>
          </w:p>
        </w:tc>
        <w:tc>
          <w:tcPr>
            <w:tcW w:w="1420" w:type="dxa"/>
          </w:tcPr>
          <w:p>
            <w:pPr>
              <w:rPr>
                <w:rFonts w:ascii="宋体" w:hAnsi="宋体" w:cs="Times New Roman"/>
                <w:sz w:val="18"/>
                <w:szCs w:val="18"/>
              </w:rPr>
            </w:pPr>
            <w:r>
              <w:rPr>
                <w:rFonts w:ascii="宋体" w:hAnsi="宋体" w:cs="Times New Roman"/>
                <w:sz w:val="18"/>
                <w:szCs w:val="18"/>
              </w:rPr>
              <w:t>8---9</w:t>
            </w:r>
          </w:p>
        </w:tc>
        <w:tc>
          <w:tcPr>
            <w:tcW w:w="1420" w:type="dxa"/>
          </w:tcPr>
          <w:p>
            <w:pPr>
              <w:rPr>
                <w:rFonts w:ascii="宋体" w:hAnsi="宋体" w:cs="Times New Roman"/>
                <w:sz w:val="18"/>
                <w:szCs w:val="18"/>
              </w:rPr>
            </w:pPr>
            <w:r>
              <w:rPr>
                <w:rFonts w:ascii="宋体" w:hAnsi="宋体" w:cs="Times New Roman"/>
                <w:sz w:val="18"/>
                <w:szCs w:val="18"/>
              </w:rPr>
              <w:t>9---12</w:t>
            </w:r>
          </w:p>
        </w:tc>
        <w:tc>
          <w:tcPr>
            <w:tcW w:w="1420" w:type="dxa"/>
          </w:tcPr>
          <w:p>
            <w:pPr>
              <w:rPr>
                <w:rFonts w:ascii="宋体" w:hAnsi="宋体" w:cs="Times New Roman"/>
                <w:sz w:val="18"/>
                <w:szCs w:val="18"/>
              </w:rPr>
            </w:pPr>
            <w:r>
              <w:rPr>
                <w:rFonts w:ascii="宋体" w:hAnsi="宋体" w:cs="Times New Roman"/>
                <w:sz w:val="18"/>
                <w:szCs w:val="18"/>
              </w:rPr>
              <w:t>8---9</w:t>
            </w:r>
          </w:p>
        </w:tc>
        <w:tc>
          <w:tcPr>
            <w:tcW w:w="1421" w:type="dxa"/>
          </w:tcPr>
          <w:p>
            <w:pPr>
              <w:rPr>
                <w:rFonts w:ascii="宋体" w:hAnsi="宋体" w:cs="Times New Roman"/>
                <w:sz w:val="18"/>
                <w:szCs w:val="18"/>
              </w:rPr>
            </w:pPr>
            <w:r>
              <w:rPr>
                <w:rFonts w:ascii="宋体" w:hAnsi="宋体" w:cs="Times New Roman"/>
                <w:sz w:val="18"/>
                <w:szCs w:val="18"/>
              </w:rPr>
              <w:t>8---9</w:t>
            </w:r>
          </w:p>
        </w:tc>
        <w:tc>
          <w:tcPr>
            <w:tcW w:w="1421" w:type="dxa"/>
          </w:tcPr>
          <w:p>
            <w:pPr>
              <w:rPr>
                <w:rFonts w:ascii="宋体" w:hAnsi="宋体" w:cs="Times New Roman"/>
                <w:sz w:val="18"/>
                <w:szCs w:val="18"/>
              </w:rPr>
            </w:pPr>
            <w:r>
              <w:rPr>
                <w:rFonts w:ascii="宋体" w:hAnsi="宋体" w:cs="Times New Roman"/>
                <w:sz w:val="18"/>
                <w:szCs w:val="18"/>
              </w:rPr>
              <w:t>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rPr>
                <w:rFonts w:ascii="宋体" w:hAnsi="宋体" w:cs="Times New Roman"/>
                <w:sz w:val="18"/>
                <w:szCs w:val="18"/>
              </w:rPr>
            </w:pPr>
            <w:r>
              <w:rPr>
                <w:rFonts w:ascii="宋体" w:hAnsi="宋体" w:cs="Times New Roman"/>
                <w:sz w:val="18"/>
                <w:szCs w:val="18"/>
              </w:rPr>
              <w:t>Ca%</w:t>
            </w:r>
          </w:p>
        </w:tc>
        <w:tc>
          <w:tcPr>
            <w:tcW w:w="1420" w:type="dxa"/>
          </w:tcPr>
          <w:p>
            <w:pPr>
              <w:rPr>
                <w:rFonts w:ascii="宋体" w:hAnsi="宋体" w:cs="Times New Roman"/>
                <w:sz w:val="18"/>
                <w:szCs w:val="18"/>
              </w:rPr>
            </w:pPr>
            <w:r>
              <w:rPr>
                <w:rFonts w:ascii="宋体" w:hAnsi="宋体" w:cs="Times New Roman"/>
                <w:sz w:val="18"/>
                <w:szCs w:val="18"/>
              </w:rPr>
              <w:t>1.8-2.0</w:t>
            </w:r>
          </w:p>
        </w:tc>
        <w:tc>
          <w:tcPr>
            <w:tcW w:w="1420" w:type="dxa"/>
          </w:tcPr>
          <w:p>
            <w:pPr>
              <w:rPr>
                <w:rFonts w:ascii="宋体" w:hAnsi="宋体" w:cs="Times New Roman"/>
                <w:sz w:val="18"/>
                <w:szCs w:val="18"/>
              </w:rPr>
            </w:pPr>
            <w:r>
              <w:rPr>
                <w:rFonts w:ascii="宋体" w:hAnsi="宋体" w:cs="Times New Roman"/>
                <w:sz w:val="18"/>
                <w:szCs w:val="18"/>
              </w:rPr>
              <w:t>1.8—2.0</w:t>
            </w:r>
          </w:p>
        </w:tc>
        <w:tc>
          <w:tcPr>
            <w:tcW w:w="1420" w:type="dxa"/>
          </w:tcPr>
          <w:p>
            <w:pPr>
              <w:rPr>
                <w:rFonts w:ascii="宋体" w:hAnsi="宋体" w:cs="Times New Roman"/>
                <w:sz w:val="18"/>
                <w:szCs w:val="18"/>
              </w:rPr>
            </w:pPr>
            <w:r>
              <w:rPr>
                <w:rFonts w:ascii="宋体" w:hAnsi="宋体" w:cs="Times New Roman"/>
                <w:sz w:val="18"/>
                <w:szCs w:val="18"/>
              </w:rPr>
              <w:t>1.8—2.2</w:t>
            </w:r>
          </w:p>
        </w:tc>
        <w:tc>
          <w:tcPr>
            <w:tcW w:w="1421" w:type="dxa"/>
          </w:tcPr>
          <w:p>
            <w:pPr>
              <w:rPr>
                <w:rFonts w:ascii="宋体" w:hAnsi="宋体" w:cs="Times New Roman"/>
                <w:sz w:val="18"/>
                <w:szCs w:val="18"/>
              </w:rPr>
            </w:pPr>
            <w:r>
              <w:rPr>
                <w:rFonts w:ascii="宋体" w:hAnsi="宋体" w:cs="Times New Roman"/>
                <w:sz w:val="18"/>
                <w:szCs w:val="18"/>
              </w:rPr>
              <w:t>1.8—2.2</w:t>
            </w:r>
          </w:p>
        </w:tc>
        <w:tc>
          <w:tcPr>
            <w:tcW w:w="1421" w:type="dxa"/>
          </w:tcPr>
          <w:p>
            <w:pPr>
              <w:rPr>
                <w:rFonts w:ascii="宋体" w:hAnsi="宋体" w:cs="Times New Roman"/>
                <w:sz w:val="18"/>
                <w:szCs w:val="18"/>
              </w:rPr>
            </w:pPr>
            <w:r>
              <w:rPr>
                <w:rFonts w:ascii="宋体" w:hAnsi="宋体" w:cs="Times New Roman"/>
                <w:sz w:val="18"/>
                <w:szCs w:val="18"/>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rPr>
                <w:rFonts w:ascii="宋体" w:hAnsi="宋体" w:cs="Times New Roman"/>
                <w:sz w:val="18"/>
                <w:szCs w:val="18"/>
              </w:rPr>
            </w:pPr>
            <w:r>
              <w:rPr>
                <w:rFonts w:ascii="宋体" w:hAnsi="宋体" w:cs="Times New Roman"/>
                <w:sz w:val="18"/>
                <w:szCs w:val="18"/>
              </w:rPr>
              <w:t>P%</w:t>
            </w:r>
          </w:p>
        </w:tc>
        <w:tc>
          <w:tcPr>
            <w:tcW w:w="1420" w:type="dxa"/>
          </w:tcPr>
          <w:p>
            <w:pPr>
              <w:rPr>
                <w:rFonts w:ascii="宋体" w:hAnsi="宋体" w:cs="Times New Roman"/>
                <w:sz w:val="18"/>
                <w:szCs w:val="18"/>
              </w:rPr>
            </w:pPr>
            <w:r>
              <w:rPr>
                <w:rFonts w:ascii="宋体" w:hAnsi="宋体" w:cs="Times New Roman"/>
                <w:sz w:val="18"/>
                <w:szCs w:val="18"/>
              </w:rPr>
              <w:t>1.2—1.5</w:t>
            </w:r>
          </w:p>
        </w:tc>
        <w:tc>
          <w:tcPr>
            <w:tcW w:w="1420" w:type="dxa"/>
          </w:tcPr>
          <w:p>
            <w:pPr>
              <w:rPr>
                <w:rFonts w:ascii="宋体" w:hAnsi="宋体" w:cs="Times New Roman"/>
                <w:sz w:val="18"/>
                <w:szCs w:val="18"/>
              </w:rPr>
            </w:pPr>
            <w:r>
              <w:rPr>
                <w:rFonts w:ascii="宋体" w:hAnsi="宋体" w:cs="Times New Roman"/>
                <w:sz w:val="18"/>
                <w:szCs w:val="18"/>
              </w:rPr>
              <w:t>1.2---1.5</w:t>
            </w:r>
          </w:p>
        </w:tc>
        <w:tc>
          <w:tcPr>
            <w:tcW w:w="1420" w:type="dxa"/>
          </w:tcPr>
          <w:p>
            <w:pPr>
              <w:rPr>
                <w:rFonts w:ascii="宋体" w:hAnsi="宋体" w:cs="Times New Roman"/>
                <w:sz w:val="18"/>
                <w:szCs w:val="18"/>
              </w:rPr>
            </w:pPr>
            <w:r>
              <w:rPr>
                <w:rFonts w:ascii="宋体" w:hAnsi="宋体" w:cs="Times New Roman"/>
                <w:sz w:val="18"/>
                <w:szCs w:val="18"/>
              </w:rPr>
              <w:t>1.3---1.6</w:t>
            </w:r>
          </w:p>
        </w:tc>
        <w:tc>
          <w:tcPr>
            <w:tcW w:w="1421" w:type="dxa"/>
          </w:tcPr>
          <w:p>
            <w:pPr>
              <w:rPr>
                <w:rFonts w:ascii="宋体" w:hAnsi="宋体" w:cs="Times New Roman"/>
                <w:sz w:val="18"/>
                <w:szCs w:val="18"/>
              </w:rPr>
            </w:pPr>
            <w:r>
              <w:rPr>
                <w:rFonts w:ascii="宋体" w:hAnsi="宋体" w:cs="Times New Roman"/>
                <w:sz w:val="18"/>
                <w:szCs w:val="18"/>
              </w:rPr>
              <w:t>1.3---1.6</w:t>
            </w:r>
          </w:p>
        </w:tc>
        <w:tc>
          <w:tcPr>
            <w:tcW w:w="1421" w:type="dxa"/>
          </w:tcPr>
          <w:p>
            <w:pPr>
              <w:rPr>
                <w:rFonts w:ascii="宋体" w:hAnsi="宋体" w:cs="Times New Roman"/>
                <w:sz w:val="18"/>
                <w:szCs w:val="18"/>
              </w:rPr>
            </w:pPr>
            <w:r>
              <w:rPr>
                <w:rFonts w:ascii="宋体" w:hAnsi="宋体" w:cs="Times New Roman"/>
                <w:sz w:val="18"/>
                <w:szCs w:val="18"/>
              </w:rPr>
              <w:t>1.2---1.4</w:t>
            </w:r>
          </w:p>
        </w:tc>
      </w:tr>
    </w:tbl>
    <w:p>
      <w:pPr>
        <w:rPr>
          <w:rFonts w:cs="Times New Roman"/>
          <w:sz w:val="28"/>
          <w:szCs w:val="28"/>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bookmarkStart w:id="64" w:name="_GoBack"/>
      <w:bookmarkEnd w:id="64"/>
    </w:p>
    <w:p>
      <w:pPr>
        <w:bidi w:val="0"/>
        <w:jc w:val="left"/>
        <w:rPr>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Arial Unicode MS">
    <w:altName w:val="Arial"/>
    <w:panose1 w:val="020B0604020202020204"/>
    <w:charset w:val="80"/>
    <w:family w:val="swiss"/>
    <w:pitch w:val="default"/>
    <w:sig w:usb0="00000000" w:usb1="00000000" w:usb2="0000003F" w:usb3="00000000" w:csb0="603F01FF" w:csb1="FFFF0000"/>
  </w:font>
  <w:font w:name="隶书">
    <w:altName w:val="微软雅黑"/>
    <w:panose1 w:val="02010509060101010101"/>
    <w:charset w:val="86"/>
    <w:family w:val="modern"/>
    <w:pitch w:val="default"/>
    <w:sig w:usb0="00000000" w:usb1="00000000" w:usb2="00000000" w:usb3="00000000" w:csb0="00040000" w:csb1="00000000"/>
  </w:font>
  <w:font w:name="Songti SC">
    <w:altName w:val="宋体"/>
    <w:panose1 w:val="02010600040101010101"/>
    <w:charset w:val="86"/>
    <w:family w:val="auto"/>
    <w:pitch w:val="default"/>
    <w:sig w:usb0="00000000" w:usb1="00000000" w:usb2="00000000" w:usb3="00000000" w:csb0="0016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3"/>
      </w:rPr>
      <w:id w:val="2078468824"/>
    </w:sdtPr>
    <w:sdtEndPr>
      <w:rPr>
        <w:rStyle w:val="13"/>
      </w:rPr>
    </w:sdtEndPr>
    <w:sdtContent>
      <w:p>
        <w:pPr>
          <w:pStyle w:val="7"/>
          <w:framePr w:wrap="around" w:vAnchor="text" w:hAnchor="margin" w:xAlign="right" w:y="1"/>
          <w:rPr>
            <w:rStyle w:val="13"/>
          </w:rPr>
        </w:pPr>
        <w:r>
          <w:rPr>
            <w:rStyle w:val="13"/>
          </w:rPr>
          <w:fldChar w:fldCharType="begin"/>
        </w:r>
        <w:r>
          <w:rPr>
            <w:rStyle w:val="13"/>
          </w:rPr>
          <w:instrText xml:space="preserve"> PAGE </w:instrText>
        </w:r>
        <w:r>
          <w:rPr>
            <w:rStyle w:val="13"/>
          </w:rPr>
          <w:fldChar w:fldCharType="end"/>
        </w:r>
      </w:p>
    </w:sdtContent>
  </w:sdt>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fldChar w:fldCharType="begin"/>
    </w:r>
    <w:r>
      <w:rPr>
        <w:rStyle w:val="13"/>
      </w:rPr>
      <w:instrText xml:space="preserve">PAGE  </w:instrText>
    </w:r>
    <w:r>
      <w:fldChar w:fldCharType="separate"/>
    </w:r>
    <w:r>
      <w:rPr>
        <w:rStyle w:val="13"/>
      </w:rPr>
      <w:t>II</w:t>
    </w:r>
    <w:r>
      <w:fldChar w:fldCharType="end"/>
    </w:r>
  </w:p>
  <w:p>
    <w:pPr>
      <w:pStyle w:val="7"/>
      <w:tabs>
        <w:tab w:val="left" w:pos="6914"/>
        <w:tab w:val="right" w:pos="7946"/>
        <w:tab w:val="clear" w:pos="4153"/>
        <w:tab w:val="clear" w:pos="8306"/>
      </w:tabs>
      <w:ind w:right="360"/>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fldChar w:fldCharType="begin"/>
    </w:r>
    <w:r>
      <w:rPr>
        <w:rStyle w:val="13"/>
      </w:rPr>
      <w:instrText xml:space="preserve">PAGE  </w:instrText>
    </w:r>
    <w:r>
      <w:fldChar w:fldCharType="separate"/>
    </w:r>
    <w:r>
      <w:rPr>
        <w:rStyle w:val="13"/>
      </w:rPr>
      <w:t>10</w: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rPr>
        <w:rFonts w:cs="Times New Roman"/>
        <w:sz w:val="21"/>
        <w:szCs w:val="21"/>
      </w:rPr>
    </w:pPr>
    <w:r>
      <w:rPr>
        <w:rFonts w:hint="eastAsia" w:ascii="黑体" w:hAnsi="黑体" w:eastAsia="黑体" w:cs="黑体"/>
        <w:sz w:val="21"/>
        <w:szCs w:val="21"/>
      </w:rPr>
      <w:t>T/CACM XXXXX—2021</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C6362E"/>
    <w:multiLevelType w:val="multilevel"/>
    <w:tmpl w:val="43C6362E"/>
    <w:lvl w:ilvl="0" w:tentative="0">
      <w:start w:val="3"/>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ascii="黑体" w:hAnsi="黑体" w:eastAsia="黑体" w:cs="黑体"/>
        <w:sz w:val="21"/>
        <w:szCs w:val="21"/>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080" w:hanging="108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440" w:hanging="1440"/>
      </w:pPr>
      <w:rPr>
        <w:rFonts w:hint="default" w:cs="Times New Roman"/>
      </w:rPr>
    </w:lvl>
  </w:abstractNum>
  <w:abstractNum w:abstractNumId="1">
    <w:nsid w:val="6CEA2025"/>
    <w:multiLevelType w:val="multilevel"/>
    <w:tmpl w:val="6CEA2025"/>
    <w:lvl w:ilvl="0" w:tentative="0">
      <w:start w:val="1"/>
      <w:numFmt w:val="none"/>
      <w:suff w:val="nothing"/>
      <w:lvlText w:val="%1"/>
      <w:lvlJc w:val="left"/>
      <w:rPr>
        <w:rFonts w:hint="default" w:ascii="Times New Roman" w:hAnsi="Times New Roman"/>
        <w:b/>
        <w:bCs/>
        <w:i w:val="0"/>
        <w:iCs w:val="0"/>
        <w:sz w:val="21"/>
        <w:szCs w:val="21"/>
      </w:rPr>
    </w:lvl>
    <w:lvl w:ilvl="1" w:tentative="0">
      <w:start w:val="1"/>
      <w:numFmt w:val="decimal"/>
      <w:suff w:val="nothing"/>
      <w:lvlText w:val="%1%2　"/>
      <w:lvlJc w:val="left"/>
      <w:pPr>
        <w:ind w:left="360"/>
      </w:pPr>
      <w:rPr>
        <w:rFonts w:hint="eastAsia" w:ascii="黑体" w:hAnsi="Times New Roman" w:eastAsia="黑体"/>
        <w:b w:val="0"/>
        <w:bCs w:val="0"/>
        <w:i w:val="0"/>
        <w:iCs w:val="0"/>
        <w:sz w:val="21"/>
        <w:szCs w:val="21"/>
      </w:rPr>
    </w:lvl>
    <w:lvl w:ilvl="2" w:tentative="0">
      <w:start w:val="1"/>
      <w:numFmt w:val="decimal"/>
      <w:suff w:val="nothing"/>
      <w:lvlText w:val="%1%2.%3　"/>
      <w:lvlJc w:val="left"/>
      <w:rPr>
        <w:rFonts w:hint="eastAsia" w:ascii="黑体" w:hAnsi="Times New Roman" w:eastAsia="黑体"/>
        <w:b w:val="0"/>
        <w:bCs w:val="0"/>
        <w:i w:val="0"/>
        <w:iCs w:val="0"/>
        <w:sz w:val="21"/>
        <w:szCs w:val="21"/>
      </w:rPr>
    </w:lvl>
    <w:lvl w:ilvl="3" w:tentative="0">
      <w:start w:val="1"/>
      <w:numFmt w:val="decimal"/>
      <w:suff w:val="nothing"/>
      <w:lvlText w:val="%1%2.%3.%4　"/>
      <w:lvlJc w:val="left"/>
      <w:rPr>
        <w:rFonts w:hint="eastAsia" w:ascii="黑体" w:hAnsi="Times New Roman" w:eastAsia="黑体"/>
        <w:b w:val="0"/>
        <w:bCs w:val="0"/>
        <w:i w:val="0"/>
        <w:iCs w:val="0"/>
        <w:sz w:val="21"/>
        <w:szCs w:val="21"/>
      </w:rPr>
    </w:lvl>
    <w:lvl w:ilvl="4" w:tentative="0">
      <w:start w:val="1"/>
      <w:numFmt w:val="decimal"/>
      <w:suff w:val="nothing"/>
      <w:lvlText w:val="%1%2.%3.%4.%5　"/>
      <w:lvlJc w:val="left"/>
      <w:pPr>
        <w:ind w:left="540"/>
      </w:pPr>
      <w:rPr>
        <w:rFonts w:hint="eastAsia" w:ascii="黑体" w:hAnsi="Times New Roman" w:eastAsia="黑体"/>
        <w:b w:val="0"/>
        <w:bCs w:val="0"/>
        <w:i w:val="0"/>
        <w:iCs w:val="0"/>
        <w:sz w:val="21"/>
        <w:szCs w:val="21"/>
      </w:rPr>
    </w:lvl>
    <w:lvl w:ilvl="5" w:tentative="0">
      <w:start w:val="1"/>
      <w:numFmt w:val="decimal"/>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trackRevisions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1NmU0NmZiYTZjNjdlMzE4NTY2ODQ0YTFiZDdlODgifQ=="/>
    <w:docVar w:name="KY_MEDREF_DOCUID" w:val="{5291BD89-2AB5-4428-B373-BDC941B37FDC}"/>
    <w:docVar w:name="KY_MEDREF_VERSION" w:val="3"/>
  </w:docVars>
  <w:rsids>
    <w:rsidRoot w:val="004E5E46"/>
    <w:rsid w:val="00060638"/>
    <w:rsid w:val="000913DE"/>
    <w:rsid w:val="000B57AD"/>
    <w:rsid w:val="000C0E90"/>
    <w:rsid w:val="00127112"/>
    <w:rsid w:val="00127CE2"/>
    <w:rsid w:val="00160D43"/>
    <w:rsid w:val="00164C35"/>
    <w:rsid w:val="00174A35"/>
    <w:rsid w:val="001864F7"/>
    <w:rsid w:val="00194E7B"/>
    <w:rsid w:val="001F2F29"/>
    <w:rsid w:val="001F5DA0"/>
    <w:rsid w:val="00224CDE"/>
    <w:rsid w:val="00231B91"/>
    <w:rsid w:val="00233719"/>
    <w:rsid w:val="00242E62"/>
    <w:rsid w:val="002502BF"/>
    <w:rsid w:val="00251A3D"/>
    <w:rsid w:val="00253CE0"/>
    <w:rsid w:val="00260412"/>
    <w:rsid w:val="002732D1"/>
    <w:rsid w:val="002735C6"/>
    <w:rsid w:val="002C6843"/>
    <w:rsid w:val="002E13F5"/>
    <w:rsid w:val="003023E6"/>
    <w:rsid w:val="0030385F"/>
    <w:rsid w:val="00313C1A"/>
    <w:rsid w:val="00336454"/>
    <w:rsid w:val="003377A0"/>
    <w:rsid w:val="0034734C"/>
    <w:rsid w:val="00353A68"/>
    <w:rsid w:val="003869D0"/>
    <w:rsid w:val="00391287"/>
    <w:rsid w:val="00394E29"/>
    <w:rsid w:val="003964D9"/>
    <w:rsid w:val="003C75BD"/>
    <w:rsid w:val="003D6EA9"/>
    <w:rsid w:val="003F05F7"/>
    <w:rsid w:val="003F2A77"/>
    <w:rsid w:val="0040186B"/>
    <w:rsid w:val="00402F8A"/>
    <w:rsid w:val="0041421B"/>
    <w:rsid w:val="00420B2E"/>
    <w:rsid w:val="00453607"/>
    <w:rsid w:val="00475662"/>
    <w:rsid w:val="004839A8"/>
    <w:rsid w:val="004A2610"/>
    <w:rsid w:val="004A27BD"/>
    <w:rsid w:val="004A489A"/>
    <w:rsid w:val="004C0B6B"/>
    <w:rsid w:val="004C0D87"/>
    <w:rsid w:val="004C2BC5"/>
    <w:rsid w:val="004E5E46"/>
    <w:rsid w:val="004F163F"/>
    <w:rsid w:val="005139B5"/>
    <w:rsid w:val="0052090D"/>
    <w:rsid w:val="00537F93"/>
    <w:rsid w:val="0054055B"/>
    <w:rsid w:val="00546C4B"/>
    <w:rsid w:val="00572DBD"/>
    <w:rsid w:val="00576082"/>
    <w:rsid w:val="005A470B"/>
    <w:rsid w:val="005B2A97"/>
    <w:rsid w:val="005E244E"/>
    <w:rsid w:val="00610196"/>
    <w:rsid w:val="0062265F"/>
    <w:rsid w:val="00627D83"/>
    <w:rsid w:val="00634AFF"/>
    <w:rsid w:val="00642998"/>
    <w:rsid w:val="00642F3E"/>
    <w:rsid w:val="00647CA5"/>
    <w:rsid w:val="006657B8"/>
    <w:rsid w:val="00671A99"/>
    <w:rsid w:val="00696E10"/>
    <w:rsid w:val="006C3AF0"/>
    <w:rsid w:val="006F1A74"/>
    <w:rsid w:val="006F724B"/>
    <w:rsid w:val="00730536"/>
    <w:rsid w:val="00731D8C"/>
    <w:rsid w:val="007674C9"/>
    <w:rsid w:val="00792240"/>
    <w:rsid w:val="00795169"/>
    <w:rsid w:val="007E562A"/>
    <w:rsid w:val="0080306F"/>
    <w:rsid w:val="00821530"/>
    <w:rsid w:val="00821DAC"/>
    <w:rsid w:val="00865011"/>
    <w:rsid w:val="00894482"/>
    <w:rsid w:val="008D73CF"/>
    <w:rsid w:val="00906F26"/>
    <w:rsid w:val="009119C0"/>
    <w:rsid w:val="00951966"/>
    <w:rsid w:val="00964B2B"/>
    <w:rsid w:val="00974281"/>
    <w:rsid w:val="00974D68"/>
    <w:rsid w:val="009868B3"/>
    <w:rsid w:val="009A6EF2"/>
    <w:rsid w:val="009E174B"/>
    <w:rsid w:val="00A00871"/>
    <w:rsid w:val="00A31B41"/>
    <w:rsid w:val="00A34F99"/>
    <w:rsid w:val="00A51355"/>
    <w:rsid w:val="00A675E4"/>
    <w:rsid w:val="00A97E72"/>
    <w:rsid w:val="00AE709C"/>
    <w:rsid w:val="00AF7CDB"/>
    <w:rsid w:val="00B10C6D"/>
    <w:rsid w:val="00B53646"/>
    <w:rsid w:val="00B7023B"/>
    <w:rsid w:val="00BB7807"/>
    <w:rsid w:val="00BC6B09"/>
    <w:rsid w:val="00BC6E74"/>
    <w:rsid w:val="00BD226F"/>
    <w:rsid w:val="00C14B75"/>
    <w:rsid w:val="00C1654D"/>
    <w:rsid w:val="00C276E0"/>
    <w:rsid w:val="00C43AA2"/>
    <w:rsid w:val="00C66F72"/>
    <w:rsid w:val="00C96F8D"/>
    <w:rsid w:val="00CA0255"/>
    <w:rsid w:val="00CD7456"/>
    <w:rsid w:val="00D0687C"/>
    <w:rsid w:val="00D253D3"/>
    <w:rsid w:val="00D423CD"/>
    <w:rsid w:val="00D64883"/>
    <w:rsid w:val="00D75F1C"/>
    <w:rsid w:val="00D8393D"/>
    <w:rsid w:val="00D96597"/>
    <w:rsid w:val="00DC4096"/>
    <w:rsid w:val="00DC6645"/>
    <w:rsid w:val="00DF61D0"/>
    <w:rsid w:val="00DF6B7F"/>
    <w:rsid w:val="00DF7A71"/>
    <w:rsid w:val="00E15D5A"/>
    <w:rsid w:val="00E201A4"/>
    <w:rsid w:val="00E92B45"/>
    <w:rsid w:val="00F03B67"/>
    <w:rsid w:val="00F12285"/>
    <w:rsid w:val="00F25B02"/>
    <w:rsid w:val="00F3689D"/>
    <w:rsid w:val="00F56195"/>
    <w:rsid w:val="00F75510"/>
    <w:rsid w:val="00F7697E"/>
    <w:rsid w:val="00F811A1"/>
    <w:rsid w:val="00F8526B"/>
    <w:rsid w:val="00FA7151"/>
    <w:rsid w:val="00FC3AEA"/>
    <w:rsid w:val="00FC51DA"/>
    <w:rsid w:val="00FD5713"/>
    <w:rsid w:val="00FD5891"/>
    <w:rsid w:val="00FE6593"/>
    <w:rsid w:val="025E5BEE"/>
    <w:rsid w:val="02C4662B"/>
    <w:rsid w:val="031C7354"/>
    <w:rsid w:val="03251029"/>
    <w:rsid w:val="039B467F"/>
    <w:rsid w:val="03A57D86"/>
    <w:rsid w:val="03B043ED"/>
    <w:rsid w:val="04D92E7C"/>
    <w:rsid w:val="050F34FA"/>
    <w:rsid w:val="064C3045"/>
    <w:rsid w:val="07746A18"/>
    <w:rsid w:val="083F5FF8"/>
    <w:rsid w:val="0C1C614B"/>
    <w:rsid w:val="0C2C06CB"/>
    <w:rsid w:val="0D78366A"/>
    <w:rsid w:val="1133034B"/>
    <w:rsid w:val="11DA1F57"/>
    <w:rsid w:val="135608E4"/>
    <w:rsid w:val="14476778"/>
    <w:rsid w:val="14F33914"/>
    <w:rsid w:val="187F2938"/>
    <w:rsid w:val="1C2006B1"/>
    <w:rsid w:val="1C3D04F3"/>
    <w:rsid w:val="1EBF14A2"/>
    <w:rsid w:val="1F5275D0"/>
    <w:rsid w:val="23A767D1"/>
    <w:rsid w:val="24947236"/>
    <w:rsid w:val="24A95456"/>
    <w:rsid w:val="24AE1055"/>
    <w:rsid w:val="25C3141C"/>
    <w:rsid w:val="29E24BF0"/>
    <w:rsid w:val="2A15226F"/>
    <w:rsid w:val="2AFD48B2"/>
    <w:rsid w:val="2B69794E"/>
    <w:rsid w:val="2BF75183"/>
    <w:rsid w:val="2C651ECC"/>
    <w:rsid w:val="2CA44CC4"/>
    <w:rsid w:val="2D0D5178"/>
    <w:rsid w:val="2DF061A5"/>
    <w:rsid w:val="2EA438C8"/>
    <w:rsid w:val="2EE44AE7"/>
    <w:rsid w:val="2F536114"/>
    <w:rsid w:val="2FAD520D"/>
    <w:rsid w:val="3123373B"/>
    <w:rsid w:val="321B5F48"/>
    <w:rsid w:val="346C4839"/>
    <w:rsid w:val="34E94942"/>
    <w:rsid w:val="3748337C"/>
    <w:rsid w:val="374F3F98"/>
    <w:rsid w:val="376E5D39"/>
    <w:rsid w:val="37CE29CF"/>
    <w:rsid w:val="38351699"/>
    <w:rsid w:val="3B9A045E"/>
    <w:rsid w:val="3C3F17D4"/>
    <w:rsid w:val="3CD01F3B"/>
    <w:rsid w:val="3CDF27A0"/>
    <w:rsid w:val="3D0329CE"/>
    <w:rsid w:val="3F04063A"/>
    <w:rsid w:val="40954BEA"/>
    <w:rsid w:val="40C3539D"/>
    <w:rsid w:val="419740E7"/>
    <w:rsid w:val="42424F6D"/>
    <w:rsid w:val="42EE1C23"/>
    <w:rsid w:val="43864FE1"/>
    <w:rsid w:val="44476729"/>
    <w:rsid w:val="469F08ED"/>
    <w:rsid w:val="4741539A"/>
    <w:rsid w:val="474A1F3F"/>
    <w:rsid w:val="488416E9"/>
    <w:rsid w:val="489604D8"/>
    <w:rsid w:val="48BA16EA"/>
    <w:rsid w:val="493B0A9D"/>
    <w:rsid w:val="49670287"/>
    <w:rsid w:val="49E17B60"/>
    <w:rsid w:val="4A474E0F"/>
    <w:rsid w:val="4B08173F"/>
    <w:rsid w:val="4C9C42C9"/>
    <w:rsid w:val="4CEE7AF7"/>
    <w:rsid w:val="5086731C"/>
    <w:rsid w:val="50873D69"/>
    <w:rsid w:val="53354C16"/>
    <w:rsid w:val="53977D37"/>
    <w:rsid w:val="55F867FB"/>
    <w:rsid w:val="565406C5"/>
    <w:rsid w:val="5748004A"/>
    <w:rsid w:val="57FD8364"/>
    <w:rsid w:val="588563A2"/>
    <w:rsid w:val="5BA60723"/>
    <w:rsid w:val="5BFD3F95"/>
    <w:rsid w:val="5D375134"/>
    <w:rsid w:val="5D3C49A5"/>
    <w:rsid w:val="5EE31AFE"/>
    <w:rsid w:val="5EF30351"/>
    <w:rsid w:val="5FFE45D6"/>
    <w:rsid w:val="60403E10"/>
    <w:rsid w:val="61C84486"/>
    <w:rsid w:val="62983BB0"/>
    <w:rsid w:val="634E75CD"/>
    <w:rsid w:val="67476606"/>
    <w:rsid w:val="692C50E5"/>
    <w:rsid w:val="6AD0590A"/>
    <w:rsid w:val="6B791415"/>
    <w:rsid w:val="6C1E3D4C"/>
    <w:rsid w:val="6CB319F4"/>
    <w:rsid w:val="6D294002"/>
    <w:rsid w:val="6D843218"/>
    <w:rsid w:val="6F54050E"/>
    <w:rsid w:val="6F586F0E"/>
    <w:rsid w:val="6FC4729B"/>
    <w:rsid w:val="714D4FC2"/>
    <w:rsid w:val="72357E16"/>
    <w:rsid w:val="76817388"/>
    <w:rsid w:val="77F5264C"/>
    <w:rsid w:val="782F022B"/>
    <w:rsid w:val="789E162B"/>
    <w:rsid w:val="79424F6E"/>
    <w:rsid w:val="79951709"/>
    <w:rsid w:val="79F94D24"/>
    <w:rsid w:val="7A007777"/>
    <w:rsid w:val="7C574BD1"/>
    <w:rsid w:val="7E88183C"/>
    <w:rsid w:val="7EB745BC"/>
    <w:rsid w:val="7EFBDBC7"/>
    <w:rsid w:val="7F463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qFormat/>
    <w:uiPriority w:val="0"/>
    <w:pPr>
      <w:jc w:val="left"/>
    </w:pPr>
    <w:rPr>
      <w:rFonts w:cs="Times New Roman"/>
    </w:rPr>
  </w:style>
  <w:style w:type="paragraph" w:styleId="4">
    <w:name w:val="toc 3"/>
    <w:basedOn w:val="1"/>
    <w:next w:val="1"/>
    <w:qFormat/>
    <w:uiPriority w:val="39"/>
    <w:pPr>
      <w:ind w:left="840" w:leftChars="400"/>
    </w:pPr>
  </w:style>
  <w:style w:type="paragraph" w:styleId="5">
    <w:name w:val="Date"/>
    <w:basedOn w:val="1"/>
    <w:next w:val="1"/>
    <w:link w:val="21"/>
    <w:qFormat/>
    <w:uiPriority w:val="0"/>
    <w:pPr>
      <w:ind w:left="100" w:leftChars="2500"/>
    </w:pPr>
    <w:rPr>
      <w:rFonts w:cs="Times New Roman"/>
      <w:kern w:val="0"/>
      <w:sz w:val="20"/>
    </w:rPr>
  </w:style>
  <w:style w:type="paragraph" w:styleId="6">
    <w:name w:val="Balloon Text"/>
    <w:basedOn w:val="1"/>
    <w:link w:val="22"/>
    <w:semiHidden/>
    <w:qFormat/>
    <w:uiPriority w:val="0"/>
    <w:rPr>
      <w:rFonts w:cs="Times New Roman"/>
      <w:kern w:val="0"/>
      <w:sz w:val="16"/>
      <w:szCs w:val="16"/>
    </w:rPr>
  </w:style>
  <w:style w:type="paragraph" w:styleId="7">
    <w:name w:val="footer"/>
    <w:basedOn w:val="1"/>
    <w:link w:val="17"/>
    <w:qFormat/>
    <w:uiPriority w:val="0"/>
    <w:pPr>
      <w:tabs>
        <w:tab w:val="center" w:pos="4153"/>
        <w:tab w:val="right" w:pos="8306"/>
      </w:tabs>
      <w:snapToGrid w:val="0"/>
      <w:jc w:val="left"/>
    </w:pPr>
    <w:rPr>
      <w:rFonts w:cs="Times New Roman"/>
      <w:kern w:val="0"/>
      <w:sz w:val="18"/>
      <w:szCs w:val="18"/>
    </w:rPr>
  </w:style>
  <w:style w:type="paragraph" w:styleId="8">
    <w:name w:val="header"/>
    <w:basedOn w:val="1"/>
    <w:link w:val="25"/>
    <w:semiHidden/>
    <w:qFormat/>
    <w:uiPriority w:val="0"/>
    <w:pPr>
      <w:pBdr>
        <w:bottom w:val="single" w:color="auto" w:sz="6" w:space="1"/>
      </w:pBdr>
      <w:tabs>
        <w:tab w:val="center" w:pos="4153"/>
        <w:tab w:val="right" w:pos="8306"/>
      </w:tabs>
      <w:snapToGrid w:val="0"/>
      <w:jc w:val="center"/>
    </w:pPr>
    <w:rPr>
      <w:rFonts w:cs="Times New Roman"/>
      <w:kern w:val="0"/>
      <w:sz w:val="18"/>
      <w:szCs w:val="18"/>
    </w:rPr>
  </w:style>
  <w:style w:type="paragraph" w:styleId="9">
    <w:name w:val="toc 1"/>
    <w:basedOn w:val="1"/>
    <w:next w:val="1"/>
    <w:unhideWhenUsed/>
    <w:qFormat/>
    <w:uiPriority w:val="39"/>
    <w:pPr>
      <w:widowControl/>
      <w:spacing w:after="100" w:line="276" w:lineRule="auto"/>
      <w:jc w:val="left"/>
    </w:pPr>
    <w:rPr>
      <w:rFonts w:ascii="Calibri" w:hAnsi="Calibri" w:cs="Times New Roman"/>
      <w:kern w:val="0"/>
      <w:sz w:val="22"/>
      <w:szCs w:val="22"/>
    </w:rPr>
  </w:style>
  <w:style w:type="paragraph" w:styleId="10">
    <w:name w:val="annotation subject"/>
    <w:basedOn w:val="3"/>
    <w:next w:val="3"/>
    <w:link w:val="16"/>
    <w:qFormat/>
    <w:uiPriority w:val="0"/>
    <w:rPr>
      <w:b/>
      <w:bCs/>
    </w:rPr>
  </w:style>
  <w:style w:type="character" w:styleId="13">
    <w:name w:val="page number"/>
    <w:basedOn w:val="12"/>
    <w:qFormat/>
    <w:uiPriority w:val="0"/>
  </w:style>
  <w:style w:type="character" w:styleId="14">
    <w:name w:val="Hyperlink"/>
    <w:unhideWhenUsed/>
    <w:qFormat/>
    <w:uiPriority w:val="99"/>
    <w:rPr>
      <w:color w:val="0000FF"/>
      <w:u w:val="single"/>
    </w:rPr>
  </w:style>
  <w:style w:type="character" w:styleId="15">
    <w:name w:val="annotation reference"/>
    <w:qFormat/>
    <w:uiPriority w:val="0"/>
    <w:rPr>
      <w:sz w:val="21"/>
      <w:szCs w:val="21"/>
    </w:rPr>
  </w:style>
  <w:style w:type="character" w:customStyle="1" w:styleId="16">
    <w:name w:val="批注主题 字符"/>
    <w:link w:val="10"/>
    <w:qFormat/>
    <w:uiPriority w:val="0"/>
    <w:rPr>
      <w:rFonts w:cs="Calibri"/>
      <w:b/>
      <w:bCs/>
      <w:kern w:val="2"/>
      <w:sz w:val="21"/>
      <w:szCs w:val="21"/>
    </w:rPr>
  </w:style>
  <w:style w:type="character" w:customStyle="1" w:styleId="17">
    <w:name w:val="页脚 字符"/>
    <w:link w:val="7"/>
    <w:qFormat/>
    <w:locked/>
    <w:uiPriority w:val="0"/>
    <w:rPr>
      <w:rFonts w:eastAsia="宋体"/>
      <w:sz w:val="18"/>
      <w:szCs w:val="18"/>
      <w:lang w:bidi="ar-SA"/>
    </w:rPr>
  </w:style>
  <w:style w:type="character" w:customStyle="1" w:styleId="18">
    <w:name w:val="批注文字 字符"/>
    <w:link w:val="3"/>
    <w:qFormat/>
    <w:uiPriority w:val="0"/>
    <w:rPr>
      <w:rFonts w:cs="Calibri"/>
      <w:kern w:val="2"/>
      <w:sz w:val="21"/>
      <w:szCs w:val="21"/>
    </w:rPr>
  </w:style>
  <w:style w:type="character" w:customStyle="1" w:styleId="19">
    <w:name w:val="段 Char"/>
    <w:link w:val="20"/>
    <w:qFormat/>
    <w:locked/>
    <w:uiPriority w:val="0"/>
    <w:rPr>
      <w:rFonts w:ascii="宋体" w:eastAsia="Times New Roman" w:cs="宋体"/>
      <w:sz w:val="21"/>
      <w:szCs w:val="21"/>
      <w:lang w:val="en-US" w:eastAsia="zh-CN" w:bidi="ar-SA"/>
    </w:rPr>
  </w:style>
  <w:style w:type="paragraph" w:customStyle="1" w:styleId="20">
    <w:name w:val="段"/>
    <w:link w:val="19"/>
    <w:qFormat/>
    <w:uiPriority w:val="0"/>
    <w:pPr>
      <w:autoSpaceDE w:val="0"/>
      <w:autoSpaceDN w:val="0"/>
      <w:ind w:firstLine="200" w:firstLineChars="200"/>
      <w:jc w:val="both"/>
    </w:pPr>
    <w:rPr>
      <w:rFonts w:ascii="宋体" w:hAnsi="Times New Roman" w:eastAsia="Times New Roman" w:cs="宋体"/>
      <w:sz w:val="21"/>
      <w:szCs w:val="21"/>
      <w:lang w:val="en-US" w:eastAsia="zh-CN" w:bidi="ar-SA"/>
    </w:rPr>
  </w:style>
  <w:style w:type="character" w:customStyle="1" w:styleId="21">
    <w:name w:val="日期 字符"/>
    <w:link w:val="5"/>
    <w:semiHidden/>
    <w:qFormat/>
    <w:uiPriority w:val="0"/>
    <w:rPr>
      <w:szCs w:val="21"/>
      <w:lang w:bidi="ar-SA"/>
    </w:rPr>
  </w:style>
  <w:style w:type="character" w:customStyle="1" w:styleId="22">
    <w:name w:val="批注框文本 字符"/>
    <w:link w:val="6"/>
    <w:semiHidden/>
    <w:qFormat/>
    <w:uiPriority w:val="0"/>
    <w:rPr>
      <w:sz w:val="16"/>
      <w:szCs w:val="16"/>
      <w:lang w:bidi="ar-SA"/>
    </w:rPr>
  </w:style>
  <w:style w:type="character" w:customStyle="1" w:styleId="23">
    <w:name w:val="一级条标题 Char"/>
    <w:link w:val="24"/>
    <w:qFormat/>
    <w:locked/>
    <w:uiPriority w:val="0"/>
    <w:rPr>
      <w:rFonts w:eastAsia="黑体" w:cs="Calibri"/>
      <w:kern w:val="2"/>
      <w:sz w:val="21"/>
      <w:szCs w:val="21"/>
    </w:rPr>
  </w:style>
  <w:style w:type="paragraph" w:customStyle="1" w:styleId="24">
    <w:name w:val="一级条标题"/>
    <w:next w:val="20"/>
    <w:link w:val="23"/>
    <w:qFormat/>
    <w:uiPriority w:val="0"/>
    <w:pPr>
      <w:outlineLvl w:val="2"/>
    </w:pPr>
    <w:rPr>
      <w:rFonts w:ascii="Times New Roman" w:hAnsi="Times New Roman" w:eastAsia="黑体" w:cs="Calibri"/>
      <w:kern w:val="2"/>
      <w:sz w:val="21"/>
      <w:szCs w:val="21"/>
      <w:lang w:val="en-US" w:eastAsia="zh-CN" w:bidi="ar-SA"/>
    </w:rPr>
  </w:style>
  <w:style w:type="character" w:customStyle="1" w:styleId="25">
    <w:name w:val="页眉 字符"/>
    <w:link w:val="8"/>
    <w:semiHidden/>
    <w:qFormat/>
    <w:locked/>
    <w:uiPriority w:val="0"/>
    <w:rPr>
      <w:sz w:val="18"/>
      <w:szCs w:val="18"/>
      <w:lang w:bidi="ar-SA"/>
    </w:rPr>
  </w:style>
  <w:style w:type="paragraph" w:customStyle="1" w:styleId="26">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7">
    <w:name w:val="二级条标题"/>
    <w:basedOn w:val="24"/>
    <w:next w:val="20"/>
    <w:qFormat/>
    <w:uiPriority w:val="99"/>
    <w:pPr>
      <w:outlineLvl w:val="3"/>
    </w:pPr>
    <w:rPr>
      <w:rFonts w:ascii="Calibri" w:hAnsi="Calibri" w:cs="Times New Roman"/>
      <w:szCs w:val="22"/>
    </w:rPr>
  </w:style>
  <w:style w:type="paragraph" w:customStyle="1" w:styleId="28">
    <w:name w:val="章标题"/>
    <w:next w:val="20"/>
    <w:qFormat/>
    <w:uiPriority w:val="99"/>
    <w:pPr>
      <w:spacing w:beforeLines="50" w:afterLines="50"/>
      <w:ind w:left="360"/>
      <w:jc w:val="both"/>
      <w:outlineLvl w:val="1"/>
    </w:pPr>
    <w:rPr>
      <w:rFonts w:ascii="黑体" w:hAnsi="Calibri" w:eastAsia="黑体" w:cs="Times New Roman"/>
      <w:kern w:val="2"/>
      <w:sz w:val="21"/>
      <w:szCs w:val="22"/>
      <w:lang w:val="en-US" w:eastAsia="zh-CN" w:bidi="ar-SA"/>
    </w:rPr>
  </w:style>
  <w:style w:type="paragraph" w:customStyle="1" w:styleId="29">
    <w:name w:val="前言、引言标题"/>
    <w:next w:val="1"/>
    <w:qFormat/>
    <w:uiPriority w:val="99"/>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0">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3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2">
    <w:name w:val="其他发布部门"/>
    <w:basedOn w:val="33"/>
    <w:qFormat/>
    <w:uiPriority w:val="0"/>
    <w:pPr>
      <w:framePr w:wrap="around" w:y="15310"/>
      <w:spacing w:line="0" w:lineRule="atLeast"/>
    </w:pPr>
    <w:rPr>
      <w:rFonts w:ascii="黑体" w:eastAsia="黑体"/>
      <w:b w:val="0"/>
    </w:rPr>
  </w:style>
  <w:style w:type="paragraph" w:customStyle="1" w:styleId="33">
    <w:name w:val="发布部门"/>
    <w:next w:val="20"/>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character" w:customStyle="1" w:styleId="34">
    <w:name w:val="发布"/>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A8E3A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16</Pages>
  <Words>6504</Words>
  <Characters>7564</Characters>
  <Lines>64</Lines>
  <Paragraphs>18</Paragraphs>
  <TotalTime>7</TotalTime>
  <ScaleCrop>false</ScaleCrop>
  <LinksUpToDate>false</LinksUpToDate>
  <CharactersWithSpaces>7828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2020-05-24T00:24:00Z</dcterms:created>
  <dc:creator>王建明_wangjianming</dc:creator>
  <cp:lastModifiedBy>Administrator</cp:lastModifiedBy>
  <dcterms:modified xsi:type="dcterms:W3CDTF">2023-11-21T04:13:04Z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E3D1A270FE254601AEB91FBAACCD98DC</vt:lpwstr>
  </property>
</Properties>
</file>